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16DAB" w14:textId="14C61A70" w:rsidR="004644A0" w:rsidRPr="00FD016C" w:rsidRDefault="00796E77" w:rsidP="005144E2">
      <w:pPr>
        <w:widowControl/>
        <w:tabs>
          <w:tab w:val="left" w:pos="4111"/>
        </w:tabs>
        <w:jc w:val="center"/>
        <w:rPr>
          <w:rFonts w:ascii="Verdana" w:hAnsi="Verdana" w:cs="Arial"/>
          <w:b/>
          <w:sz w:val="26"/>
          <w:szCs w:val="26"/>
        </w:rPr>
      </w:pPr>
      <w:r w:rsidRPr="00FD016C">
        <w:rPr>
          <w:rFonts w:ascii="Verdana" w:hAnsi="Verdana" w:cs="Arial"/>
          <w:b/>
          <w:sz w:val="26"/>
          <w:szCs w:val="26"/>
        </w:rPr>
        <w:t xml:space="preserve">NOTAS EXPLICATIVAS ÀS </w:t>
      </w:r>
      <w:r w:rsidR="00896C53" w:rsidRPr="00FD016C">
        <w:rPr>
          <w:rFonts w:ascii="Verdana" w:hAnsi="Verdana" w:cs="Arial"/>
          <w:b/>
          <w:sz w:val="26"/>
          <w:szCs w:val="26"/>
        </w:rPr>
        <w:t>D</w:t>
      </w:r>
      <w:r w:rsidRPr="00FD016C">
        <w:rPr>
          <w:rFonts w:ascii="Verdana" w:hAnsi="Verdana" w:cs="Arial"/>
          <w:b/>
          <w:sz w:val="26"/>
          <w:szCs w:val="26"/>
        </w:rPr>
        <w:t>EMONSTRAÇÕES FINANCEIRAS</w:t>
      </w:r>
      <w:r w:rsidR="003B49A3" w:rsidRPr="00FD016C">
        <w:rPr>
          <w:rFonts w:ascii="Verdana" w:hAnsi="Verdana" w:cs="Arial"/>
          <w:b/>
          <w:sz w:val="26"/>
          <w:szCs w:val="26"/>
        </w:rPr>
        <w:t xml:space="preserve"> INTERMEDIÁRIAS</w:t>
      </w:r>
      <w:r w:rsidR="00BD56D9" w:rsidRPr="00FD016C">
        <w:rPr>
          <w:rFonts w:ascii="Verdana" w:hAnsi="Verdana" w:cs="Arial"/>
          <w:b/>
          <w:sz w:val="26"/>
          <w:szCs w:val="26"/>
        </w:rPr>
        <w:t xml:space="preserve"> </w:t>
      </w:r>
      <w:r w:rsidR="00901037" w:rsidRPr="00FD016C">
        <w:rPr>
          <w:rFonts w:ascii="Verdana" w:hAnsi="Verdana" w:cs="Arial"/>
          <w:b/>
          <w:sz w:val="26"/>
          <w:szCs w:val="26"/>
        </w:rPr>
        <w:t xml:space="preserve">EM </w:t>
      </w:r>
      <w:r w:rsidRPr="00FD016C">
        <w:rPr>
          <w:rFonts w:ascii="Verdana" w:hAnsi="Verdana" w:cs="Arial"/>
          <w:b/>
          <w:sz w:val="26"/>
          <w:szCs w:val="26"/>
        </w:rPr>
        <w:t>3</w:t>
      </w:r>
      <w:r w:rsidR="00D17890" w:rsidRPr="00FD016C">
        <w:rPr>
          <w:rFonts w:ascii="Verdana" w:hAnsi="Verdana" w:cs="Arial"/>
          <w:b/>
          <w:sz w:val="26"/>
          <w:szCs w:val="26"/>
        </w:rPr>
        <w:t>0</w:t>
      </w:r>
      <w:r w:rsidRPr="00FD016C">
        <w:rPr>
          <w:rFonts w:ascii="Verdana" w:hAnsi="Verdana" w:cs="Arial"/>
          <w:b/>
          <w:sz w:val="26"/>
          <w:szCs w:val="26"/>
        </w:rPr>
        <w:t xml:space="preserve"> DE </w:t>
      </w:r>
      <w:r w:rsidR="00AF5373" w:rsidRPr="00FD016C">
        <w:rPr>
          <w:rFonts w:ascii="Verdana" w:hAnsi="Verdana" w:cs="Arial"/>
          <w:b/>
          <w:sz w:val="26"/>
          <w:szCs w:val="26"/>
        </w:rPr>
        <w:t>SETEMBRO</w:t>
      </w:r>
      <w:r w:rsidR="003B49A3" w:rsidRPr="00FD016C">
        <w:rPr>
          <w:rFonts w:ascii="Verdana" w:hAnsi="Verdana" w:cs="Arial"/>
          <w:b/>
          <w:sz w:val="26"/>
          <w:szCs w:val="26"/>
        </w:rPr>
        <w:t xml:space="preserve"> </w:t>
      </w:r>
      <w:r w:rsidRPr="00FD016C">
        <w:rPr>
          <w:rFonts w:ascii="Verdana" w:hAnsi="Verdana" w:cs="Arial"/>
          <w:b/>
          <w:sz w:val="26"/>
          <w:szCs w:val="26"/>
        </w:rPr>
        <w:t>DE 20</w:t>
      </w:r>
      <w:r w:rsidR="004D7D3C" w:rsidRPr="00FD016C">
        <w:rPr>
          <w:rFonts w:ascii="Verdana" w:hAnsi="Verdana" w:cs="Arial"/>
          <w:b/>
          <w:sz w:val="26"/>
          <w:szCs w:val="26"/>
        </w:rPr>
        <w:t>2</w:t>
      </w:r>
      <w:r w:rsidR="003B49A3" w:rsidRPr="00FD016C">
        <w:rPr>
          <w:rFonts w:ascii="Verdana" w:hAnsi="Verdana" w:cs="Arial"/>
          <w:b/>
          <w:sz w:val="26"/>
          <w:szCs w:val="26"/>
        </w:rPr>
        <w:t>1</w:t>
      </w:r>
    </w:p>
    <w:p w14:paraId="69C8FBF4" w14:textId="77777777" w:rsidR="003F4719" w:rsidRPr="00FD016C" w:rsidRDefault="003F4719" w:rsidP="005144E2">
      <w:pPr>
        <w:widowControl/>
        <w:jc w:val="center"/>
        <w:rPr>
          <w:rFonts w:ascii="Arial" w:hAnsi="Arial" w:cs="Arial"/>
          <w:b/>
          <w:sz w:val="26"/>
          <w:szCs w:val="26"/>
        </w:rPr>
      </w:pPr>
      <w:r w:rsidRPr="00FD016C">
        <w:rPr>
          <w:rFonts w:ascii="Verdana" w:hAnsi="Verdana" w:cs="Arial"/>
          <w:b/>
          <w:sz w:val="26"/>
          <w:szCs w:val="26"/>
        </w:rPr>
        <w:t>(</w:t>
      </w:r>
      <w:proofErr w:type="gramStart"/>
      <w:r w:rsidRPr="00FD016C">
        <w:rPr>
          <w:rFonts w:ascii="Verdana" w:hAnsi="Verdana" w:cs="Arial"/>
          <w:b/>
          <w:sz w:val="26"/>
          <w:szCs w:val="26"/>
        </w:rPr>
        <w:t>em</w:t>
      </w:r>
      <w:proofErr w:type="gramEnd"/>
      <w:r w:rsidRPr="00FD016C">
        <w:rPr>
          <w:rFonts w:ascii="Verdana" w:hAnsi="Verdana" w:cs="Arial"/>
          <w:b/>
          <w:sz w:val="26"/>
          <w:szCs w:val="26"/>
        </w:rPr>
        <w:t xml:space="preserve"> milhares de reais, exceto quando indicado de outra forma)</w:t>
      </w:r>
    </w:p>
    <w:p w14:paraId="5E76C0BE" w14:textId="77777777" w:rsidR="0020523C" w:rsidRPr="00FD016C" w:rsidRDefault="0020523C" w:rsidP="005144E2">
      <w:pPr>
        <w:widowControl/>
        <w:jc w:val="both"/>
        <w:rPr>
          <w:rFonts w:ascii="Arial" w:hAnsi="Arial" w:cs="Arial"/>
          <w:b/>
          <w:sz w:val="26"/>
          <w:szCs w:val="26"/>
        </w:rPr>
      </w:pPr>
    </w:p>
    <w:p w14:paraId="0CCD1198" w14:textId="77777777" w:rsidR="0001072E" w:rsidRPr="00FD016C" w:rsidRDefault="0001072E" w:rsidP="005144E2">
      <w:pPr>
        <w:widowControl/>
        <w:jc w:val="both"/>
        <w:rPr>
          <w:rFonts w:ascii="Arial" w:hAnsi="Arial" w:cs="Arial"/>
          <w:b/>
        </w:rPr>
      </w:pPr>
    </w:p>
    <w:p w14:paraId="32289C28" w14:textId="77777777" w:rsidR="001171CF" w:rsidRPr="00FD016C" w:rsidRDefault="001171CF" w:rsidP="005144E2">
      <w:pPr>
        <w:widowControl/>
        <w:jc w:val="both"/>
        <w:rPr>
          <w:rFonts w:ascii="Arial" w:hAnsi="Arial" w:cs="Arial"/>
          <w:b/>
        </w:rPr>
      </w:pPr>
    </w:p>
    <w:p w14:paraId="5AFB7D40" w14:textId="77777777" w:rsidR="003F4719" w:rsidRPr="00FD016C" w:rsidRDefault="003F4719" w:rsidP="005144E2">
      <w:pPr>
        <w:widowControl/>
        <w:jc w:val="both"/>
        <w:rPr>
          <w:rFonts w:ascii="Verdana" w:hAnsi="Verdana" w:cs="Arial"/>
          <w:b/>
          <w:color w:val="00B0F0"/>
          <w:sz w:val="26"/>
          <w:szCs w:val="26"/>
        </w:rPr>
      </w:pPr>
      <w:r w:rsidRPr="00FD016C">
        <w:rPr>
          <w:rFonts w:ascii="Verdana" w:hAnsi="Verdana" w:cs="Arial"/>
          <w:b/>
          <w:color w:val="0070C0"/>
          <w:sz w:val="26"/>
          <w:szCs w:val="26"/>
        </w:rPr>
        <w:t>NOTA 1 – CONTEXTO OPERACIONAL</w:t>
      </w:r>
    </w:p>
    <w:p w14:paraId="7D00EE77" w14:textId="77777777" w:rsidR="002B44FD" w:rsidRPr="00FD016C" w:rsidRDefault="002B44FD" w:rsidP="005144E2">
      <w:pPr>
        <w:widowControl/>
        <w:jc w:val="both"/>
        <w:rPr>
          <w:rFonts w:ascii="Verdana" w:hAnsi="Verdana" w:cs="Arial"/>
          <w:sz w:val="20"/>
          <w:szCs w:val="20"/>
        </w:rPr>
      </w:pPr>
    </w:p>
    <w:p w14:paraId="27C952DA" w14:textId="77777777" w:rsidR="005C1E44" w:rsidRPr="00FD016C" w:rsidRDefault="005C1E44" w:rsidP="005144E2">
      <w:pPr>
        <w:widowControl/>
        <w:jc w:val="both"/>
        <w:rPr>
          <w:rFonts w:ascii="Verdana" w:hAnsi="Verdana" w:cs="Arial"/>
          <w:sz w:val="20"/>
          <w:szCs w:val="20"/>
        </w:rPr>
      </w:pPr>
    </w:p>
    <w:p w14:paraId="717C4657" w14:textId="1E0BBF2D" w:rsidR="003F4719" w:rsidRPr="00FD016C" w:rsidRDefault="002F19CC" w:rsidP="005144E2">
      <w:pPr>
        <w:widowControl/>
        <w:jc w:val="both"/>
        <w:rPr>
          <w:rFonts w:ascii="Verdana" w:hAnsi="Verdana" w:cs="Arial"/>
          <w:sz w:val="20"/>
          <w:szCs w:val="20"/>
        </w:rPr>
      </w:pPr>
      <w:r w:rsidRPr="00FD016C">
        <w:rPr>
          <w:rFonts w:ascii="Verdana" w:hAnsi="Verdana" w:cs="Arial"/>
          <w:sz w:val="20"/>
          <w:szCs w:val="20"/>
        </w:rPr>
        <w:t xml:space="preserve">A ELETROBRAS TERMONUCLEAR S.A. </w:t>
      </w:r>
      <w:r w:rsidR="003F4719" w:rsidRPr="00FD016C">
        <w:rPr>
          <w:rFonts w:ascii="Verdana" w:hAnsi="Verdana" w:cs="Arial"/>
          <w:sz w:val="20"/>
          <w:szCs w:val="20"/>
        </w:rPr>
        <w:t xml:space="preserve">- ELETRONUCLEAR, (denominada "ELETRONUCLEAR" ou "Companhia"), </w:t>
      </w:r>
      <w:r w:rsidR="009D5D5B" w:rsidRPr="00FD016C">
        <w:rPr>
          <w:rFonts w:ascii="Verdana" w:hAnsi="Verdana" w:cs="Arial"/>
          <w:sz w:val="20"/>
          <w:szCs w:val="20"/>
        </w:rPr>
        <w:t>C</w:t>
      </w:r>
      <w:r w:rsidR="00D52420" w:rsidRPr="00FD016C">
        <w:rPr>
          <w:rFonts w:ascii="Verdana" w:hAnsi="Verdana" w:cs="Arial"/>
          <w:sz w:val="20"/>
          <w:szCs w:val="20"/>
        </w:rPr>
        <w:t>o</w:t>
      </w:r>
      <w:r w:rsidR="00064290" w:rsidRPr="00FD016C">
        <w:rPr>
          <w:rFonts w:ascii="Verdana" w:hAnsi="Verdana" w:cs="Arial"/>
          <w:sz w:val="20"/>
          <w:szCs w:val="20"/>
        </w:rPr>
        <w:t>mpanhia</w:t>
      </w:r>
      <w:r w:rsidR="003F4719" w:rsidRPr="00FD016C">
        <w:rPr>
          <w:rFonts w:ascii="Verdana" w:hAnsi="Verdana" w:cs="Arial"/>
          <w:sz w:val="20"/>
          <w:szCs w:val="20"/>
        </w:rPr>
        <w:t xml:space="preserve"> de capital fechado, controlada pela Centrais Elétricas Brasileiras S.A. - E</w:t>
      </w:r>
      <w:r w:rsidR="007050B2">
        <w:rPr>
          <w:rFonts w:ascii="Verdana" w:hAnsi="Verdana" w:cs="Arial"/>
          <w:sz w:val="20"/>
          <w:szCs w:val="20"/>
        </w:rPr>
        <w:t>LETROBRAS</w:t>
      </w:r>
      <w:r w:rsidR="003F4719" w:rsidRPr="00FD016C">
        <w:rPr>
          <w:rFonts w:ascii="Verdana" w:hAnsi="Verdana" w:cs="Arial"/>
          <w:sz w:val="20"/>
          <w:szCs w:val="20"/>
        </w:rPr>
        <w:t>, com sua sede fixada na Rua da Candelária, nº 65 - 2º ao 14º andares - Centro - Rio de Janeiro - RJ - CEP 20.091-020 tem como atividade principal a construção e operação de usinas nucleares, a geração de energia elétrica delas decorrentes e a realização de serviços de engenharia e correlatos, sendo essas atividades regulamentadas e fiscalizadas pela Agência Nacional de Energia Elétrica - A</w:t>
      </w:r>
      <w:r w:rsidR="00F83106" w:rsidRPr="00FD016C">
        <w:rPr>
          <w:rFonts w:ascii="Verdana" w:hAnsi="Verdana" w:cs="Arial"/>
          <w:sz w:val="20"/>
          <w:szCs w:val="20"/>
        </w:rPr>
        <w:t>neel</w:t>
      </w:r>
      <w:r w:rsidR="003F4719" w:rsidRPr="00FD016C">
        <w:rPr>
          <w:rFonts w:ascii="Verdana" w:hAnsi="Verdana" w:cs="Arial"/>
          <w:sz w:val="20"/>
          <w:szCs w:val="20"/>
        </w:rPr>
        <w:t>, vinculada ao Ministério de Minas e Energia</w:t>
      </w:r>
      <w:r w:rsidR="00D52420" w:rsidRPr="00FD016C">
        <w:rPr>
          <w:rFonts w:ascii="Verdana" w:hAnsi="Verdana" w:cs="Arial"/>
          <w:sz w:val="20"/>
          <w:szCs w:val="20"/>
        </w:rPr>
        <w:t xml:space="preserve"> - MME</w:t>
      </w:r>
      <w:r w:rsidR="003F4719" w:rsidRPr="00FD016C">
        <w:rPr>
          <w:rFonts w:ascii="Verdana" w:hAnsi="Verdana" w:cs="Arial"/>
          <w:sz w:val="20"/>
          <w:szCs w:val="20"/>
        </w:rPr>
        <w:t>. Dentro do escopo desse objeto, a Companhia vem exercendo basicamente a</w:t>
      </w:r>
      <w:r w:rsidR="00242066" w:rsidRPr="00FD016C">
        <w:rPr>
          <w:rFonts w:ascii="Verdana" w:hAnsi="Verdana" w:cs="Arial"/>
          <w:sz w:val="20"/>
          <w:szCs w:val="20"/>
        </w:rPr>
        <w:t>s atividades de exploração das U</w:t>
      </w:r>
      <w:r w:rsidR="003F4719" w:rsidRPr="00FD016C">
        <w:rPr>
          <w:rFonts w:ascii="Verdana" w:hAnsi="Verdana" w:cs="Arial"/>
          <w:sz w:val="20"/>
          <w:szCs w:val="20"/>
        </w:rPr>
        <w:t xml:space="preserve">sinas Angra 1 e Angra 2, com potência nominal de 1.990 MW, bem como a construção da terceira unidade </w:t>
      </w:r>
      <w:proofErr w:type="spellStart"/>
      <w:r w:rsidR="00064290" w:rsidRPr="00FD016C">
        <w:rPr>
          <w:rFonts w:ascii="Verdana" w:hAnsi="Verdana" w:cs="Arial"/>
          <w:sz w:val="20"/>
          <w:szCs w:val="20"/>
        </w:rPr>
        <w:t>nu</w:t>
      </w:r>
      <w:r w:rsidR="00564576" w:rsidRPr="00FD016C">
        <w:rPr>
          <w:rFonts w:ascii="Verdana" w:hAnsi="Verdana" w:cs="Arial"/>
          <w:sz w:val="20"/>
          <w:szCs w:val="20"/>
        </w:rPr>
        <w:t>cleo</w:t>
      </w:r>
      <w:r w:rsidR="00782DCE" w:rsidRPr="00FD016C">
        <w:rPr>
          <w:rFonts w:ascii="Verdana" w:hAnsi="Verdana" w:cs="Arial"/>
          <w:sz w:val="20"/>
          <w:szCs w:val="20"/>
        </w:rPr>
        <w:t>elétrica</w:t>
      </w:r>
      <w:proofErr w:type="spellEnd"/>
      <w:r w:rsidR="00782DCE" w:rsidRPr="00FD016C">
        <w:rPr>
          <w:rFonts w:ascii="Verdana" w:hAnsi="Verdana" w:cs="Arial"/>
          <w:sz w:val="20"/>
          <w:szCs w:val="20"/>
        </w:rPr>
        <w:t>, denominada U</w:t>
      </w:r>
      <w:r w:rsidR="003F4719" w:rsidRPr="00FD016C">
        <w:rPr>
          <w:rFonts w:ascii="Verdana" w:hAnsi="Verdana" w:cs="Arial"/>
          <w:sz w:val="20"/>
          <w:szCs w:val="20"/>
        </w:rPr>
        <w:t xml:space="preserve">sina Angra 3, cujo estágio está descrito na </w:t>
      </w:r>
      <w:r w:rsidR="00904EEC" w:rsidRPr="00FD016C">
        <w:rPr>
          <w:rFonts w:ascii="Verdana" w:hAnsi="Verdana" w:cs="Arial"/>
          <w:sz w:val="20"/>
          <w:szCs w:val="20"/>
        </w:rPr>
        <w:t>nota</w:t>
      </w:r>
      <w:r w:rsidR="003F4719" w:rsidRPr="00FD016C">
        <w:rPr>
          <w:rFonts w:ascii="Verdana" w:hAnsi="Verdana" w:cs="Arial"/>
          <w:sz w:val="20"/>
          <w:szCs w:val="20"/>
        </w:rPr>
        <w:t xml:space="preserve"> 14g, todas integrantes da Central Nuclear Almirante Álvaro Alberto - CNAAA.</w:t>
      </w:r>
    </w:p>
    <w:p w14:paraId="47A36CF1" w14:textId="77777777" w:rsidR="00F21038" w:rsidRPr="00FD016C" w:rsidRDefault="00F21038" w:rsidP="005144E2">
      <w:pPr>
        <w:widowControl/>
        <w:jc w:val="both"/>
        <w:rPr>
          <w:rFonts w:ascii="Verdana" w:hAnsi="Verdana" w:cs="Arial"/>
          <w:sz w:val="20"/>
          <w:szCs w:val="20"/>
        </w:rPr>
      </w:pPr>
    </w:p>
    <w:p w14:paraId="639744C5" w14:textId="77777777" w:rsidR="00986867" w:rsidRPr="00FD016C" w:rsidRDefault="003F4719" w:rsidP="005144E2">
      <w:pPr>
        <w:jc w:val="both"/>
        <w:rPr>
          <w:rFonts w:ascii="Verdana" w:hAnsi="Verdana" w:cs="Arial"/>
          <w:sz w:val="20"/>
          <w:szCs w:val="20"/>
        </w:rPr>
      </w:pPr>
      <w:r w:rsidRPr="00FD016C">
        <w:rPr>
          <w:rFonts w:ascii="Verdana" w:hAnsi="Verdana" w:cs="Arial"/>
          <w:sz w:val="20"/>
          <w:szCs w:val="20"/>
        </w:rPr>
        <w:t>A seguir, detalhes sobre as autorizações para construção e operação das usinas componentes da Central Nuclear:</w:t>
      </w:r>
    </w:p>
    <w:p w14:paraId="1A450D41" w14:textId="77777777" w:rsidR="00EB61E3" w:rsidRPr="00FD016C" w:rsidRDefault="00EB61E3" w:rsidP="005144E2">
      <w:pPr>
        <w:jc w:val="both"/>
        <w:rPr>
          <w:rFonts w:ascii="Verdana" w:hAnsi="Verdana" w:cs="Arial"/>
          <w:sz w:val="20"/>
          <w:szCs w:val="20"/>
        </w:rPr>
      </w:pPr>
    </w:p>
    <w:p w14:paraId="48C912F8" w14:textId="7D1AB897" w:rsidR="0069376D" w:rsidRPr="00FD016C" w:rsidRDefault="00B456C9" w:rsidP="005144E2">
      <w:pPr>
        <w:jc w:val="both"/>
        <w:rPr>
          <w:rFonts w:ascii="Verdana" w:hAnsi="Verdana" w:cs="Arial"/>
          <w:sz w:val="20"/>
          <w:szCs w:val="20"/>
        </w:rPr>
      </w:pPr>
      <w:r w:rsidRPr="00FD016C">
        <w:rPr>
          <w:noProof/>
        </w:rPr>
        <w:drawing>
          <wp:inline distT="0" distB="0" distL="0" distR="0" wp14:anchorId="6F52F383" wp14:editId="5B4FC466">
            <wp:extent cx="6073140" cy="1253558"/>
            <wp:effectExtent l="0" t="0" r="381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3140" cy="1253558"/>
                    </a:xfrm>
                    <a:prstGeom prst="rect">
                      <a:avLst/>
                    </a:prstGeom>
                    <a:noFill/>
                    <a:ln>
                      <a:noFill/>
                    </a:ln>
                  </pic:spPr>
                </pic:pic>
              </a:graphicData>
            </a:graphic>
          </wp:inline>
        </w:drawing>
      </w:r>
    </w:p>
    <w:p w14:paraId="2EB7028D" w14:textId="77777777" w:rsidR="007250C9" w:rsidRPr="00FD016C" w:rsidRDefault="007250C9" w:rsidP="005144E2">
      <w:pPr>
        <w:widowControl/>
        <w:jc w:val="both"/>
        <w:rPr>
          <w:rFonts w:ascii="Verdana" w:hAnsi="Verdana" w:cs="Arial"/>
          <w:sz w:val="20"/>
          <w:szCs w:val="20"/>
        </w:rPr>
      </w:pPr>
    </w:p>
    <w:p w14:paraId="63E8B105" w14:textId="01CCBF4D" w:rsidR="002E3F1E" w:rsidRPr="00FD016C" w:rsidRDefault="003F4719" w:rsidP="005144E2">
      <w:pPr>
        <w:widowControl/>
        <w:jc w:val="both"/>
        <w:rPr>
          <w:rFonts w:ascii="Verdana" w:hAnsi="Verdana" w:cs="Arial"/>
          <w:sz w:val="20"/>
          <w:szCs w:val="20"/>
        </w:rPr>
      </w:pPr>
      <w:r w:rsidRPr="00FD016C">
        <w:rPr>
          <w:rFonts w:ascii="Verdana" w:hAnsi="Verdana" w:cs="Arial"/>
          <w:sz w:val="20"/>
          <w:szCs w:val="20"/>
        </w:rPr>
        <w:t>A energia elétrica gerada pela Companhia, a partir de 1º de janeiro de 2013, foi rateada entre todas as concessionárias, permissionárias ou autorizadas de serviço público de distribuição no Sistema Interligado Nacional – SIN, de acordo com a metodologia estabelecida na Resolução Normativa nº 530, editada em 21 de dezembro de 2012, pela A</w:t>
      </w:r>
      <w:r w:rsidR="00D35BCA" w:rsidRPr="00FD016C">
        <w:rPr>
          <w:rFonts w:ascii="Verdana" w:hAnsi="Verdana" w:cs="Arial"/>
          <w:sz w:val="20"/>
          <w:szCs w:val="20"/>
        </w:rPr>
        <w:t>neel</w:t>
      </w:r>
      <w:r w:rsidRPr="00FD016C">
        <w:rPr>
          <w:rFonts w:ascii="Verdana" w:hAnsi="Verdana" w:cs="Arial"/>
          <w:sz w:val="20"/>
          <w:szCs w:val="20"/>
        </w:rPr>
        <w:t>, para o cálculo das cotas-partes anuais referentes à energia das centrais de geração Angra 1 e Angra 2 e as condições para a comercialização dessa energia na forma do art.11, da Lei nº 12.111/2009.</w:t>
      </w:r>
    </w:p>
    <w:p w14:paraId="70DC0B98" w14:textId="77777777" w:rsidR="00C57A0A" w:rsidRPr="00FD016C" w:rsidRDefault="00C57A0A" w:rsidP="00C57A0A">
      <w:pPr>
        <w:widowControl/>
        <w:ind w:left="360" w:hanging="360"/>
        <w:jc w:val="both"/>
        <w:rPr>
          <w:rFonts w:ascii="Verdana" w:hAnsi="Verdana" w:cs="Arial"/>
          <w:i/>
          <w:sz w:val="20"/>
          <w:szCs w:val="20"/>
        </w:rPr>
      </w:pPr>
    </w:p>
    <w:p w14:paraId="44B5ACF2" w14:textId="5204318A" w:rsidR="003F4719" w:rsidRPr="00FD016C" w:rsidRDefault="003F4719" w:rsidP="005144E2">
      <w:pPr>
        <w:widowControl/>
        <w:tabs>
          <w:tab w:val="left" w:pos="142"/>
        </w:tabs>
        <w:jc w:val="both"/>
        <w:rPr>
          <w:rFonts w:ascii="Verdana" w:hAnsi="Verdana" w:cs="Arial"/>
          <w:sz w:val="20"/>
          <w:szCs w:val="20"/>
        </w:rPr>
      </w:pPr>
      <w:r w:rsidRPr="00FD016C">
        <w:rPr>
          <w:rFonts w:ascii="Verdana" w:hAnsi="Verdana" w:cs="Arial"/>
          <w:sz w:val="20"/>
          <w:szCs w:val="20"/>
        </w:rPr>
        <w:t xml:space="preserve">Essas cotas-partes representam o percentual da energia proveniente das usinas, a ser alocado </w:t>
      </w:r>
      <w:r w:rsidR="001B4996" w:rsidRPr="00FD016C">
        <w:rPr>
          <w:rFonts w:ascii="Verdana" w:hAnsi="Verdana" w:cs="Arial"/>
          <w:sz w:val="20"/>
          <w:szCs w:val="20"/>
        </w:rPr>
        <w:t>à</w:t>
      </w:r>
      <w:r w:rsidRPr="00FD016C">
        <w:rPr>
          <w:rFonts w:ascii="Verdana" w:hAnsi="Verdana" w:cs="Arial"/>
          <w:sz w:val="20"/>
          <w:szCs w:val="20"/>
        </w:rPr>
        <w:t xml:space="preserve"> cada distribuidora, calculado pela razão entre o seu mercado faturado dos consumidores e a soma dos mercados faturados dos consumidores cativos de todas as distribuidoras do Sistema Interligado Nacional - SIN.</w:t>
      </w:r>
    </w:p>
    <w:p w14:paraId="08B89AF5" w14:textId="77777777" w:rsidR="003F4719" w:rsidRPr="00FD016C" w:rsidRDefault="003F4719" w:rsidP="005144E2">
      <w:pPr>
        <w:widowControl/>
        <w:tabs>
          <w:tab w:val="left" w:pos="142"/>
        </w:tabs>
        <w:jc w:val="both"/>
        <w:rPr>
          <w:rFonts w:ascii="Verdana" w:hAnsi="Verdana" w:cs="Arial"/>
          <w:sz w:val="20"/>
          <w:szCs w:val="20"/>
        </w:rPr>
      </w:pPr>
    </w:p>
    <w:p w14:paraId="2D1D50B8" w14:textId="4C6CF650" w:rsidR="003F4719" w:rsidRPr="00FD016C" w:rsidRDefault="003F4719" w:rsidP="005144E2">
      <w:pPr>
        <w:widowControl/>
        <w:tabs>
          <w:tab w:val="left" w:pos="142"/>
        </w:tabs>
        <w:jc w:val="both"/>
        <w:rPr>
          <w:rFonts w:ascii="Verdana" w:hAnsi="Verdana" w:cs="Arial"/>
          <w:sz w:val="20"/>
          <w:szCs w:val="20"/>
        </w:rPr>
      </w:pPr>
      <w:r w:rsidRPr="00FD016C">
        <w:rPr>
          <w:rFonts w:ascii="Verdana" w:hAnsi="Verdana" w:cs="Arial"/>
          <w:sz w:val="20"/>
          <w:szCs w:val="20"/>
        </w:rPr>
        <w:t>A A</w:t>
      </w:r>
      <w:r w:rsidR="0094209A" w:rsidRPr="00FD016C">
        <w:rPr>
          <w:rFonts w:ascii="Verdana" w:hAnsi="Verdana" w:cs="Arial"/>
          <w:sz w:val="20"/>
          <w:szCs w:val="20"/>
        </w:rPr>
        <w:t>neel</w:t>
      </w:r>
      <w:r w:rsidRPr="00FD016C">
        <w:rPr>
          <w:rFonts w:ascii="Verdana" w:hAnsi="Verdana" w:cs="Arial"/>
          <w:sz w:val="20"/>
          <w:szCs w:val="20"/>
        </w:rPr>
        <w:t xml:space="preserve"> estabeleceu as cotas-partes anuais referentes à geração para os anos de 20</w:t>
      </w:r>
      <w:r w:rsidR="000A4932" w:rsidRPr="00FD016C">
        <w:rPr>
          <w:rFonts w:ascii="Verdana" w:hAnsi="Verdana" w:cs="Arial"/>
          <w:sz w:val="20"/>
          <w:szCs w:val="20"/>
        </w:rPr>
        <w:t>21</w:t>
      </w:r>
      <w:r w:rsidRPr="00FD016C">
        <w:rPr>
          <w:rFonts w:ascii="Verdana" w:hAnsi="Verdana" w:cs="Arial"/>
          <w:sz w:val="20"/>
          <w:szCs w:val="20"/>
        </w:rPr>
        <w:t xml:space="preserve"> a 202</w:t>
      </w:r>
      <w:r w:rsidR="00583061" w:rsidRPr="00FD016C">
        <w:rPr>
          <w:rFonts w:ascii="Verdana" w:hAnsi="Verdana" w:cs="Arial"/>
          <w:sz w:val="20"/>
          <w:szCs w:val="20"/>
        </w:rPr>
        <w:t>8</w:t>
      </w:r>
      <w:r w:rsidRPr="00FD016C">
        <w:rPr>
          <w:rFonts w:ascii="Verdana" w:hAnsi="Verdana" w:cs="Arial"/>
          <w:sz w:val="20"/>
          <w:szCs w:val="20"/>
        </w:rPr>
        <w:t>, bem como os montantes de energia a serem alocadas às distribuidoras do SIN</w:t>
      </w:r>
      <w:r w:rsidR="000A4932" w:rsidRPr="00FD016C">
        <w:rPr>
          <w:rFonts w:ascii="Verdana" w:hAnsi="Verdana" w:cs="Arial"/>
          <w:sz w:val="20"/>
          <w:szCs w:val="20"/>
        </w:rPr>
        <w:t xml:space="preserve"> em 2021</w:t>
      </w:r>
      <w:r w:rsidRPr="00FD016C">
        <w:rPr>
          <w:rFonts w:ascii="Verdana" w:hAnsi="Verdana" w:cs="Arial"/>
          <w:sz w:val="20"/>
          <w:szCs w:val="20"/>
        </w:rPr>
        <w:t>, através das Resoluções Homologatórias:</w:t>
      </w:r>
    </w:p>
    <w:p w14:paraId="6157DE90" w14:textId="77777777" w:rsidR="00364C39" w:rsidRPr="00FD016C" w:rsidRDefault="00364C39" w:rsidP="005144E2">
      <w:pPr>
        <w:widowControl/>
        <w:tabs>
          <w:tab w:val="left" w:pos="142"/>
        </w:tabs>
        <w:jc w:val="both"/>
        <w:rPr>
          <w:rFonts w:ascii="Verdana" w:hAnsi="Verdana" w:cs="Arial"/>
          <w:sz w:val="20"/>
          <w:szCs w:val="20"/>
        </w:rPr>
      </w:pPr>
      <w:r w:rsidRPr="00FD016C">
        <w:rPr>
          <w:rFonts w:ascii="Verdana" w:hAnsi="Verdana" w:cs="Arial"/>
          <w:sz w:val="20"/>
          <w:szCs w:val="20"/>
        </w:rPr>
        <w:lastRenderedPageBreak/>
        <w:t>- 2.011/2015 de 15 de dezembro de 2015</w:t>
      </w:r>
      <w:r w:rsidR="0064292C" w:rsidRPr="00FD016C">
        <w:rPr>
          <w:rFonts w:ascii="Verdana" w:hAnsi="Verdana" w:cs="Arial"/>
          <w:sz w:val="20"/>
          <w:szCs w:val="20"/>
        </w:rPr>
        <w:t xml:space="preserve"> (cotas-partes de 2021)</w:t>
      </w:r>
    </w:p>
    <w:p w14:paraId="03022803" w14:textId="77777777" w:rsidR="00BB1E41" w:rsidRPr="00FD016C" w:rsidRDefault="00BB1E41" w:rsidP="005144E2">
      <w:pPr>
        <w:widowControl/>
        <w:tabs>
          <w:tab w:val="left" w:pos="142"/>
        </w:tabs>
        <w:jc w:val="both"/>
        <w:rPr>
          <w:rFonts w:ascii="Verdana" w:hAnsi="Verdana" w:cs="Arial"/>
          <w:sz w:val="20"/>
          <w:szCs w:val="20"/>
        </w:rPr>
      </w:pPr>
      <w:r w:rsidRPr="00FD016C">
        <w:rPr>
          <w:rFonts w:ascii="Verdana" w:hAnsi="Verdana" w:cs="Arial"/>
          <w:sz w:val="20"/>
          <w:szCs w:val="20"/>
        </w:rPr>
        <w:t>- 2.179/2016 de 29 de novembro de 2016 (cotas-partes de 2022)</w:t>
      </w:r>
    </w:p>
    <w:p w14:paraId="04C5AB93" w14:textId="77777777" w:rsidR="007C59F8" w:rsidRPr="00FD016C" w:rsidRDefault="007C59F8" w:rsidP="005144E2">
      <w:pPr>
        <w:widowControl/>
        <w:tabs>
          <w:tab w:val="left" w:pos="142"/>
        </w:tabs>
        <w:jc w:val="both"/>
        <w:rPr>
          <w:rFonts w:ascii="Verdana" w:hAnsi="Verdana" w:cs="Arial"/>
          <w:sz w:val="20"/>
          <w:szCs w:val="20"/>
        </w:rPr>
      </w:pPr>
      <w:r w:rsidRPr="00FD016C">
        <w:rPr>
          <w:rFonts w:ascii="Verdana" w:hAnsi="Verdana" w:cs="Arial"/>
          <w:sz w:val="20"/>
          <w:szCs w:val="20"/>
        </w:rPr>
        <w:t>- 2.354/2017 de 05 de dezembro</w:t>
      </w:r>
      <w:r w:rsidR="00825B3D" w:rsidRPr="00FD016C">
        <w:rPr>
          <w:rFonts w:ascii="Verdana" w:hAnsi="Verdana" w:cs="Arial"/>
          <w:sz w:val="20"/>
          <w:szCs w:val="20"/>
        </w:rPr>
        <w:t xml:space="preserve"> de 2017 (cotas-partes de 2023)</w:t>
      </w:r>
    </w:p>
    <w:p w14:paraId="2E53C786" w14:textId="77777777" w:rsidR="00825B3D" w:rsidRPr="00FD016C" w:rsidRDefault="00825B3D" w:rsidP="005144E2">
      <w:pPr>
        <w:widowControl/>
        <w:tabs>
          <w:tab w:val="left" w:pos="142"/>
        </w:tabs>
        <w:jc w:val="both"/>
        <w:rPr>
          <w:rFonts w:ascii="Verdana" w:hAnsi="Verdana" w:cs="Arial"/>
          <w:sz w:val="20"/>
          <w:szCs w:val="20"/>
        </w:rPr>
      </w:pPr>
      <w:r w:rsidRPr="00FD016C">
        <w:rPr>
          <w:rFonts w:ascii="Verdana" w:hAnsi="Verdana" w:cs="Arial"/>
          <w:sz w:val="20"/>
          <w:szCs w:val="20"/>
        </w:rPr>
        <w:t>- 2.499/2018 de 18 de dezembro de 2018 (cotas-partes de 2024 a 2026)</w:t>
      </w:r>
    </w:p>
    <w:p w14:paraId="5B8501C4" w14:textId="13D38F39" w:rsidR="00CF471E" w:rsidRPr="00FD016C" w:rsidRDefault="00CF471E" w:rsidP="00CF471E">
      <w:pPr>
        <w:widowControl/>
        <w:tabs>
          <w:tab w:val="left" w:pos="142"/>
        </w:tabs>
        <w:jc w:val="both"/>
        <w:rPr>
          <w:rFonts w:ascii="Verdana" w:hAnsi="Verdana" w:cs="Arial"/>
          <w:sz w:val="20"/>
          <w:szCs w:val="20"/>
        </w:rPr>
      </w:pPr>
      <w:r w:rsidRPr="00FD016C">
        <w:rPr>
          <w:rFonts w:ascii="Verdana" w:hAnsi="Verdana" w:cs="Arial"/>
          <w:sz w:val="20"/>
          <w:szCs w:val="20"/>
        </w:rPr>
        <w:t>- 2.643/2019 de 26 de novembro de 2019 (cotas-partes de 2027)</w:t>
      </w:r>
    </w:p>
    <w:p w14:paraId="24B87B89" w14:textId="6563DC15" w:rsidR="007F7048" w:rsidRPr="00FD016C" w:rsidRDefault="007F7048" w:rsidP="007F7048">
      <w:pPr>
        <w:widowControl/>
        <w:tabs>
          <w:tab w:val="left" w:pos="142"/>
        </w:tabs>
        <w:jc w:val="both"/>
        <w:rPr>
          <w:rFonts w:ascii="Verdana" w:hAnsi="Verdana" w:cs="Arial"/>
          <w:sz w:val="20"/>
          <w:szCs w:val="20"/>
        </w:rPr>
      </w:pPr>
      <w:r w:rsidRPr="00FD016C">
        <w:rPr>
          <w:rFonts w:ascii="Verdana" w:hAnsi="Verdana" w:cs="Arial"/>
          <w:sz w:val="20"/>
          <w:szCs w:val="20"/>
        </w:rPr>
        <w:t>- 2.805/2020 de 24 de novembro de 2020 (cotas-partes de 2028)</w:t>
      </w:r>
    </w:p>
    <w:p w14:paraId="362A27D1" w14:textId="77777777" w:rsidR="007F7048" w:rsidRPr="00FD016C" w:rsidRDefault="007F7048" w:rsidP="00CF471E">
      <w:pPr>
        <w:widowControl/>
        <w:tabs>
          <w:tab w:val="left" w:pos="142"/>
        </w:tabs>
        <w:jc w:val="both"/>
        <w:rPr>
          <w:rFonts w:ascii="Verdana" w:hAnsi="Verdana" w:cs="Arial"/>
          <w:sz w:val="20"/>
          <w:szCs w:val="20"/>
        </w:rPr>
      </w:pPr>
    </w:p>
    <w:p w14:paraId="0B7380A6" w14:textId="0A07732A" w:rsidR="003F4719" w:rsidRPr="00FD016C" w:rsidRDefault="003F4719" w:rsidP="005144E2">
      <w:pPr>
        <w:jc w:val="both"/>
        <w:rPr>
          <w:rFonts w:ascii="Verdana" w:hAnsi="Verdana" w:cs="Arial"/>
          <w:sz w:val="20"/>
          <w:szCs w:val="20"/>
        </w:rPr>
      </w:pPr>
      <w:r w:rsidRPr="00FD016C">
        <w:rPr>
          <w:rFonts w:ascii="Verdana" w:hAnsi="Verdana" w:cs="Arial"/>
          <w:sz w:val="20"/>
          <w:szCs w:val="20"/>
        </w:rPr>
        <w:t>A Companhia apresenta capital circulante líquido</w:t>
      </w:r>
      <w:r w:rsidR="00447421" w:rsidRPr="00FD016C">
        <w:rPr>
          <w:rFonts w:ascii="Verdana" w:hAnsi="Verdana" w:cs="Arial"/>
          <w:sz w:val="20"/>
          <w:szCs w:val="20"/>
        </w:rPr>
        <w:t xml:space="preserve"> </w:t>
      </w:r>
      <w:r w:rsidR="004C398B" w:rsidRPr="00FD016C">
        <w:rPr>
          <w:rFonts w:ascii="Verdana" w:hAnsi="Verdana" w:cs="Arial"/>
          <w:sz w:val="20"/>
          <w:szCs w:val="20"/>
        </w:rPr>
        <w:t>negativo</w:t>
      </w:r>
      <w:r w:rsidRPr="00FD016C">
        <w:rPr>
          <w:rFonts w:ascii="Verdana" w:hAnsi="Verdana" w:cs="Arial"/>
          <w:sz w:val="20"/>
          <w:szCs w:val="20"/>
        </w:rPr>
        <w:t xml:space="preserve"> de </w:t>
      </w:r>
      <w:r w:rsidR="005031C8" w:rsidRPr="00FD016C">
        <w:rPr>
          <w:rFonts w:ascii="Verdana" w:hAnsi="Verdana" w:cs="Arial"/>
          <w:sz w:val="20"/>
          <w:szCs w:val="20"/>
        </w:rPr>
        <w:t>R</w:t>
      </w:r>
      <w:r w:rsidR="00132377" w:rsidRPr="00FD016C">
        <w:rPr>
          <w:rFonts w:ascii="Verdana" w:hAnsi="Verdana" w:cs="Arial"/>
          <w:sz w:val="20"/>
          <w:szCs w:val="20"/>
        </w:rPr>
        <w:t>$</w:t>
      </w:r>
      <w:r w:rsidR="00D46937" w:rsidRPr="00FD016C">
        <w:rPr>
          <w:rFonts w:ascii="Verdana" w:hAnsi="Verdana" w:cs="Arial"/>
          <w:sz w:val="20"/>
          <w:szCs w:val="20"/>
        </w:rPr>
        <w:t xml:space="preserve"> </w:t>
      </w:r>
      <w:r w:rsidR="00E4644F" w:rsidRPr="00FD016C">
        <w:rPr>
          <w:rFonts w:ascii="Verdana" w:hAnsi="Verdana" w:cs="Arial"/>
          <w:sz w:val="20"/>
          <w:szCs w:val="20"/>
        </w:rPr>
        <w:t>488.653</w:t>
      </w:r>
      <w:r w:rsidR="00447421" w:rsidRPr="00FD016C">
        <w:rPr>
          <w:rFonts w:ascii="Verdana" w:hAnsi="Verdana" w:cs="Arial"/>
          <w:sz w:val="20"/>
          <w:szCs w:val="20"/>
        </w:rPr>
        <w:t xml:space="preserve"> </w:t>
      </w:r>
      <w:r w:rsidRPr="00FD016C">
        <w:rPr>
          <w:rFonts w:ascii="Verdana" w:hAnsi="Verdana" w:cs="Arial"/>
          <w:sz w:val="20"/>
          <w:szCs w:val="20"/>
        </w:rPr>
        <w:t>em 3</w:t>
      </w:r>
      <w:r w:rsidR="00024CD2" w:rsidRPr="00FD016C">
        <w:rPr>
          <w:rFonts w:ascii="Verdana" w:hAnsi="Verdana" w:cs="Arial"/>
          <w:sz w:val="20"/>
          <w:szCs w:val="20"/>
        </w:rPr>
        <w:t>0</w:t>
      </w:r>
      <w:r w:rsidR="00613660" w:rsidRPr="00FD016C">
        <w:rPr>
          <w:rFonts w:ascii="Verdana" w:hAnsi="Verdana" w:cs="Arial"/>
          <w:sz w:val="20"/>
          <w:szCs w:val="20"/>
        </w:rPr>
        <w:t xml:space="preserve"> de </w:t>
      </w:r>
      <w:r w:rsidR="00AF5373" w:rsidRPr="00FD016C">
        <w:rPr>
          <w:rFonts w:ascii="Verdana" w:hAnsi="Verdana" w:cs="Arial"/>
          <w:sz w:val="20"/>
          <w:szCs w:val="20"/>
        </w:rPr>
        <w:t>setembro</w:t>
      </w:r>
      <w:r w:rsidR="00B65615" w:rsidRPr="00FD016C">
        <w:rPr>
          <w:rFonts w:ascii="Verdana" w:hAnsi="Verdana" w:cs="Arial"/>
          <w:sz w:val="20"/>
          <w:szCs w:val="20"/>
        </w:rPr>
        <w:t xml:space="preserve"> </w:t>
      </w:r>
      <w:r w:rsidRPr="00FD016C">
        <w:rPr>
          <w:rFonts w:ascii="Verdana" w:hAnsi="Verdana" w:cs="Arial"/>
          <w:sz w:val="20"/>
          <w:szCs w:val="20"/>
        </w:rPr>
        <w:t>de 20</w:t>
      </w:r>
      <w:r w:rsidR="004D7D3C" w:rsidRPr="00FD016C">
        <w:rPr>
          <w:rFonts w:ascii="Verdana" w:hAnsi="Verdana" w:cs="Arial"/>
          <w:sz w:val="20"/>
          <w:szCs w:val="20"/>
        </w:rPr>
        <w:t>2</w:t>
      </w:r>
      <w:r w:rsidR="003B49A3" w:rsidRPr="00FD016C">
        <w:rPr>
          <w:rFonts w:ascii="Verdana" w:hAnsi="Verdana" w:cs="Arial"/>
          <w:sz w:val="20"/>
          <w:szCs w:val="20"/>
        </w:rPr>
        <w:t>1</w:t>
      </w:r>
      <w:r w:rsidRPr="00FD016C">
        <w:rPr>
          <w:rFonts w:ascii="Verdana" w:hAnsi="Verdana" w:cs="Arial"/>
          <w:sz w:val="20"/>
          <w:szCs w:val="20"/>
        </w:rPr>
        <w:t xml:space="preserve"> (</w:t>
      </w:r>
      <w:r w:rsidR="003B49A3" w:rsidRPr="00FD016C">
        <w:rPr>
          <w:rFonts w:ascii="Verdana" w:hAnsi="Verdana" w:cs="Arial"/>
          <w:sz w:val="20"/>
          <w:szCs w:val="20"/>
        </w:rPr>
        <w:t xml:space="preserve">negativo de </w:t>
      </w:r>
      <w:r w:rsidRPr="00FD016C">
        <w:rPr>
          <w:rFonts w:ascii="Verdana" w:hAnsi="Verdana" w:cs="Arial"/>
          <w:sz w:val="20"/>
          <w:szCs w:val="20"/>
        </w:rPr>
        <w:t xml:space="preserve">R$ </w:t>
      </w:r>
      <w:r w:rsidR="003B49A3" w:rsidRPr="00FD016C">
        <w:rPr>
          <w:rFonts w:ascii="Verdana" w:hAnsi="Verdana" w:cs="Arial"/>
          <w:sz w:val="20"/>
          <w:szCs w:val="20"/>
        </w:rPr>
        <w:t xml:space="preserve">512.826 em </w:t>
      </w:r>
      <w:r w:rsidRPr="00FD016C">
        <w:rPr>
          <w:rFonts w:ascii="Verdana" w:hAnsi="Verdana" w:cs="Arial"/>
          <w:sz w:val="20"/>
          <w:szCs w:val="20"/>
        </w:rPr>
        <w:t xml:space="preserve">31 de </w:t>
      </w:r>
      <w:r w:rsidR="007D37D9" w:rsidRPr="00FD016C">
        <w:rPr>
          <w:rFonts w:ascii="Verdana" w:hAnsi="Verdana" w:cs="Arial"/>
          <w:sz w:val="20"/>
          <w:szCs w:val="20"/>
        </w:rPr>
        <w:t>d</w:t>
      </w:r>
      <w:r w:rsidRPr="00FD016C">
        <w:rPr>
          <w:rFonts w:ascii="Verdana" w:hAnsi="Verdana" w:cs="Arial"/>
          <w:sz w:val="20"/>
          <w:szCs w:val="20"/>
        </w:rPr>
        <w:t>ezembro de 20</w:t>
      </w:r>
      <w:r w:rsidR="003B49A3" w:rsidRPr="00FD016C">
        <w:rPr>
          <w:rFonts w:ascii="Verdana" w:hAnsi="Verdana" w:cs="Arial"/>
          <w:sz w:val="20"/>
          <w:szCs w:val="20"/>
        </w:rPr>
        <w:t>20</w:t>
      </w:r>
      <w:r w:rsidRPr="00FD016C">
        <w:rPr>
          <w:rFonts w:ascii="Verdana" w:hAnsi="Verdana" w:cs="Arial"/>
          <w:sz w:val="20"/>
          <w:szCs w:val="20"/>
        </w:rPr>
        <w:t>)</w:t>
      </w:r>
      <w:r w:rsidR="00A21423" w:rsidRPr="00FD016C">
        <w:rPr>
          <w:rFonts w:ascii="Verdana" w:hAnsi="Verdana" w:cs="Arial"/>
          <w:sz w:val="20"/>
          <w:szCs w:val="20"/>
        </w:rPr>
        <w:t>.</w:t>
      </w:r>
      <w:r w:rsidR="0032123A" w:rsidRPr="00FD016C">
        <w:rPr>
          <w:rFonts w:ascii="Verdana" w:hAnsi="Verdana" w:cs="Arial"/>
          <w:sz w:val="20"/>
          <w:szCs w:val="20"/>
        </w:rPr>
        <w:t xml:space="preserve"> </w:t>
      </w:r>
      <w:r w:rsidR="00EF1F6C" w:rsidRPr="00FD016C">
        <w:rPr>
          <w:rFonts w:ascii="Verdana" w:hAnsi="Verdana" w:cs="Arial"/>
          <w:sz w:val="20"/>
          <w:szCs w:val="20"/>
        </w:rPr>
        <w:t>As tratativas sobre a liquidez da Companhia</w:t>
      </w:r>
      <w:r w:rsidR="00FD781D" w:rsidRPr="00FD016C">
        <w:rPr>
          <w:rFonts w:ascii="Verdana" w:hAnsi="Verdana" w:cs="Arial"/>
          <w:sz w:val="20"/>
          <w:szCs w:val="20"/>
        </w:rPr>
        <w:t>, impactada substancialmente pelos financiamentos das obras de Angra 3,</w:t>
      </w:r>
      <w:r w:rsidR="00EF1F6C" w:rsidRPr="00FD016C">
        <w:rPr>
          <w:rFonts w:ascii="Verdana" w:hAnsi="Verdana" w:cs="Arial"/>
          <w:sz w:val="20"/>
          <w:szCs w:val="20"/>
        </w:rPr>
        <w:t xml:space="preserve"> podem ser observadas na nota 4.1d</w:t>
      </w:r>
      <w:r w:rsidR="0032123A" w:rsidRPr="00FD016C">
        <w:rPr>
          <w:rFonts w:ascii="Verdana" w:hAnsi="Verdana" w:cs="Arial"/>
          <w:sz w:val="20"/>
          <w:szCs w:val="20"/>
        </w:rPr>
        <w:t>.</w:t>
      </w:r>
    </w:p>
    <w:p w14:paraId="691B0E75" w14:textId="77777777" w:rsidR="00B45FA5" w:rsidRPr="00FD016C" w:rsidRDefault="00B45FA5" w:rsidP="005144E2">
      <w:pPr>
        <w:widowControl/>
        <w:tabs>
          <w:tab w:val="left" w:pos="142"/>
        </w:tabs>
        <w:jc w:val="both"/>
        <w:rPr>
          <w:rFonts w:ascii="Verdana" w:hAnsi="Verdana" w:cs="Arial"/>
          <w:sz w:val="20"/>
          <w:szCs w:val="20"/>
        </w:rPr>
      </w:pPr>
    </w:p>
    <w:p w14:paraId="6E625EAA" w14:textId="77777777" w:rsidR="00BB3E7B" w:rsidRPr="00FD016C" w:rsidRDefault="00BB3E7B" w:rsidP="005144E2">
      <w:pPr>
        <w:widowControl/>
        <w:tabs>
          <w:tab w:val="left" w:pos="142"/>
        </w:tabs>
        <w:jc w:val="both"/>
        <w:rPr>
          <w:rFonts w:ascii="Verdana" w:hAnsi="Verdana" w:cs="Arial"/>
          <w:sz w:val="20"/>
          <w:szCs w:val="20"/>
        </w:rPr>
      </w:pPr>
    </w:p>
    <w:p w14:paraId="06CCEA38" w14:textId="77777777" w:rsidR="006C491B" w:rsidRPr="008F68C9" w:rsidRDefault="006C491B" w:rsidP="006C491B">
      <w:pPr>
        <w:pStyle w:val="yiv6459758197msolistparagraph"/>
        <w:shd w:val="clear" w:color="auto" w:fill="FFFFFF"/>
        <w:spacing w:before="0" w:beforeAutospacing="0" w:after="0" w:afterAutospacing="0"/>
        <w:jc w:val="both"/>
        <w:rPr>
          <w:rFonts w:ascii="Verdana" w:hAnsi="Verdana" w:cs="Arial"/>
          <w:b/>
          <w:color w:val="0070C0"/>
          <w:u w:val="single"/>
        </w:rPr>
      </w:pPr>
      <w:r w:rsidRPr="008F68C9">
        <w:rPr>
          <w:rFonts w:ascii="Verdana" w:hAnsi="Verdana" w:cs="Arial"/>
          <w:b/>
          <w:color w:val="0070C0"/>
        </w:rPr>
        <w:t>1.1 -</w:t>
      </w:r>
      <w:r w:rsidRPr="008F68C9">
        <w:rPr>
          <w:rFonts w:ascii="Verdana" w:hAnsi="Verdana" w:cs="Arial"/>
          <w:b/>
          <w:color w:val="0070C0"/>
        </w:rPr>
        <w:tab/>
        <w:t>COVID-19</w:t>
      </w:r>
      <w:r w:rsidRPr="008F68C9">
        <w:rPr>
          <w:rFonts w:ascii="Verdana" w:hAnsi="Verdana" w:cs="Arial"/>
          <w:b/>
          <w:color w:val="0070C0"/>
          <w:u w:val="single"/>
        </w:rPr>
        <w:t xml:space="preserve"> </w:t>
      </w:r>
    </w:p>
    <w:p w14:paraId="7E4216D2" w14:textId="77777777" w:rsidR="006C491B" w:rsidRPr="008F68C9" w:rsidRDefault="006C491B" w:rsidP="006C491B">
      <w:pPr>
        <w:pStyle w:val="yiv6459758197msolistparagraph"/>
        <w:shd w:val="clear" w:color="auto" w:fill="FFFFFF"/>
        <w:spacing w:before="0" w:beforeAutospacing="0" w:after="0" w:afterAutospacing="0"/>
        <w:jc w:val="both"/>
        <w:rPr>
          <w:rFonts w:ascii="Verdana" w:hAnsi="Verdana" w:cs="Arial"/>
          <w:b/>
          <w:color w:val="000000" w:themeColor="text1"/>
          <w:sz w:val="20"/>
          <w:szCs w:val="20"/>
          <w:u w:val="single"/>
        </w:rPr>
      </w:pPr>
    </w:p>
    <w:p w14:paraId="48726422" w14:textId="77777777" w:rsidR="006C491B" w:rsidRPr="00D85A7B" w:rsidRDefault="006C491B" w:rsidP="006C491B">
      <w:pPr>
        <w:autoSpaceDE w:val="0"/>
        <w:autoSpaceDN w:val="0"/>
        <w:jc w:val="both"/>
        <w:rPr>
          <w:rFonts w:ascii="Verdana" w:hAnsi="Verdana" w:cs="Arial"/>
          <w:b/>
          <w:color w:val="0070C0"/>
          <w:u w:val="single"/>
        </w:rPr>
      </w:pPr>
      <w:r w:rsidRPr="00D85A7B">
        <w:rPr>
          <w:rFonts w:ascii="Verdana" w:hAnsi="Verdana" w:cs="Arial"/>
          <w:b/>
          <w:color w:val="0070C0"/>
          <w:u w:val="single"/>
        </w:rPr>
        <w:t>Atividades Operacionais</w:t>
      </w:r>
    </w:p>
    <w:p w14:paraId="67785147" w14:textId="77777777" w:rsidR="006C491B" w:rsidRPr="00D85A7B" w:rsidRDefault="006C491B" w:rsidP="006C491B">
      <w:pPr>
        <w:autoSpaceDE w:val="0"/>
        <w:autoSpaceDN w:val="0"/>
        <w:jc w:val="both"/>
        <w:rPr>
          <w:rFonts w:ascii="Verdana" w:hAnsi="Verdana" w:cs="Arial"/>
          <w:color w:val="000000"/>
          <w:sz w:val="20"/>
          <w:szCs w:val="20"/>
        </w:rPr>
      </w:pPr>
    </w:p>
    <w:p w14:paraId="0DD30456" w14:textId="77777777" w:rsidR="006C491B" w:rsidRPr="00E56C12"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Em março de 2020, a Organização Mundial da Saúde -OMS caracterizou a propagação da COVID-19, doença causada pelo novo </w:t>
      </w:r>
      <w:proofErr w:type="spellStart"/>
      <w:r w:rsidRPr="00E56C12">
        <w:rPr>
          <w:rFonts w:ascii="Verdana" w:hAnsi="Verdana" w:cs="Arial"/>
          <w:color w:val="000000"/>
          <w:sz w:val="20"/>
          <w:szCs w:val="20"/>
        </w:rPr>
        <w:t>coronavírus</w:t>
      </w:r>
      <w:proofErr w:type="spellEnd"/>
      <w:r w:rsidRPr="00E56C12">
        <w:rPr>
          <w:rFonts w:ascii="Verdana" w:hAnsi="Verdana" w:cs="Arial"/>
          <w:color w:val="000000"/>
          <w:sz w:val="20"/>
          <w:szCs w:val="20"/>
        </w:rPr>
        <w:t xml:space="preserve">, como pandemia, fazendo com que os países adotassem abordagens que possibilitem a prevenção de infecções, a preservação da vida e a minimização dos impactos decorrentes da referida doença. </w:t>
      </w:r>
    </w:p>
    <w:p w14:paraId="735A0E29" w14:textId="77777777" w:rsidR="006C491B" w:rsidRPr="00E56C12" w:rsidRDefault="006C491B" w:rsidP="006C491B">
      <w:pPr>
        <w:autoSpaceDE w:val="0"/>
        <w:autoSpaceDN w:val="0"/>
        <w:jc w:val="both"/>
        <w:rPr>
          <w:rFonts w:ascii="Verdana" w:hAnsi="Verdana" w:cs="Arial"/>
          <w:color w:val="000000"/>
          <w:sz w:val="20"/>
          <w:szCs w:val="20"/>
        </w:rPr>
      </w:pPr>
    </w:p>
    <w:p w14:paraId="60DE4091" w14:textId="77777777" w:rsidR="006C491B" w:rsidRPr="00E56C12"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Em decorrência da pandemia, foram tomadas medidas restritivas no sentido de determinar o distanciamento social e o fechamento de estabelecimentos comerciais, além da paralisação da indústria. Estas medidas resultaram em desaceleração da cadeia de suprimentos e significativo impacto na economia global.</w:t>
      </w:r>
    </w:p>
    <w:p w14:paraId="495FD650" w14:textId="77777777" w:rsidR="006C491B" w:rsidRPr="00E56C12" w:rsidRDefault="006C491B" w:rsidP="006C491B">
      <w:pPr>
        <w:autoSpaceDE w:val="0"/>
        <w:autoSpaceDN w:val="0"/>
        <w:jc w:val="both"/>
        <w:rPr>
          <w:rFonts w:ascii="Verdana" w:hAnsi="Verdana" w:cs="Arial"/>
          <w:color w:val="000000"/>
          <w:sz w:val="20"/>
          <w:szCs w:val="20"/>
        </w:rPr>
      </w:pPr>
    </w:p>
    <w:p w14:paraId="7CAD9A85" w14:textId="77777777" w:rsidR="006C491B" w:rsidRPr="00E56C12"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A Companhia vem seguindo as recomendações do Ministério da Saúde, do Governo do Estado do Rio de Janeiro e das cidades onde se encontram suas unidades administrativas e operacionais, no que se refere à operação e vem adotando todas as medidas para manter a normalidade de suas atividades, dado o setor estratégico em que está inserida.</w:t>
      </w:r>
    </w:p>
    <w:p w14:paraId="2B0DC9E4" w14:textId="77777777" w:rsidR="006C491B" w:rsidRPr="00E56C12" w:rsidRDefault="006C491B" w:rsidP="006C491B">
      <w:pPr>
        <w:autoSpaceDE w:val="0"/>
        <w:autoSpaceDN w:val="0"/>
        <w:jc w:val="both"/>
        <w:rPr>
          <w:rFonts w:ascii="Verdana" w:hAnsi="Verdana" w:cs="Arial"/>
          <w:color w:val="000000"/>
          <w:sz w:val="20"/>
          <w:szCs w:val="20"/>
        </w:rPr>
      </w:pPr>
    </w:p>
    <w:p w14:paraId="4B07071F" w14:textId="77777777" w:rsidR="006C491B" w:rsidRPr="00E56C12"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A Companhia mantém acompanhamento diligente das suas operações, tendo aprimorado os protocolos originais de operação e ações emergenciais a serem adotadas</w:t>
      </w:r>
      <w:r>
        <w:rPr>
          <w:rFonts w:ascii="Verdana" w:hAnsi="Verdana" w:cs="Arial"/>
          <w:color w:val="000000"/>
          <w:sz w:val="20"/>
          <w:szCs w:val="20"/>
        </w:rPr>
        <w:t xml:space="preserve"> e</w:t>
      </w:r>
      <w:r w:rsidRPr="00E56C12">
        <w:rPr>
          <w:rFonts w:ascii="Verdana" w:hAnsi="Verdana" w:cs="Arial"/>
          <w:color w:val="000000"/>
          <w:sz w:val="20"/>
          <w:szCs w:val="20"/>
        </w:rPr>
        <w:t xml:space="preserve"> não observou impactos relevantes no desempenho operacional relacionados à pandemia da COVID-19 em suas demonstrações financeiras, estando suas atividades autorizadas pelos órgãos federativos, visto a condição de atividade essencial às atividades do país.</w:t>
      </w:r>
    </w:p>
    <w:p w14:paraId="67A8FB30" w14:textId="77777777" w:rsidR="006C491B" w:rsidRPr="00E56C12" w:rsidRDefault="006C491B" w:rsidP="006C491B">
      <w:pPr>
        <w:autoSpaceDE w:val="0"/>
        <w:autoSpaceDN w:val="0"/>
        <w:jc w:val="both"/>
        <w:rPr>
          <w:rFonts w:ascii="Verdana" w:hAnsi="Verdana" w:cs="Arial"/>
          <w:color w:val="000000"/>
          <w:sz w:val="20"/>
          <w:szCs w:val="20"/>
        </w:rPr>
      </w:pPr>
    </w:p>
    <w:p w14:paraId="58B952DA" w14:textId="77777777" w:rsidR="006C491B"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 xml:space="preserve">Adicionalmente, considerando que não haja o agravamento da pandemia e ocorra a retomada da atividade econômica aos níveis anteriores, a Companhia não estima efeitos significativos em seu resultado que possam comprometer a capacidade operacional e a implantação de seus projetos. </w:t>
      </w:r>
    </w:p>
    <w:p w14:paraId="58AC5D0B" w14:textId="77777777" w:rsidR="006C491B" w:rsidRPr="00E56C12" w:rsidRDefault="006C491B" w:rsidP="006C491B">
      <w:pPr>
        <w:autoSpaceDE w:val="0"/>
        <w:autoSpaceDN w:val="0"/>
        <w:jc w:val="both"/>
        <w:rPr>
          <w:rFonts w:ascii="Verdana" w:hAnsi="Verdana" w:cs="Arial"/>
          <w:color w:val="000000"/>
          <w:sz w:val="20"/>
          <w:szCs w:val="20"/>
        </w:rPr>
      </w:pPr>
    </w:p>
    <w:p w14:paraId="677A65C1" w14:textId="77777777" w:rsidR="006C491B" w:rsidRDefault="006C491B" w:rsidP="006C491B">
      <w:pPr>
        <w:autoSpaceDE w:val="0"/>
        <w:autoSpaceDN w:val="0"/>
        <w:jc w:val="both"/>
        <w:rPr>
          <w:rFonts w:ascii="Verdana" w:hAnsi="Verdana" w:cs="Arial"/>
          <w:color w:val="000000"/>
          <w:sz w:val="20"/>
          <w:szCs w:val="20"/>
        </w:rPr>
      </w:pPr>
      <w:r w:rsidRPr="00E56C12">
        <w:rPr>
          <w:rFonts w:ascii="Verdana" w:hAnsi="Verdana" w:cs="Arial"/>
          <w:color w:val="000000"/>
          <w:sz w:val="20"/>
          <w:szCs w:val="20"/>
        </w:rPr>
        <w:t>A ELETRONUCLEAR mantém o acompanhamento da receita de Geração com o planejado e até o momento não houve evidências de perdas financeiras.</w:t>
      </w:r>
    </w:p>
    <w:p w14:paraId="2A0D5722" w14:textId="3168A478" w:rsidR="006C491B" w:rsidRDefault="006C491B" w:rsidP="00110E61">
      <w:pPr>
        <w:jc w:val="both"/>
        <w:rPr>
          <w:rFonts w:ascii="Verdana" w:hAnsi="Verdana" w:cs="Arial"/>
          <w:b/>
          <w:color w:val="0070C0"/>
          <w:sz w:val="26"/>
          <w:szCs w:val="26"/>
        </w:rPr>
      </w:pPr>
    </w:p>
    <w:p w14:paraId="167A4E29" w14:textId="77777777" w:rsidR="006C491B" w:rsidRDefault="006C491B" w:rsidP="00110E61">
      <w:pPr>
        <w:jc w:val="both"/>
        <w:rPr>
          <w:rFonts w:ascii="Verdana" w:hAnsi="Verdana" w:cs="Arial"/>
          <w:b/>
          <w:color w:val="0070C0"/>
          <w:sz w:val="26"/>
          <w:szCs w:val="26"/>
        </w:rPr>
      </w:pPr>
    </w:p>
    <w:p w14:paraId="1A2E0267" w14:textId="77777777" w:rsidR="00B64355" w:rsidRDefault="00B64355" w:rsidP="00110E61">
      <w:pPr>
        <w:jc w:val="both"/>
        <w:rPr>
          <w:rFonts w:ascii="Verdana" w:hAnsi="Verdana" w:cs="Arial"/>
          <w:b/>
          <w:color w:val="0070C0"/>
          <w:sz w:val="26"/>
          <w:szCs w:val="26"/>
        </w:rPr>
      </w:pPr>
    </w:p>
    <w:p w14:paraId="3DC25EFD" w14:textId="3A42A6FF" w:rsidR="003B638D" w:rsidRPr="00FD016C" w:rsidRDefault="003F4719" w:rsidP="00110E61">
      <w:pPr>
        <w:jc w:val="both"/>
        <w:rPr>
          <w:rFonts w:ascii="Verdana" w:hAnsi="Verdana" w:cs="Arial"/>
          <w:b/>
          <w:color w:val="0070C0"/>
          <w:sz w:val="26"/>
          <w:szCs w:val="26"/>
        </w:rPr>
      </w:pPr>
      <w:r w:rsidRPr="00FD016C">
        <w:rPr>
          <w:rFonts w:ascii="Verdana" w:hAnsi="Verdana" w:cs="Arial"/>
          <w:b/>
          <w:color w:val="0070C0"/>
          <w:sz w:val="26"/>
          <w:szCs w:val="26"/>
        </w:rPr>
        <w:lastRenderedPageBreak/>
        <w:t xml:space="preserve">NOTA 2 – PREPARAÇÃO E APRESENTAÇÃO DAS DEMONSTRAÇÕES </w:t>
      </w:r>
    </w:p>
    <w:p w14:paraId="4ED6A01C" w14:textId="06043B9D" w:rsidR="003F4719" w:rsidRPr="00FD016C" w:rsidRDefault="003F4719" w:rsidP="005144E2">
      <w:pPr>
        <w:widowControl/>
        <w:tabs>
          <w:tab w:val="left" w:pos="142"/>
        </w:tabs>
        <w:jc w:val="both"/>
        <w:rPr>
          <w:rFonts w:ascii="Verdana" w:hAnsi="Verdana" w:cs="Arial"/>
          <w:b/>
          <w:sz w:val="26"/>
          <w:szCs w:val="26"/>
        </w:rPr>
      </w:pPr>
      <w:r w:rsidRPr="00FD016C">
        <w:rPr>
          <w:rFonts w:ascii="Verdana" w:hAnsi="Verdana" w:cs="Arial"/>
          <w:b/>
          <w:color w:val="0070C0"/>
          <w:sz w:val="26"/>
          <w:szCs w:val="26"/>
        </w:rPr>
        <w:t>FINANCEIRAS</w:t>
      </w:r>
      <w:r w:rsidR="008A1F75" w:rsidRPr="00FD016C">
        <w:rPr>
          <w:rFonts w:ascii="Verdana" w:hAnsi="Verdana" w:cs="Arial"/>
          <w:b/>
          <w:color w:val="0070C0"/>
          <w:sz w:val="26"/>
          <w:szCs w:val="26"/>
        </w:rPr>
        <w:t xml:space="preserve"> INTERMEDIÁRIAS</w:t>
      </w:r>
    </w:p>
    <w:p w14:paraId="1AC931DC" w14:textId="77777777" w:rsidR="003F4719" w:rsidRPr="004210F9" w:rsidRDefault="003F4719" w:rsidP="005144E2">
      <w:pPr>
        <w:widowControl/>
        <w:tabs>
          <w:tab w:val="left" w:pos="142"/>
        </w:tabs>
        <w:jc w:val="both"/>
        <w:rPr>
          <w:rFonts w:ascii="Verdana" w:hAnsi="Verdana" w:cs="Arial"/>
          <w:b/>
          <w:sz w:val="20"/>
          <w:szCs w:val="20"/>
        </w:rPr>
      </w:pPr>
    </w:p>
    <w:p w14:paraId="2536E24D" w14:textId="77777777" w:rsidR="00641ED0" w:rsidRPr="004210F9" w:rsidRDefault="00641ED0" w:rsidP="005144E2">
      <w:pPr>
        <w:widowControl/>
        <w:tabs>
          <w:tab w:val="left" w:pos="142"/>
        </w:tabs>
        <w:jc w:val="both"/>
        <w:rPr>
          <w:rFonts w:ascii="Verdana" w:hAnsi="Verdana" w:cs="Arial"/>
          <w:b/>
          <w:sz w:val="20"/>
          <w:szCs w:val="20"/>
        </w:rPr>
      </w:pPr>
    </w:p>
    <w:p w14:paraId="6A92D08B" w14:textId="77777777" w:rsidR="00DF5D8C" w:rsidRPr="00FD016C" w:rsidRDefault="00DF5D8C" w:rsidP="005144E2">
      <w:pPr>
        <w:widowControl/>
        <w:tabs>
          <w:tab w:val="left" w:pos="142"/>
        </w:tabs>
        <w:jc w:val="both"/>
        <w:rPr>
          <w:rFonts w:ascii="Verdana" w:hAnsi="Verdana" w:cs="Arial"/>
          <w:b/>
          <w:color w:val="0070C0"/>
        </w:rPr>
      </w:pPr>
      <w:r w:rsidRPr="00FD016C">
        <w:rPr>
          <w:rFonts w:ascii="Verdana" w:hAnsi="Verdana" w:cs="Arial"/>
          <w:b/>
          <w:color w:val="0070C0"/>
        </w:rPr>
        <w:t>a) Base de preparação</w:t>
      </w:r>
    </w:p>
    <w:p w14:paraId="40344DEB" w14:textId="77777777" w:rsidR="00FD0082" w:rsidRPr="00FD016C" w:rsidRDefault="00FD0082" w:rsidP="005144E2">
      <w:pPr>
        <w:widowControl/>
        <w:tabs>
          <w:tab w:val="left" w:pos="142"/>
        </w:tabs>
        <w:jc w:val="both"/>
        <w:rPr>
          <w:rFonts w:ascii="Verdana" w:hAnsi="Verdana" w:cs="Arial"/>
          <w:b/>
          <w:sz w:val="20"/>
          <w:szCs w:val="20"/>
        </w:rPr>
      </w:pPr>
    </w:p>
    <w:p w14:paraId="078A49AD" w14:textId="566414DE" w:rsidR="005C45B7" w:rsidRPr="00FD016C" w:rsidRDefault="005C45B7" w:rsidP="005C45B7">
      <w:pPr>
        <w:jc w:val="both"/>
        <w:rPr>
          <w:rFonts w:ascii="Verdana" w:hAnsi="Verdana" w:cs="Arial"/>
          <w:sz w:val="20"/>
          <w:szCs w:val="20"/>
        </w:rPr>
      </w:pPr>
      <w:r w:rsidRPr="00FD016C">
        <w:rPr>
          <w:rFonts w:ascii="Verdana" w:hAnsi="Verdana" w:cs="Arial"/>
          <w:sz w:val="20"/>
          <w:szCs w:val="20"/>
        </w:rPr>
        <w:t>As demonstrações financeiras</w:t>
      </w:r>
      <w:r w:rsidR="00447421" w:rsidRPr="00FD016C">
        <w:rPr>
          <w:rFonts w:ascii="Verdana" w:hAnsi="Verdana" w:cs="Arial"/>
          <w:sz w:val="20"/>
          <w:szCs w:val="20"/>
        </w:rPr>
        <w:t xml:space="preserve"> intermediárias</w:t>
      </w:r>
      <w:r w:rsidR="009E143C" w:rsidRPr="00FD016C">
        <w:rPr>
          <w:rFonts w:ascii="Verdana" w:hAnsi="Verdana" w:cs="Arial"/>
          <w:sz w:val="20"/>
          <w:szCs w:val="20"/>
        </w:rPr>
        <w:t xml:space="preserve"> relativas ao período de </w:t>
      </w:r>
      <w:r w:rsidR="00AF5373" w:rsidRPr="00FD016C">
        <w:rPr>
          <w:rFonts w:ascii="Verdana" w:hAnsi="Verdana" w:cs="Arial"/>
          <w:sz w:val="20"/>
          <w:szCs w:val="20"/>
        </w:rPr>
        <w:t>nove</w:t>
      </w:r>
      <w:r w:rsidR="009E143C" w:rsidRPr="00FD016C">
        <w:rPr>
          <w:rFonts w:ascii="Verdana" w:hAnsi="Verdana" w:cs="Arial"/>
          <w:sz w:val="20"/>
          <w:szCs w:val="20"/>
        </w:rPr>
        <w:t xml:space="preserve"> meses findos em 3</w:t>
      </w:r>
      <w:r w:rsidR="00024CD2" w:rsidRPr="00FD016C">
        <w:rPr>
          <w:rFonts w:ascii="Verdana" w:hAnsi="Verdana" w:cs="Arial"/>
          <w:sz w:val="20"/>
          <w:szCs w:val="20"/>
        </w:rPr>
        <w:t>0</w:t>
      </w:r>
      <w:r w:rsidR="009E143C" w:rsidRPr="00FD016C">
        <w:rPr>
          <w:rFonts w:ascii="Verdana" w:hAnsi="Verdana" w:cs="Arial"/>
          <w:sz w:val="20"/>
          <w:szCs w:val="20"/>
        </w:rPr>
        <w:t xml:space="preserve"> de </w:t>
      </w:r>
      <w:r w:rsidR="00AF5373" w:rsidRPr="00FD016C">
        <w:rPr>
          <w:rFonts w:ascii="Verdana" w:hAnsi="Verdana" w:cs="Arial"/>
          <w:sz w:val="20"/>
          <w:szCs w:val="20"/>
        </w:rPr>
        <w:t>setembro</w:t>
      </w:r>
      <w:r w:rsidR="009E143C" w:rsidRPr="00FD016C">
        <w:rPr>
          <w:rFonts w:ascii="Verdana" w:hAnsi="Verdana" w:cs="Arial"/>
          <w:sz w:val="20"/>
          <w:szCs w:val="20"/>
        </w:rPr>
        <w:t xml:space="preserve"> de 2021</w:t>
      </w:r>
      <w:r w:rsidRPr="00FD016C">
        <w:rPr>
          <w:rFonts w:ascii="Verdana" w:hAnsi="Verdana" w:cs="Arial"/>
          <w:sz w:val="20"/>
          <w:szCs w:val="20"/>
        </w:rPr>
        <w:t xml:space="preserve"> foram </w:t>
      </w:r>
      <w:r w:rsidR="009E143C" w:rsidRPr="00FD016C">
        <w:rPr>
          <w:rFonts w:ascii="Verdana" w:hAnsi="Verdana" w:cs="Arial"/>
          <w:sz w:val="20"/>
          <w:szCs w:val="20"/>
        </w:rPr>
        <w:t>elaboradas e estão apresentadas conforme as práticas contábeis adotadas no Brasil (BR GAAP) emitidas pelo Comitê de Pronunciamentos Contábeis - CPC</w:t>
      </w:r>
      <w:r w:rsidRPr="00FD016C">
        <w:rPr>
          <w:rFonts w:ascii="Verdana" w:hAnsi="Verdana" w:cs="Arial"/>
          <w:sz w:val="20"/>
          <w:szCs w:val="20"/>
        </w:rPr>
        <w:t>.</w:t>
      </w:r>
    </w:p>
    <w:p w14:paraId="39B6A7F4" w14:textId="77777777" w:rsidR="00B226B2" w:rsidRPr="00FD016C" w:rsidRDefault="00B226B2" w:rsidP="005C45B7">
      <w:pPr>
        <w:jc w:val="both"/>
        <w:rPr>
          <w:rFonts w:ascii="Verdana" w:hAnsi="Verdana" w:cs="Arial"/>
          <w:sz w:val="20"/>
          <w:szCs w:val="20"/>
        </w:rPr>
      </w:pPr>
    </w:p>
    <w:p w14:paraId="2F560F0A" w14:textId="3A6D493F" w:rsidR="00B226B2" w:rsidRPr="00FD016C" w:rsidRDefault="00B226B2" w:rsidP="005C45B7">
      <w:pPr>
        <w:jc w:val="both"/>
        <w:rPr>
          <w:rFonts w:ascii="Verdana" w:hAnsi="Verdana" w:cs="Arial"/>
          <w:sz w:val="20"/>
          <w:szCs w:val="20"/>
        </w:rPr>
      </w:pPr>
      <w:r w:rsidRPr="00FD016C">
        <w:rPr>
          <w:rFonts w:ascii="Verdana" w:hAnsi="Verdana" w:cs="Arial"/>
          <w:sz w:val="20"/>
          <w:szCs w:val="20"/>
        </w:rPr>
        <w:t>As demonstrações financeiras intermediárias foram preparadas considerando o custo histórico com base de valor, com exceção de certos ativos e passivos financeiros (inclusive instrumentos derivativos) mensurados a valor justo.</w:t>
      </w:r>
    </w:p>
    <w:p w14:paraId="288AADFE" w14:textId="67756E84" w:rsidR="005C45B7" w:rsidRPr="00FD016C" w:rsidRDefault="005C45B7" w:rsidP="005144E2">
      <w:pPr>
        <w:widowControl/>
        <w:tabs>
          <w:tab w:val="left" w:pos="142"/>
        </w:tabs>
        <w:jc w:val="both"/>
        <w:rPr>
          <w:rFonts w:ascii="Verdana" w:hAnsi="Verdana" w:cs="Arial"/>
          <w:b/>
          <w:sz w:val="20"/>
          <w:szCs w:val="20"/>
        </w:rPr>
      </w:pPr>
    </w:p>
    <w:p w14:paraId="4F23E399" w14:textId="771D5332" w:rsidR="005C45B7" w:rsidRPr="00FD016C" w:rsidRDefault="005C45B7" w:rsidP="005C45B7">
      <w:pPr>
        <w:widowControl/>
        <w:tabs>
          <w:tab w:val="left" w:pos="142"/>
        </w:tabs>
        <w:jc w:val="both"/>
        <w:rPr>
          <w:rFonts w:ascii="Verdana" w:hAnsi="Verdana" w:cs="Arial"/>
          <w:sz w:val="20"/>
          <w:szCs w:val="20"/>
        </w:rPr>
      </w:pPr>
      <w:r w:rsidRPr="00FD016C">
        <w:rPr>
          <w:rFonts w:ascii="Verdana" w:hAnsi="Verdana" w:cs="Arial"/>
          <w:sz w:val="20"/>
          <w:szCs w:val="20"/>
        </w:rPr>
        <w:t xml:space="preserve">As presentes demonstrações financeiras </w:t>
      </w:r>
      <w:r w:rsidR="00AD1CBA" w:rsidRPr="00FD016C">
        <w:rPr>
          <w:rFonts w:ascii="Verdana" w:hAnsi="Verdana" w:cs="Arial"/>
          <w:sz w:val="20"/>
          <w:szCs w:val="20"/>
        </w:rPr>
        <w:t xml:space="preserve">intermediárias </w:t>
      </w:r>
      <w:r w:rsidRPr="00FD016C">
        <w:rPr>
          <w:rFonts w:ascii="Verdana" w:hAnsi="Verdana" w:cs="Arial"/>
          <w:sz w:val="20"/>
          <w:szCs w:val="20"/>
        </w:rPr>
        <w:t xml:space="preserve">foram aprovadas </w:t>
      </w:r>
      <w:r w:rsidR="007F1612" w:rsidRPr="00FD016C">
        <w:rPr>
          <w:rFonts w:ascii="Verdana" w:hAnsi="Verdana" w:cs="Arial"/>
          <w:sz w:val="20"/>
          <w:szCs w:val="20"/>
        </w:rPr>
        <w:t>pel</w:t>
      </w:r>
      <w:r w:rsidR="00AD1CBA" w:rsidRPr="00FD016C">
        <w:rPr>
          <w:rFonts w:ascii="Verdana" w:hAnsi="Verdana" w:cs="Arial"/>
          <w:sz w:val="20"/>
          <w:szCs w:val="20"/>
        </w:rPr>
        <w:t>a Diretoria Executiva</w:t>
      </w:r>
      <w:r w:rsidR="007F1612" w:rsidRPr="00FD016C">
        <w:rPr>
          <w:rFonts w:ascii="Verdana" w:hAnsi="Verdana" w:cs="Arial"/>
          <w:sz w:val="20"/>
          <w:szCs w:val="20"/>
        </w:rPr>
        <w:t xml:space="preserve"> da Companhia em </w:t>
      </w:r>
      <w:r w:rsidR="00195B10">
        <w:rPr>
          <w:rFonts w:ascii="Verdana" w:hAnsi="Verdana" w:cs="Arial"/>
          <w:sz w:val="20"/>
          <w:szCs w:val="20"/>
        </w:rPr>
        <w:t>12</w:t>
      </w:r>
      <w:r w:rsidR="002B4DD6" w:rsidRPr="00FD016C">
        <w:rPr>
          <w:rFonts w:ascii="Verdana" w:hAnsi="Verdana" w:cs="Arial"/>
          <w:sz w:val="20"/>
          <w:szCs w:val="20"/>
        </w:rPr>
        <w:t xml:space="preserve"> </w:t>
      </w:r>
      <w:r w:rsidR="007F1612" w:rsidRPr="00FD016C">
        <w:rPr>
          <w:rFonts w:ascii="Verdana" w:hAnsi="Verdana" w:cs="Arial"/>
          <w:sz w:val="20"/>
          <w:szCs w:val="20"/>
        </w:rPr>
        <w:t xml:space="preserve">de </w:t>
      </w:r>
      <w:r w:rsidR="00AA7F60" w:rsidRPr="00FD016C">
        <w:rPr>
          <w:rFonts w:ascii="Verdana" w:hAnsi="Verdana" w:cs="Arial"/>
          <w:sz w:val="20"/>
          <w:szCs w:val="20"/>
        </w:rPr>
        <w:t>novembro</w:t>
      </w:r>
      <w:r w:rsidR="00AD1CBA" w:rsidRPr="00FD016C">
        <w:rPr>
          <w:rFonts w:ascii="Verdana" w:hAnsi="Verdana" w:cs="Arial"/>
          <w:sz w:val="20"/>
          <w:szCs w:val="20"/>
        </w:rPr>
        <w:t xml:space="preserve"> </w:t>
      </w:r>
      <w:r w:rsidR="007F1612" w:rsidRPr="00FD016C">
        <w:rPr>
          <w:rFonts w:ascii="Verdana" w:hAnsi="Verdana" w:cs="Arial"/>
          <w:sz w:val="20"/>
          <w:szCs w:val="20"/>
        </w:rPr>
        <w:t>de 2021</w:t>
      </w:r>
      <w:r w:rsidRPr="00FD016C">
        <w:rPr>
          <w:rFonts w:ascii="Verdana" w:hAnsi="Verdana" w:cs="Arial"/>
          <w:sz w:val="20"/>
          <w:szCs w:val="20"/>
        </w:rPr>
        <w:t>.</w:t>
      </w:r>
    </w:p>
    <w:p w14:paraId="1F1DA3DC" w14:textId="77777777" w:rsidR="005C45B7" w:rsidRPr="00FD016C" w:rsidRDefault="005C45B7" w:rsidP="005144E2">
      <w:pPr>
        <w:widowControl/>
        <w:tabs>
          <w:tab w:val="left" w:pos="142"/>
        </w:tabs>
        <w:jc w:val="both"/>
        <w:rPr>
          <w:rFonts w:ascii="Verdana" w:hAnsi="Verdana" w:cs="Arial"/>
          <w:b/>
        </w:rPr>
      </w:pPr>
    </w:p>
    <w:p w14:paraId="067AAE55" w14:textId="5369056C" w:rsidR="00FD0082" w:rsidRPr="00FD016C" w:rsidRDefault="00FD0082" w:rsidP="00FD0082">
      <w:pPr>
        <w:jc w:val="both"/>
        <w:rPr>
          <w:rFonts w:ascii="Verdana" w:hAnsi="Verdana" w:cs="Arial"/>
          <w:b/>
          <w:bCs/>
          <w:sz w:val="20"/>
          <w:szCs w:val="20"/>
        </w:rPr>
      </w:pPr>
      <w:r w:rsidRPr="00FD016C">
        <w:rPr>
          <w:rFonts w:ascii="Verdana" w:hAnsi="Verdana" w:cs="Arial"/>
          <w:sz w:val="20"/>
          <w:szCs w:val="20"/>
        </w:rPr>
        <w:t>A preparação de demonstrações financeiras</w:t>
      </w:r>
      <w:r w:rsidR="009E143C" w:rsidRPr="00FD016C">
        <w:rPr>
          <w:rFonts w:ascii="Verdana" w:hAnsi="Verdana" w:cs="Arial"/>
          <w:sz w:val="20"/>
          <w:szCs w:val="20"/>
        </w:rPr>
        <w:t xml:space="preserve"> intermediárias</w:t>
      </w:r>
      <w:r w:rsidRPr="00FD016C">
        <w:rPr>
          <w:rFonts w:ascii="Verdana" w:hAnsi="Verdana" w:cs="Arial"/>
          <w:sz w:val="20"/>
          <w:szCs w:val="20"/>
        </w:rPr>
        <w:t xml:space="preserve"> requer o uso de certas estimativas contábeis críticas e, também, o exercício de julgamento por parte da administração da Companhia no processo de aplicação das políticas contábeis. Aquelas áreas que requerem maior nível de julgamento e possuem maior complexidade, bem como as áreas nas quais premissas e estimativas são significativas para as demonstrações financeiras</w:t>
      </w:r>
      <w:r w:rsidR="00D11EB5" w:rsidRPr="00FD016C">
        <w:rPr>
          <w:rFonts w:ascii="Verdana" w:hAnsi="Verdana" w:cs="Arial"/>
          <w:sz w:val="20"/>
          <w:szCs w:val="20"/>
        </w:rPr>
        <w:t xml:space="preserve"> intermediárias</w:t>
      </w:r>
      <w:r w:rsidRPr="00FD016C">
        <w:rPr>
          <w:rFonts w:ascii="Verdana" w:hAnsi="Verdana" w:cs="Arial"/>
          <w:sz w:val="20"/>
          <w:szCs w:val="20"/>
        </w:rPr>
        <w:t xml:space="preserve">, estão divulgadas na nota 3.1 </w:t>
      </w:r>
      <w:r w:rsidR="00B226B2" w:rsidRPr="00FD016C">
        <w:rPr>
          <w:rFonts w:ascii="Verdana" w:hAnsi="Verdana" w:cs="Arial"/>
          <w:sz w:val="20"/>
          <w:szCs w:val="20"/>
        </w:rPr>
        <w:t xml:space="preserve">das demonstrações financeiras da Companhia para o exercício findo em 31 de dezembro de 2020 e no </w:t>
      </w:r>
      <w:r w:rsidR="00B226B2" w:rsidRPr="00FD016C">
        <w:rPr>
          <w:rFonts w:ascii="Verdana" w:hAnsi="Verdana" w:cs="Arial"/>
          <w:i/>
          <w:sz w:val="20"/>
          <w:szCs w:val="20"/>
        </w:rPr>
        <w:t xml:space="preserve">website </w:t>
      </w:r>
      <w:r w:rsidR="00B226B2" w:rsidRPr="00FD016C">
        <w:rPr>
          <w:rFonts w:ascii="Verdana" w:hAnsi="Verdana" w:cs="Arial"/>
          <w:sz w:val="20"/>
          <w:szCs w:val="20"/>
        </w:rPr>
        <w:t>da Companhia. Não houve alteração significativa em relação</w:t>
      </w:r>
      <w:r w:rsidR="00421F2E" w:rsidRPr="00FD016C">
        <w:rPr>
          <w:rFonts w:ascii="Verdana" w:hAnsi="Verdana" w:cs="Arial"/>
          <w:sz w:val="20"/>
          <w:szCs w:val="20"/>
        </w:rPr>
        <w:t xml:space="preserve"> a essas premissas e estimativas ao longo do período findo em 3</w:t>
      </w:r>
      <w:r w:rsidR="00024CD2" w:rsidRPr="00FD016C">
        <w:rPr>
          <w:rFonts w:ascii="Verdana" w:hAnsi="Verdana" w:cs="Arial"/>
          <w:sz w:val="20"/>
          <w:szCs w:val="20"/>
        </w:rPr>
        <w:t>0</w:t>
      </w:r>
      <w:r w:rsidR="00421F2E" w:rsidRPr="00FD016C">
        <w:rPr>
          <w:rFonts w:ascii="Verdana" w:hAnsi="Verdana" w:cs="Arial"/>
          <w:sz w:val="20"/>
          <w:szCs w:val="20"/>
        </w:rPr>
        <w:t xml:space="preserve"> de </w:t>
      </w:r>
      <w:r w:rsidR="008F5B26" w:rsidRPr="00FD016C">
        <w:rPr>
          <w:rFonts w:ascii="Verdana" w:hAnsi="Verdana" w:cs="Arial"/>
          <w:sz w:val="20"/>
          <w:szCs w:val="20"/>
        </w:rPr>
        <w:t>setembro</w:t>
      </w:r>
      <w:r w:rsidR="00421F2E" w:rsidRPr="00FD016C">
        <w:rPr>
          <w:rFonts w:ascii="Verdana" w:hAnsi="Verdana" w:cs="Arial"/>
          <w:sz w:val="20"/>
          <w:szCs w:val="20"/>
        </w:rPr>
        <w:t xml:space="preserve"> de 202</w:t>
      </w:r>
      <w:r w:rsidR="00767375" w:rsidRPr="00FD016C">
        <w:rPr>
          <w:rFonts w:ascii="Verdana" w:hAnsi="Verdana" w:cs="Arial"/>
          <w:sz w:val="20"/>
          <w:szCs w:val="20"/>
        </w:rPr>
        <w:t>1</w:t>
      </w:r>
      <w:r w:rsidR="00421F2E" w:rsidRPr="00FD016C">
        <w:rPr>
          <w:rFonts w:ascii="Verdana" w:hAnsi="Verdana" w:cs="Arial"/>
          <w:sz w:val="20"/>
          <w:szCs w:val="20"/>
        </w:rPr>
        <w:t>.</w:t>
      </w:r>
    </w:p>
    <w:p w14:paraId="20CD6F8C" w14:textId="02873DF9" w:rsidR="00D201D3" w:rsidRPr="00FD016C" w:rsidRDefault="00D201D3" w:rsidP="005144E2">
      <w:pPr>
        <w:widowControl/>
        <w:tabs>
          <w:tab w:val="left" w:pos="142"/>
        </w:tabs>
        <w:jc w:val="both"/>
        <w:rPr>
          <w:rFonts w:ascii="Verdana" w:hAnsi="Verdana" w:cs="Arial"/>
        </w:rPr>
      </w:pPr>
    </w:p>
    <w:p w14:paraId="2F770F5B" w14:textId="07FB7389" w:rsidR="00D201D3" w:rsidRPr="00FD016C" w:rsidRDefault="00D201D3" w:rsidP="005144E2">
      <w:pPr>
        <w:jc w:val="both"/>
        <w:rPr>
          <w:rFonts w:ascii="Verdana" w:hAnsi="Verdana" w:cs="Arial"/>
          <w:sz w:val="20"/>
          <w:szCs w:val="20"/>
        </w:rPr>
      </w:pPr>
      <w:r w:rsidRPr="00FD016C">
        <w:rPr>
          <w:rFonts w:ascii="Verdana" w:hAnsi="Verdana" w:cs="Arial"/>
          <w:sz w:val="20"/>
          <w:szCs w:val="20"/>
        </w:rPr>
        <w:t xml:space="preserve">A Administração da </w:t>
      </w:r>
      <w:r w:rsidR="00564576" w:rsidRPr="00FD016C">
        <w:rPr>
          <w:rFonts w:ascii="Verdana" w:hAnsi="Verdana" w:cs="Arial"/>
          <w:sz w:val="20"/>
          <w:szCs w:val="20"/>
        </w:rPr>
        <w:t>C</w:t>
      </w:r>
      <w:r w:rsidRPr="00FD016C">
        <w:rPr>
          <w:rFonts w:ascii="Verdana" w:hAnsi="Verdana" w:cs="Arial"/>
          <w:sz w:val="20"/>
          <w:szCs w:val="20"/>
        </w:rPr>
        <w:t>ompanhia confirma que todas as informações relevantes próprias das Demonstrações Financeiras</w:t>
      </w:r>
      <w:r w:rsidR="00421F2E" w:rsidRPr="00FD016C">
        <w:rPr>
          <w:rFonts w:ascii="Verdana" w:hAnsi="Verdana" w:cs="Arial"/>
          <w:sz w:val="20"/>
          <w:szCs w:val="20"/>
        </w:rPr>
        <w:t xml:space="preserve"> Intermediárias</w:t>
      </w:r>
      <w:r w:rsidRPr="00FD016C">
        <w:rPr>
          <w:rFonts w:ascii="Verdana" w:hAnsi="Verdana" w:cs="Arial"/>
          <w:sz w:val="20"/>
          <w:szCs w:val="20"/>
        </w:rPr>
        <w:t>, e somente elas, estão sendo evidenciadas, e que correspondem às utilizadas por ela na sua gestão.</w:t>
      </w:r>
    </w:p>
    <w:p w14:paraId="0F432C89" w14:textId="77777777" w:rsidR="005125E0" w:rsidRPr="00FD016C" w:rsidRDefault="005125E0" w:rsidP="005144E2">
      <w:pPr>
        <w:jc w:val="both"/>
        <w:rPr>
          <w:rFonts w:ascii="Verdana" w:hAnsi="Verdana" w:cs="Arial"/>
          <w:sz w:val="20"/>
          <w:szCs w:val="20"/>
        </w:rPr>
      </w:pPr>
    </w:p>
    <w:p w14:paraId="3C0C5004" w14:textId="77777777" w:rsidR="0085155A" w:rsidRPr="00FD016C" w:rsidRDefault="0085155A" w:rsidP="005144E2">
      <w:pPr>
        <w:jc w:val="both"/>
        <w:rPr>
          <w:rFonts w:ascii="Verdana" w:hAnsi="Verdana" w:cs="Arial"/>
          <w:sz w:val="20"/>
          <w:szCs w:val="20"/>
        </w:rPr>
      </w:pPr>
    </w:p>
    <w:p w14:paraId="3F666D30" w14:textId="5048BEBC" w:rsidR="005D014B" w:rsidRPr="00FD016C" w:rsidRDefault="0014554E" w:rsidP="00A16B9F">
      <w:pPr>
        <w:jc w:val="both"/>
        <w:rPr>
          <w:rFonts w:ascii="Verdana" w:hAnsi="Verdana" w:cs="Arial"/>
          <w:b/>
          <w:color w:val="0070C0"/>
        </w:rPr>
      </w:pPr>
      <w:r w:rsidRPr="00FD016C">
        <w:rPr>
          <w:rFonts w:ascii="Verdana" w:hAnsi="Verdana" w:cs="Arial"/>
          <w:b/>
          <w:color w:val="0070C0"/>
        </w:rPr>
        <w:t xml:space="preserve">b) </w:t>
      </w:r>
      <w:r w:rsidR="005A785B" w:rsidRPr="00FD016C">
        <w:rPr>
          <w:rFonts w:ascii="Verdana" w:hAnsi="Verdana" w:cs="Arial"/>
          <w:b/>
          <w:color w:val="0070C0"/>
        </w:rPr>
        <w:t>Moeda funcional e de apresentação</w:t>
      </w:r>
    </w:p>
    <w:p w14:paraId="5777AC11" w14:textId="77777777" w:rsidR="003F4719" w:rsidRPr="00FD016C" w:rsidRDefault="003F4719" w:rsidP="005144E2">
      <w:pPr>
        <w:jc w:val="both"/>
        <w:rPr>
          <w:rFonts w:ascii="Verdana" w:hAnsi="Verdana" w:cs="Arial"/>
          <w:sz w:val="20"/>
          <w:szCs w:val="20"/>
        </w:rPr>
      </w:pPr>
    </w:p>
    <w:p w14:paraId="4023B35D" w14:textId="17F513EF" w:rsidR="00820979" w:rsidRPr="00FD016C" w:rsidRDefault="005D014B" w:rsidP="005144E2">
      <w:pPr>
        <w:widowControl/>
        <w:jc w:val="both"/>
        <w:rPr>
          <w:rFonts w:ascii="Verdana" w:hAnsi="Verdana" w:cs="Arial"/>
          <w:sz w:val="20"/>
          <w:szCs w:val="20"/>
        </w:rPr>
      </w:pPr>
      <w:r w:rsidRPr="00FD016C">
        <w:rPr>
          <w:rFonts w:ascii="Verdana" w:hAnsi="Verdana" w:cs="Arial"/>
          <w:sz w:val="20"/>
          <w:szCs w:val="20"/>
        </w:rPr>
        <w:t xml:space="preserve">A moeda funcional da Companhia é o Real. Transações em moeda estrangeira são convertidas para a moeda funcional pelas taxas de câmbio nas datas das transações. Ativos e </w:t>
      </w:r>
      <w:r w:rsidR="00641ED0" w:rsidRPr="00FD016C">
        <w:rPr>
          <w:rFonts w:ascii="Verdana" w:hAnsi="Verdana" w:cs="Arial"/>
          <w:sz w:val="20"/>
          <w:szCs w:val="20"/>
        </w:rPr>
        <w:t>P</w:t>
      </w:r>
      <w:r w:rsidRPr="00FD016C">
        <w:rPr>
          <w:rFonts w:ascii="Verdana" w:hAnsi="Verdana" w:cs="Arial"/>
          <w:sz w:val="20"/>
          <w:szCs w:val="20"/>
        </w:rPr>
        <w:t xml:space="preserve">assivos monetários denominados e apurados em moedas estrangeiras na data do balanço são convertidos para a moeda funcional à taxa de câmbio naquela data. Ativos e </w:t>
      </w:r>
      <w:r w:rsidR="00641ED0" w:rsidRPr="00FD016C">
        <w:rPr>
          <w:rFonts w:ascii="Verdana" w:hAnsi="Verdana" w:cs="Arial"/>
          <w:sz w:val="20"/>
          <w:szCs w:val="20"/>
        </w:rPr>
        <w:t>P</w:t>
      </w:r>
      <w:r w:rsidRPr="00FD016C">
        <w:rPr>
          <w:rFonts w:ascii="Verdana" w:hAnsi="Verdana" w:cs="Arial"/>
          <w:sz w:val="20"/>
          <w:szCs w:val="20"/>
        </w:rPr>
        <w:t>assivos não monetários que são mensurados pelo valor justo em moeda estrangeira são convertidos para a moeda funcional à taxa de câmbio na data em que o valor justo foi determinado. Itens não monetários que são mensurados com base no custo histórico em moeda estrangeira são convertidos pela taxa de câmbio na data da transação. As diferenças de moedas estrangeiras resultantes da conversão são geralmente reconhecidas no resultado.</w:t>
      </w:r>
    </w:p>
    <w:p w14:paraId="300A63CF" w14:textId="6AF94A00" w:rsidR="008151B5" w:rsidRPr="00FD016C" w:rsidRDefault="008151B5" w:rsidP="005144E2">
      <w:pPr>
        <w:widowControl/>
        <w:jc w:val="both"/>
        <w:rPr>
          <w:rFonts w:ascii="Verdana" w:hAnsi="Verdana" w:cs="Arial"/>
          <w:sz w:val="20"/>
          <w:szCs w:val="20"/>
        </w:rPr>
      </w:pPr>
    </w:p>
    <w:p w14:paraId="53F69BFA" w14:textId="34A4D45F" w:rsidR="002C4018" w:rsidRPr="00FD016C" w:rsidRDefault="005D014B" w:rsidP="005144E2">
      <w:pPr>
        <w:widowControl/>
        <w:jc w:val="both"/>
        <w:rPr>
          <w:rFonts w:ascii="Verdana" w:hAnsi="Verdana" w:cs="Arial"/>
          <w:sz w:val="20"/>
          <w:szCs w:val="20"/>
        </w:rPr>
      </w:pPr>
      <w:r w:rsidRPr="00FD016C">
        <w:rPr>
          <w:rFonts w:ascii="Verdana" w:hAnsi="Verdana" w:cs="Arial"/>
          <w:sz w:val="20"/>
          <w:szCs w:val="20"/>
        </w:rPr>
        <w:t>As taxas utilizadas na conversão da moeda estrangeira para a moeda funcional da Companhia estão apresentadas abaixo:</w:t>
      </w:r>
    </w:p>
    <w:p w14:paraId="1370B5BA" w14:textId="5DFE42A2" w:rsidR="00AC3EC2" w:rsidRPr="00FD016C" w:rsidRDefault="00AC3EC2" w:rsidP="00CA6B60">
      <w:pPr>
        <w:jc w:val="both"/>
        <w:rPr>
          <w:rFonts w:ascii="Verdana" w:hAnsi="Verdana" w:cs="Arial"/>
          <w:sz w:val="20"/>
          <w:szCs w:val="20"/>
        </w:rPr>
      </w:pPr>
    </w:p>
    <w:p w14:paraId="7E4F2195" w14:textId="6A3135DF" w:rsidR="00AC3EC2" w:rsidRPr="00FD016C" w:rsidRDefault="0060193E" w:rsidP="00CA6B60">
      <w:pPr>
        <w:jc w:val="both"/>
        <w:rPr>
          <w:rFonts w:ascii="Verdana" w:hAnsi="Verdana" w:cs="Arial"/>
          <w:sz w:val="20"/>
          <w:szCs w:val="20"/>
        </w:rPr>
      </w:pPr>
      <w:r w:rsidRPr="00FD016C">
        <w:rPr>
          <w:noProof/>
        </w:rPr>
        <w:drawing>
          <wp:inline distT="0" distB="0" distL="0" distR="0" wp14:anchorId="6CC369D9" wp14:editId="48853226">
            <wp:extent cx="6073140" cy="358280"/>
            <wp:effectExtent l="0" t="0" r="381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3140" cy="358280"/>
                    </a:xfrm>
                    <a:prstGeom prst="rect">
                      <a:avLst/>
                    </a:prstGeom>
                    <a:noFill/>
                    <a:ln>
                      <a:noFill/>
                    </a:ln>
                  </pic:spPr>
                </pic:pic>
              </a:graphicData>
            </a:graphic>
          </wp:inline>
        </w:drawing>
      </w:r>
    </w:p>
    <w:p w14:paraId="47154090" w14:textId="0AE83420" w:rsidR="00CA6B60" w:rsidRPr="00FD016C" w:rsidRDefault="00CA6B60" w:rsidP="00CA6B60">
      <w:pPr>
        <w:jc w:val="both"/>
        <w:rPr>
          <w:rFonts w:ascii="Verdana" w:hAnsi="Verdana" w:cs="Arial"/>
          <w:b/>
          <w:color w:val="0070C0"/>
        </w:rPr>
      </w:pPr>
      <w:r w:rsidRPr="00FD016C">
        <w:rPr>
          <w:rFonts w:ascii="Verdana" w:hAnsi="Verdana" w:cs="Arial"/>
          <w:b/>
          <w:color w:val="0070C0"/>
        </w:rPr>
        <w:lastRenderedPageBreak/>
        <w:t>c) Demonstração do Valor Adicionado - DVA</w:t>
      </w:r>
    </w:p>
    <w:p w14:paraId="155ABECA" w14:textId="77777777" w:rsidR="00CA6B60" w:rsidRPr="00FD016C" w:rsidRDefault="00CA6B60" w:rsidP="00CA6B60">
      <w:pPr>
        <w:jc w:val="both"/>
        <w:rPr>
          <w:rFonts w:ascii="Verdana" w:hAnsi="Verdana" w:cs="Arial"/>
          <w:sz w:val="20"/>
          <w:szCs w:val="20"/>
        </w:rPr>
      </w:pPr>
    </w:p>
    <w:p w14:paraId="172654EB" w14:textId="160B57DE" w:rsidR="002C4018" w:rsidRPr="00FD016C" w:rsidRDefault="00CA6B60" w:rsidP="00CA6B60">
      <w:pPr>
        <w:widowControl/>
        <w:jc w:val="both"/>
        <w:rPr>
          <w:rFonts w:ascii="Verdana" w:hAnsi="Verdana" w:cs="Arial"/>
        </w:rPr>
      </w:pPr>
      <w:r w:rsidRPr="00FD016C">
        <w:rPr>
          <w:rFonts w:ascii="Verdana" w:hAnsi="Verdana" w:cs="Arial"/>
          <w:sz w:val="20"/>
          <w:szCs w:val="20"/>
        </w:rPr>
        <w:t>A Companhia elaborou a Demonstração do Valor Adicionado – DVA nos termos do pronunciamento técnico CPC 09 – Demonstração do Valor Adicionado, a qual é apresentada como informação suplementar das demonstrações financeiras intermediárias</w:t>
      </w:r>
      <w:r w:rsidRPr="00FD016C">
        <w:rPr>
          <w:rFonts w:ascii="Verdana" w:hAnsi="Verdana" w:cs="Arial"/>
        </w:rPr>
        <w:t>.</w:t>
      </w:r>
    </w:p>
    <w:p w14:paraId="4C5CBE8D" w14:textId="77777777" w:rsidR="000A0A8A" w:rsidRPr="00FD016C" w:rsidRDefault="000A0A8A" w:rsidP="003F7AA5">
      <w:pPr>
        <w:widowControl/>
        <w:ind w:left="505" w:hanging="505"/>
        <w:jc w:val="both"/>
        <w:outlineLvl w:val="0"/>
        <w:rPr>
          <w:rFonts w:ascii="Verdana" w:hAnsi="Verdana" w:cs="Arial"/>
          <w:sz w:val="20"/>
          <w:szCs w:val="20"/>
        </w:rPr>
      </w:pPr>
    </w:p>
    <w:p w14:paraId="1D07088F" w14:textId="77777777" w:rsidR="000A0A8A" w:rsidRPr="00FD016C" w:rsidRDefault="000A0A8A" w:rsidP="003F7AA5">
      <w:pPr>
        <w:widowControl/>
        <w:ind w:left="505" w:hanging="505"/>
        <w:jc w:val="both"/>
        <w:outlineLvl w:val="0"/>
        <w:rPr>
          <w:rFonts w:ascii="Verdana" w:hAnsi="Verdana" w:cs="Arial"/>
          <w:sz w:val="20"/>
          <w:szCs w:val="20"/>
        </w:rPr>
      </w:pPr>
    </w:p>
    <w:p w14:paraId="31E0078E" w14:textId="77777777" w:rsidR="000A0A8A" w:rsidRPr="00FD016C" w:rsidRDefault="000A0A8A" w:rsidP="003F7AA5">
      <w:pPr>
        <w:widowControl/>
        <w:ind w:left="505" w:hanging="505"/>
        <w:jc w:val="both"/>
        <w:outlineLvl w:val="0"/>
        <w:rPr>
          <w:rFonts w:ascii="Verdana" w:hAnsi="Verdana" w:cs="Arial"/>
          <w:sz w:val="20"/>
          <w:szCs w:val="20"/>
        </w:rPr>
      </w:pPr>
    </w:p>
    <w:p w14:paraId="08D77DD6" w14:textId="0928D394" w:rsidR="003F7AA5" w:rsidRPr="00FD016C" w:rsidRDefault="003F7AA5" w:rsidP="003F7AA5">
      <w:pPr>
        <w:widowControl/>
        <w:ind w:left="505" w:hanging="505"/>
        <w:jc w:val="both"/>
        <w:outlineLvl w:val="0"/>
        <w:rPr>
          <w:rFonts w:ascii="Verdana" w:hAnsi="Verdana" w:cs="Arial"/>
          <w:b/>
          <w:bCs/>
          <w:color w:val="0070C0"/>
          <w:sz w:val="26"/>
          <w:szCs w:val="26"/>
        </w:rPr>
      </w:pPr>
      <w:r w:rsidRPr="00FD016C">
        <w:rPr>
          <w:rFonts w:ascii="Verdana" w:hAnsi="Verdana" w:cs="Arial"/>
          <w:b/>
          <w:bCs/>
          <w:color w:val="0070C0"/>
          <w:sz w:val="26"/>
          <w:szCs w:val="26"/>
        </w:rPr>
        <w:t>NOTA 3 –</w:t>
      </w:r>
      <w:r w:rsidR="00820979" w:rsidRPr="00FD016C">
        <w:rPr>
          <w:rFonts w:ascii="Verdana" w:hAnsi="Verdana" w:cs="Arial"/>
          <w:b/>
          <w:bCs/>
          <w:color w:val="0070C0"/>
          <w:sz w:val="26"/>
          <w:szCs w:val="26"/>
        </w:rPr>
        <w:t xml:space="preserve"> </w:t>
      </w:r>
      <w:r w:rsidRPr="00FD016C">
        <w:rPr>
          <w:rFonts w:ascii="Verdana" w:hAnsi="Verdana" w:cs="Arial"/>
          <w:b/>
          <w:bCs/>
          <w:color w:val="0070C0"/>
          <w:sz w:val="26"/>
          <w:szCs w:val="26"/>
        </w:rPr>
        <w:t>PRINCIPAIS PRÁTICAS CONTÁBEIS</w:t>
      </w:r>
      <w:r w:rsidR="00820979" w:rsidRPr="00FD016C">
        <w:rPr>
          <w:rFonts w:ascii="Verdana" w:hAnsi="Verdana" w:cs="Arial"/>
          <w:b/>
          <w:bCs/>
          <w:color w:val="0070C0"/>
          <w:sz w:val="26"/>
          <w:szCs w:val="26"/>
        </w:rPr>
        <w:t xml:space="preserve"> ADOTADAS</w:t>
      </w:r>
    </w:p>
    <w:p w14:paraId="4E033111" w14:textId="77777777" w:rsidR="003F7AA5" w:rsidRPr="00FD016C" w:rsidRDefault="003F7AA5" w:rsidP="003F7AA5">
      <w:pPr>
        <w:widowControl/>
        <w:ind w:left="505" w:hanging="505"/>
        <w:jc w:val="both"/>
        <w:outlineLvl w:val="0"/>
        <w:rPr>
          <w:rFonts w:ascii="Arial" w:hAnsi="Arial" w:cs="Arial"/>
          <w:b/>
          <w:bCs/>
          <w:sz w:val="20"/>
          <w:szCs w:val="20"/>
        </w:rPr>
      </w:pPr>
    </w:p>
    <w:p w14:paraId="28DE9500" w14:textId="77777777" w:rsidR="003360F7" w:rsidRPr="00FD016C" w:rsidRDefault="003360F7" w:rsidP="003F7AA5">
      <w:pPr>
        <w:widowControl/>
        <w:ind w:left="505" w:hanging="505"/>
        <w:jc w:val="both"/>
        <w:outlineLvl w:val="0"/>
        <w:rPr>
          <w:rFonts w:ascii="Arial" w:hAnsi="Arial" w:cs="Arial"/>
          <w:b/>
          <w:bCs/>
          <w:sz w:val="20"/>
          <w:szCs w:val="20"/>
        </w:rPr>
      </w:pPr>
    </w:p>
    <w:p w14:paraId="4ECC15CC" w14:textId="0AB6E58E" w:rsidR="008A1F75" w:rsidRPr="00FD016C" w:rsidRDefault="005C45B7" w:rsidP="008A1F75">
      <w:pPr>
        <w:jc w:val="both"/>
        <w:rPr>
          <w:rFonts w:ascii="Arial" w:hAnsi="Arial" w:cs="Arial"/>
          <w:b/>
          <w:sz w:val="20"/>
          <w:szCs w:val="20"/>
        </w:rPr>
      </w:pPr>
      <w:r w:rsidRPr="00FD016C">
        <w:rPr>
          <w:rFonts w:ascii="Verdana" w:hAnsi="Verdana" w:cs="Arial"/>
          <w:sz w:val="20"/>
          <w:szCs w:val="20"/>
        </w:rPr>
        <w:t>As práticas contábeis e os métodos de cálculo utilizados na preparação dessas demonstrações financeiras</w:t>
      </w:r>
      <w:r w:rsidR="008A1F75" w:rsidRPr="00FD016C">
        <w:rPr>
          <w:rFonts w:ascii="Verdana" w:hAnsi="Verdana" w:cs="Arial"/>
          <w:sz w:val="20"/>
          <w:szCs w:val="20"/>
        </w:rPr>
        <w:t xml:space="preserve"> intermediárias</w:t>
      </w:r>
      <w:r w:rsidRPr="00FD016C">
        <w:rPr>
          <w:rFonts w:ascii="Verdana" w:hAnsi="Verdana" w:cs="Arial"/>
          <w:sz w:val="20"/>
          <w:szCs w:val="20"/>
        </w:rPr>
        <w:t xml:space="preserve"> </w:t>
      </w:r>
      <w:r w:rsidR="00CA6B60" w:rsidRPr="00FD016C">
        <w:rPr>
          <w:rFonts w:ascii="Verdana" w:hAnsi="Verdana" w:cs="Arial"/>
          <w:sz w:val="20"/>
          <w:szCs w:val="20"/>
        </w:rPr>
        <w:t>são os mesmos adotados na preparação das demonstrações financeiras da Companhia do exercício findo em 31 de dezembro de 2020, divulgadas no jornal Valor Econômico, no dia 16 de abril de 2021</w:t>
      </w:r>
      <w:r w:rsidRPr="00FD016C">
        <w:rPr>
          <w:rFonts w:ascii="Verdana" w:hAnsi="Verdana" w:cs="Arial"/>
          <w:sz w:val="20"/>
          <w:szCs w:val="20"/>
        </w:rPr>
        <w:t xml:space="preserve"> </w:t>
      </w:r>
      <w:r w:rsidR="0028264A" w:rsidRPr="00FD016C">
        <w:rPr>
          <w:rFonts w:ascii="Verdana" w:hAnsi="Verdana" w:cs="Arial"/>
          <w:sz w:val="20"/>
          <w:szCs w:val="20"/>
        </w:rPr>
        <w:t xml:space="preserve">e no </w:t>
      </w:r>
      <w:r w:rsidR="0028264A" w:rsidRPr="00FD016C">
        <w:rPr>
          <w:rFonts w:ascii="Verdana" w:hAnsi="Verdana" w:cs="Arial"/>
          <w:i/>
          <w:sz w:val="20"/>
          <w:szCs w:val="20"/>
        </w:rPr>
        <w:t>website</w:t>
      </w:r>
      <w:r w:rsidR="0028264A" w:rsidRPr="00FD016C">
        <w:rPr>
          <w:rFonts w:ascii="Verdana" w:hAnsi="Verdana" w:cs="Arial"/>
          <w:sz w:val="20"/>
          <w:szCs w:val="20"/>
        </w:rPr>
        <w:t xml:space="preserve"> da Companhia</w:t>
      </w:r>
      <w:r w:rsidR="008A1F75" w:rsidRPr="00FD016C">
        <w:rPr>
          <w:rFonts w:ascii="Arial" w:hAnsi="Arial" w:cs="Arial"/>
          <w:b/>
          <w:sz w:val="20"/>
          <w:szCs w:val="20"/>
        </w:rPr>
        <w:t xml:space="preserve"> </w:t>
      </w:r>
    </w:p>
    <w:p w14:paraId="1D7C6239" w14:textId="77777777" w:rsidR="003B638D" w:rsidRPr="00FD016C" w:rsidRDefault="003B638D" w:rsidP="008A1F75">
      <w:pPr>
        <w:jc w:val="both"/>
        <w:rPr>
          <w:rFonts w:ascii="Arial" w:hAnsi="Arial" w:cs="Arial"/>
          <w:b/>
        </w:rPr>
      </w:pPr>
    </w:p>
    <w:p w14:paraId="47D0ED93" w14:textId="77777777" w:rsidR="003B638D" w:rsidRPr="00FD016C" w:rsidRDefault="003B638D" w:rsidP="008A1F75">
      <w:pPr>
        <w:jc w:val="both"/>
        <w:rPr>
          <w:rFonts w:ascii="Arial" w:hAnsi="Arial" w:cs="Arial"/>
          <w:b/>
        </w:rPr>
      </w:pPr>
    </w:p>
    <w:p w14:paraId="3536FFD3" w14:textId="77777777" w:rsidR="003B638D" w:rsidRPr="00FD016C" w:rsidRDefault="003B638D" w:rsidP="008A1F75">
      <w:pPr>
        <w:jc w:val="both"/>
        <w:rPr>
          <w:rFonts w:ascii="Arial" w:hAnsi="Arial" w:cs="Arial"/>
          <w:b/>
        </w:rPr>
      </w:pPr>
    </w:p>
    <w:p w14:paraId="4B28E1C9" w14:textId="4A241530" w:rsidR="003F4719" w:rsidRPr="00FD016C" w:rsidRDefault="003F4719" w:rsidP="0028264A">
      <w:pPr>
        <w:jc w:val="both"/>
        <w:rPr>
          <w:rFonts w:ascii="Verdana" w:hAnsi="Verdana" w:cs="Arial"/>
          <w:b/>
          <w:color w:val="0070C0"/>
          <w:sz w:val="26"/>
          <w:szCs w:val="26"/>
        </w:rPr>
      </w:pPr>
      <w:r w:rsidRPr="00FD016C">
        <w:rPr>
          <w:rFonts w:ascii="Verdana" w:hAnsi="Verdana" w:cs="Arial"/>
          <w:b/>
          <w:color w:val="0070C0"/>
          <w:sz w:val="26"/>
          <w:szCs w:val="26"/>
        </w:rPr>
        <w:t>NOTA 4 – INSTRUMENTOS FINANCEIROS E GESTÃO DE RISCO</w:t>
      </w:r>
    </w:p>
    <w:p w14:paraId="7A6AC271" w14:textId="77777777" w:rsidR="002B44FD" w:rsidRPr="00FD016C" w:rsidRDefault="002B44FD" w:rsidP="005144E2">
      <w:pPr>
        <w:widowControl/>
        <w:jc w:val="both"/>
        <w:rPr>
          <w:rFonts w:ascii="Arial" w:hAnsi="Arial" w:cs="Arial"/>
          <w:b/>
        </w:rPr>
      </w:pPr>
    </w:p>
    <w:p w14:paraId="5C61B818" w14:textId="77777777" w:rsidR="00B70D8D" w:rsidRPr="00FD016C" w:rsidRDefault="00B70D8D" w:rsidP="005144E2">
      <w:pPr>
        <w:widowControl/>
        <w:jc w:val="both"/>
        <w:rPr>
          <w:rFonts w:ascii="Arial" w:hAnsi="Arial" w:cs="Arial"/>
          <w:b/>
        </w:rPr>
      </w:pPr>
    </w:p>
    <w:p w14:paraId="153A4064" w14:textId="2923652E" w:rsidR="0071601B" w:rsidRPr="00FD016C" w:rsidRDefault="0071601B" w:rsidP="005144E2">
      <w:pPr>
        <w:widowControl/>
        <w:jc w:val="both"/>
        <w:rPr>
          <w:rFonts w:ascii="Verdana" w:hAnsi="Verdana" w:cs="Arial"/>
          <w:sz w:val="20"/>
          <w:szCs w:val="20"/>
        </w:rPr>
      </w:pPr>
      <w:r w:rsidRPr="00FD016C">
        <w:rPr>
          <w:rFonts w:ascii="Verdana" w:hAnsi="Verdana" w:cs="Arial"/>
          <w:sz w:val="20"/>
          <w:szCs w:val="20"/>
        </w:rPr>
        <w:t xml:space="preserve">As descrições dos saldos contábeis </w:t>
      </w:r>
      <w:r w:rsidR="00447842" w:rsidRPr="00FD016C">
        <w:rPr>
          <w:rFonts w:ascii="Verdana" w:hAnsi="Verdana" w:cs="Arial"/>
          <w:sz w:val="20"/>
          <w:szCs w:val="20"/>
        </w:rPr>
        <w:t xml:space="preserve">por categoria </w:t>
      </w:r>
      <w:r w:rsidRPr="00FD016C">
        <w:rPr>
          <w:rFonts w:ascii="Verdana" w:hAnsi="Verdana" w:cs="Arial"/>
          <w:sz w:val="20"/>
          <w:szCs w:val="20"/>
        </w:rPr>
        <w:t>dos instrumentos financeiros inclusos nas demonstrações financeiras estão identificadas a seguir</w:t>
      </w:r>
      <w:r w:rsidR="00660DEF" w:rsidRPr="00FD016C">
        <w:rPr>
          <w:rFonts w:ascii="Verdana" w:hAnsi="Verdana" w:cs="Arial"/>
          <w:sz w:val="20"/>
          <w:szCs w:val="20"/>
        </w:rPr>
        <w:t>:</w:t>
      </w:r>
    </w:p>
    <w:p w14:paraId="6B6FA4F0" w14:textId="4925EEA1" w:rsidR="00820979" w:rsidRPr="00FD016C" w:rsidRDefault="00203C71" w:rsidP="005144E2">
      <w:pPr>
        <w:widowControl/>
        <w:jc w:val="both"/>
        <w:rPr>
          <w:rFonts w:ascii="Arial" w:hAnsi="Arial" w:cs="Arial"/>
          <w:sz w:val="20"/>
          <w:szCs w:val="20"/>
        </w:rPr>
      </w:pPr>
      <w:r w:rsidRPr="00FD016C">
        <w:rPr>
          <w:rFonts w:ascii="Verdana" w:hAnsi="Verdana" w:cs="Arial"/>
          <w:sz w:val="20"/>
          <w:szCs w:val="20"/>
        </w:rPr>
        <w:t xml:space="preserve"> </w:t>
      </w:r>
    </w:p>
    <w:p w14:paraId="7EA346FC" w14:textId="5F592BF3" w:rsidR="00C842E8" w:rsidRPr="00FD016C" w:rsidRDefault="004E040C" w:rsidP="005144E2">
      <w:pPr>
        <w:widowControl/>
        <w:jc w:val="both"/>
        <w:rPr>
          <w:rFonts w:ascii="Arial" w:hAnsi="Arial" w:cs="Arial"/>
          <w:sz w:val="16"/>
          <w:szCs w:val="16"/>
        </w:rPr>
      </w:pPr>
      <w:r w:rsidRPr="00FD016C">
        <w:rPr>
          <w:noProof/>
        </w:rPr>
        <w:drawing>
          <wp:inline distT="0" distB="0" distL="0" distR="0" wp14:anchorId="45F0AA73" wp14:editId="2FA0AD95">
            <wp:extent cx="6073140" cy="2263914"/>
            <wp:effectExtent l="0" t="0" r="381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140" cy="2263914"/>
                    </a:xfrm>
                    <a:prstGeom prst="rect">
                      <a:avLst/>
                    </a:prstGeom>
                    <a:noFill/>
                    <a:ln>
                      <a:noFill/>
                    </a:ln>
                  </pic:spPr>
                </pic:pic>
              </a:graphicData>
            </a:graphic>
          </wp:inline>
        </w:drawing>
      </w:r>
    </w:p>
    <w:p w14:paraId="4F406AEF" w14:textId="36CECB04" w:rsidR="00451C0A" w:rsidRPr="00FD016C" w:rsidRDefault="00451C0A" w:rsidP="005144E2">
      <w:pPr>
        <w:widowControl/>
        <w:jc w:val="both"/>
        <w:rPr>
          <w:rFonts w:ascii="Verdana" w:hAnsi="Verdana" w:cs="Arial"/>
          <w:b/>
          <w:color w:val="0070C0"/>
        </w:rPr>
      </w:pPr>
    </w:p>
    <w:p w14:paraId="423005EB" w14:textId="77777777" w:rsidR="004E040C" w:rsidRPr="00FD016C" w:rsidRDefault="004E040C" w:rsidP="005144E2">
      <w:pPr>
        <w:widowControl/>
        <w:jc w:val="both"/>
        <w:rPr>
          <w:rFonts w:ascii="Verdana" w:hAnsi="Verdana" w:cs="Arial"/>
          <w:b/>
          <w:color w:val="0070C0"/>
        </w:rPr>
      </w:pPr>
    </w:p>
    <w:p w14:paraId="3313B6E2" w14:textId="77777777"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4.1 -</w:t>
      </w:r>
      <w:r w:rsidRPr="00FD016C">
        <w:rPr>
          <w:rFonts w:ascii="Verdana" w:hAnsi="Verdana" w:cs="Arial"/>
          <w:b/>
          <w:color w:val="0070C0"/>
        </w:rPr>
        <w:tab/>
        <w:t>Fatores de risco</w:t>
      </w:r>
    </w:p>
    <w:p w14:paraId="165BDCB0" w14:textId="77777777" w:rsidR="0020523C" w:rsidRPr="00FD016C" w:rsidRDefault="0020523C" w:rsidP="005144E2">
      <w:pPr>
        <w:widowControl/>
        <w:jc w:val="both"/>
        <w:rPr>
          <w:rFonts w:ascii="Verdana" w:hAnsi="Verdana" w:cs="Arial"/>
          <w:b/>
          <w:sz w:val="20"/>
          <w:szCs w:val="20"/>
        </w:rPr>
      </w:pPr>
    </w:p>
    <w:p w14:paraId="5D2E0495" w14:textId="334323C5" w:rsidR="003F4719" w:rsidRPr="00FD016C" w:rsidRDefault="003F4719" w:rsidP="005144E2">
      <w:pPr>
        <w:jc w:val="both"/>
        <w:rPr>
          <w:rFonts w:ascii="Verdana" w:hAnsi="Verdana" w:cs="Arial"/>
          <w:sz w:val="20"/>
          <w:szCs w:val="20"/>
        </w:rPr>
      </w:pPr>
      <w:r w:rsidRPr="00FD016C">
        <w:rPr>
          <w:rFonts w:ascii="Verdana" w:hAnsi="Verdana" w:cs="Arial"/>
          <w:sz w:val="20"/>
          <w:szCs w:val="20"/>
        </w:rPr>
        <w:t xml:space="preserve">O Conselho de Administração da Companhia </w:t>
      </w:r>
      <w:r w:rsidR="00F56EE3" w:rsidRPr="00FD016C">
        <w:rPr>
          <w:rFonts w:ascii="Verdana" w:hAnsi="Verdana" w:cs="Arial"/>
          <w:sz w:val="20"/>
          <w:szCs w:val="20"/>
        </w:rPr>
        <w:t xml:space="preserve">- </w:t>
      </w:r>
      <w:r w:rsidRPr="00FD016C">
        <w:rPr>
          <w:rFonts w:ascii="Verdana" w:hAnsi="Verdana" w:cs="Arial"/>
          <w:sz w:val="20"/>
          <w:szCs w:val="20"/>
        </w:rPr>
        <w:t>CA tem a responsabilidade global para o estabelecimento e supervisão da estrutura de gerenciamento de risco da Companhia. A Auditoria Interna</w:t>
      </w:r>
      <w:r w:rsidR="00B55918" w:rsidRPr="00FD016C">
        <w:rPr>
          <w:rFonts w:ascii="Verdana" w:hAnsi="Verdana" w:cs="Arial"/>
          <w:sz w:val="20"/>
          <w:szCs w:val="20"/>
        </w:rPr>
        <w:t xml:space="preserve"> e</w:t>
      </w:r>
      <w:r w:rsidRPr="00FD016C">
        <w:rPr>
          <w:rFonts w:ascii="Verdana" w:hAnsi="Verdana" w:cs="Arial"/>
          <w:sz w:val="20"/>
          <w:szCs w:val="20"/>
        </w:rPr>
        <w:t xml:space="preserve"> a </w:t>
      </w:r>
      <w:r w:rsidR="00A074F4" w:rsidRPr="00FD016C">
        <w:rPr>
          <w:rFonts w:ascii="Verdana" w:hAnsi="Verdana" w:cs="Arial"/>
          <w:sz w:val="20"/>
          <w:szCs w:val="20"/>
        </w:rPr>
        <w:t>Superintendência de Governança, Gestão de Riscos e Conformidade</w:t>
      </w:r>
      <w:r w:rsidRPr="00FD016C">
        <w:rPr>
          <w:rFonts w:ascii="Verdana" w:hAnsi="Verdana" w:cs="Arial"/>
          <w:sz w:val="20"/>
          <w:szCs w:val="20"/>
        </w:rPr>
        <w:t xml:space="preserve"> são responsáveis pelo desenvolvimento e acompanhamento das políticas de gerenciamento de risco da Companhia. O reporte de suas atividades é feito</w:t>
      </w:r>
      <w:r w:rsidR="00705AF0" w:rsidRPr="00FD016C">
        <w:rPr>
          <w:rFonts w:ascii="Verdana" w:hAnsi="Verdana" w:cs="Arial"/>
          <w:sz w:val="20"/>
          <w:szCs w:val="20"/>
        </w:rPr>
        <w:t>,</w:t>
      </w:r>
      <w:r w:rsidRPr="00FD016C">
        <w:rPr>
          <w:rFonts w:ascii="Verdana" w:hAnsi="Verdana" w:cs="Arial"/>
          <w:sz w:val="20"/>
          <w:szCs w:val="20"/>
        </w:rPr>
        <w:t xml:space="preserve"> regularmente</w:t>
      </w:r>
      <w:r w:rsidR="00705AF0" w:rsidRPr="00FD016C">
        <w:rPr>
          <w:rFonts w:ascii="Verdana" w:hAnsi="Verdana" w:cs="Arial"/>
          <w:sz w:val="20"/>
          <w:szCs w:val="20"/>
        </w:rPr>
        <w:t>,</w:t>
      </w:r>
      <w:r w:rsidRPr="00FD016C">
        <w:rPr>
          <w:rFonts w:ascii="Verdana" w:hAnsi="Verdana" w:cs="Arial"/>
          <w:sz w:val="20"/>
          <w:szCs w:val="20"/>
        </w:rPr>
        <w:t xml:space="preserve"> ao Conselho de Administração. </w:t>
      </w:r>
    </w:p>
    <w:p w14:paraId="4F93E38E"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lastRenderedPageBreak/>
        <w:t>As políticas de gerenciamento de risco da Companhia são estabelecidas para identificar e analisar os riscos aos quais a E</w:t>
      </w:r>
      <w:r w:rsidR="00683FE2" w:rsidRPr="00FD016C">
        <w:rPr>
          <w:rFonts w:ascii="Verdana" w:hAnsi="Verdana" w:cs="Arial"/>
          <w:sz w:val="20"/>
          <w:szCs w:val="20"/>
        </w:rPr>
        <w:t>LETRONUCLEAR</w:t>
      </w:r>
      <w:r w:rsidRPr="00FD016C">
        <w:rPr>
          <w:rFonts w:ascii="Verdana" w:hAnsi="Verdana" w:cs="Arial"/>
          <w:sz w:val="20"/>
          <w:szCs w:val="20"/>
        </w:rPr>
        <w:t xml:space="preserve"> está exposta, para definir limites de riscos e controles apropriados, e para monitorar os riscos e a aderência aos limites definidos. As políticas de gerenciamento de risco e os sistemas são revisados regularmente para refletir mudanças nas condições de mercado e nas atividades da Companhia. A </w:t>
      </w:r>
      <w:r w:rsidR="007D4391" w:rsidRPr="00FD016C">
        <w:rPr>
          <w:rFonts w:ascii="Verdana" w:hAnsi="Verdana" w:cs="Arial"/>
          <w:sz w:val="20"/>
          <w:szCs w:val="20"/>
        </w:rPr>
        <w:t>ELETRONUCLEAR</w:t>
      </w:r>
      <w:r w:rsidRPr="00FD016C">
        <w:rPr>
          <w:rFonts w:ascii="Verdana" w:hAnsi="Verdana" w:cs="Arial"/>
          <w:sz w:val="20"/>
          <w:szCs w:val="20"/>
        </w:rPr>
        <w:t>, através de suas normas e procedimentos de treinamento e gerenciamento, busca manter um ambiente de disciplina e controle, no qual todos os funcionários tenham consciência de suas atribuições e obrigações.</w:t>
      </w:r>
    </w:p>
    <w:p w14:paraId="778DA6A9" w14:textId="77777777" w:rsidR="00D35B83" w:rsidRPr="00FD016C" w:rsidRDefault="00D35B83" w:rsidP="005144E2">
      <w:pPr>
        <w:widowControl/>
        <w:jc w:val="both"/>
        <w:rPr>
          <w:rFonts w:ascii="Verdana" w:hAnsi="Verdana" w:cs="Arial"/>
          <w:sz w:val="20"/>
          <w:szCs w:val="20"/>
        </w:rPr>
      </w:pPr>
    </w:p>
    <w:p w14:paraId="103F86B3"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A Companhia possui exposição aos seguintes riscos:</w:t>
      </w:r>
    </w:p>
    <w:p w14:paraId="701F4AAE" w14:textId="77777777" w:rsidR="006D1F76" w:rsidRPr="00FD016C" w:rsidRDefault="006D1F76" w:rsidP="005144E2">
      <w:pPr>
        <w:widowControl/>
        <w:jc w:val="both"/>
        <w:rPr>
          <w:rFonts w:ascii="Verdana" w:hAnsi="Verdana" w:cs="Arial"/>
          <w:sz w:val="20"/>
          <w:szCs w:val="20"/>
        </w:rPr>
      </w:pPr>
    </w:p>
    <w:p w14:paraId="7B80E440" w14:textId="77777777" w:rsidR="003F4719" w:rsidRPr="00FD016C" w:rsidRDefault="003F4719" w:rsidP="00032005">
      <w:pPr>
        <w:pStyle w:val="PargrafodaLista"/>
        <w:widowControl/>
        <w:numPr>
          <w:ilvl w:val="0"/>
          <w:numId w:val="10"/>
        </w:numPr>
        <w:ind w:left="1134" w:hanging="425"/>
        <w:jc w:val="both"/>
        <w:rPr>
          <w:rFonts w:ascii="Verdana" w:hAnsi="Verdana" w:cs="Arial"/>
          <w:sz w:val="20"/>
          <w:szCs w:val="20"/>
        </w:rPr>
      </w:pPr>
      <w:r w:rsidRPr="00FD016C">
        <w:rPr>
          <w:rFonts w:ascii="Verdana" w:hAnsi="Verdana" w:cs="Arial"/>
          <w:sz w:val="20"/>
          <w:szCs w:val="20"/>
        </w:rPr>
        <w:t>Riscos de mercado</w:t>
      </w:r>
    </w:p>
    <w:p w14:paraId="1AC172F3" w14:textId="77777777" w:rsidR="003F4719" w:rsidRPr="00FD016C" w:rsidRDefault="003F4719" w:rsidP="00032005">
      <w:pPr>
        <w:pStyle w:val="PargrafodaLista"/>
        <w:widowControl/>
        <w:numPr>
          <w:ilvl w:val="0"/>
          <w:numId w:val="10"/>
        </w:numPr>
        <w:ind w:left="1134" w:hanging="425"/>
        <w:jc w:val="both"/>
        <w:rPr>
          <w:rFonts w:ascii="Verdana" w:hAnsi="Verdana" w:cs="Arial"/>
          <w:sz w:val="20"/>
          <w:szCs w:val="20"/>
        </w:rPr>
      </w:pPr>
      <w:r w:rsidRPr="00FD016C">
        <w:rPr>
          <w:rFonts w:ascii="Verdana" w:hAnsi="Verdana" w:cs="Arial"/>
          <w:sz w:val="20"/>
          <w:szCs w:val="20"/>
        </w:rPr>
        <w:t>Risco de crédito</w:t>
      </w:r>
    </w:p>
    <w:p w14:paraId="0A6385F5" w14:textId="77777777" w:rsidR="003F4719" w:rsidRPr="00FD016C" w:rsidRDefault="003F4719" w:rsidP="00032005">
      <w:pPr>
        <w:pStyle w:val="PargrafodaLista"/>
        <w:widowControl/>
        <w:numPr>
          <w:ilvl w:val="0"/>
          <w:numId w:val="10"/>
        </w:numPr>
        <w:ind w:left="1134" w:hanging="425"/>
        <w:jc w:val="both"/>
        <w:rPr>
          <w:rFonts w:ascii="Verdana" w:hAnsi="Verdana" w:cs="Arial"/>
          <w:sz w:val="20"/>
          <w:szCs w:val="20"/>
        </w:rPr>
      </w:pPr>
      <w:r w:rsidRPr="00FD016C">
        <w:rPr>
          <w:rFonts w:ascii="Verdana" w:hAnsi="Verdana" w:cs="Arial"/>
          <w:sz w:val="20"/>
          <w:szCs w:val="20"/>
        </w:rPr>
        <w:t>Risco de liquidez</w:t>
      </w:r>
    </w:p>
    <w:p w14:paraId="2716CBE4" w14:textId="77777777" w:rsidR="003F4719" w:rsidRPr="00FD016C" w:rsidRDefault="003F4719" w:rsidP="00032005">
      <w:pPr>
        <w:pStyle w:val="PargrafodaLista"/>
        <w:widowControl/>
        <w:numPr>
          <w:ilvl w:val="0"/>
          <w:numId w:val="10"/>
        </w:numPr>
        <w:ind w:left="1134" w:hanging="425"/>
        <w:jc w:val="both"/>
        <w:rPr>
          <w:rFonts w:ascii="Verdana" w:hAnsi="Verdana" w:cs="Arial"/>
          <w:sz w:val="20"/>
          <w:szCs w:val="20"/>
        </w:rPr>
      </w:pPr>
      <w:r w:rsidRPr="00FD016C">
        <w:rPr>
          <w:rFonts w:ascii="Verdana" w:hAnsi="Verdana" w:cs="Arial"/>
          <w:sz w:val="20"/>
          <w:szCs w:val="20"/>
        </w:rPr>
        <w:t>Risco operacional</w:t>
      </w:r>
    </w:p>
    <w:p w14:paraId="3098B309" w14:textId="77777777" w:rsidR="00F56EE3" w:rsidRPr="00FD016C" w:rsidRDefault="00F56EE3" w:rsidP="005144E2">
      <w:pPr>
        <w:pStyle w:val="PargrafodaLista"/>
        <w:widowControl/>
        <w:ind w:left="357"/>
        <w:jc w:val="both"/>
        <w:rPr>
          <w:rFonts w:ascii="Verdana" w:hAnsi="Verdana" w:cs="Arial"/>
          <w:sz w:val="20"/>
          <w:szCs w:val="20"/>
        </w:rPr>
      </w:pPr>
    </w:p>
    <w:p w14:paraId="6D192580" w14:textId="77777777" w:rsidR="00B34CC6" w:rsidRPr="00FD016C" w:rsidRDefault="00B34CC6" w:rsidP="005144E2">
      <w:pPr>
        <w:pStyle w:val="PargrafodaLista"/>
        <w:widowControl/>
        <w:ind w:left="357"/>
        <w:jc w:val="both"/>
        <w:rPr>
          <w:rFonts w:ascii="Verdana" w:hAnsi="Verdana" w:cs="Arial"/>
          <w:sz w:val="20"/>
          <w:szCs w:val="20"/>
        </w:rPr>
      </w:pPr>
    </w:p>
    <w:p w14:paraId="78C09968" w14:textId="77777777" w:rsidR="003F4719" w:rsidRPr="00FD016C" w:rsidRDefault="003F4719" w:rsidP="005144E2">
      <w:pPr>
        <w:widowControl/>
        <w:tabs>
          <w:tab w:val="left" w:pos="180"/>
        </w:tabs>
        <w:jc w:val="both"/>
        <w:rPr>
          <w:rFonts w:ascii="Verdana" w:hAnsi="Verdana" w:cs="Arial"/>
          <w:b/>
          <w:color w:val="0070C0"/>
        </w:rPr>
      </w:pPr>
      <w:r w:rsidRPr="00FD016C">
        <w:rPr>
          <w:rFonts w:ascii="Verdana" w:hAnsi="Verdana" w:cs="Arial"/>
          <w:b/>
          <w:color w:val="0070C0"/>
        </w:rPr>
        <w:t>a) Riscos de mercado</w:t>
      </w:r>
    </w:p>
    <w:p w14:paraId="0FCA1901" w14:textId="77777777" w:rsidR="003F4719" w:rsidRPr="00FD016C" w:rsidRDefault="003F4719" w:rsidP="005144E2">
      <w:pPr>
        <w:widowControl/>
        <w:tabs>
          <w:tab w:val="left" w:pos="180"/>
        </w:tabs>
        <w:jc w:val="both"/>
        <w:rPr>
          <w:rFonts w:ascii="Verdana" w:hAnsi="Verdana" w:cs="Arial"/>
          <w:b/>
          <w:sz w:val="20"/>
          <w:szCs w:val="20"/>
        </w:rPr>
      </w:pPr>
    </w:p>
    <w:p w14:paraId="572DF655"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Risco de mercado é o risco de alterações nos preços de mercado</w:t>
      </w:r>
      <w:r w:rsidR="005D1518" w:rsidRPr="00FD016C">
        <w:rPr>
          <w:rFonts w:ascii="Verdana" w:hAnsi="Verdana" w:cs="Arial"/>
          <w:sz w:val="20"/>
          <w:szCs w:val="20"/>
        </w:rPr>
        <w:t>,</w:t>
      </w:r>
      <w:r w:rsidRPr="00FD016C">
        <w:rPr>
          <w:rFonts w:ascii="Verdana" w:hAnsi="Verdana" w:cs="Arial"/>
          <w:sz w:val="20"/>
          <w:szCs w:val="20"/>
        </w:rPr>
        <w:t xml:space="preserve"> tais como</w:t>
      </w:r>
      <w:r w:rsidR="005D1518" w:rsidRPr="00FD016C">
        <w:rPr>
          <w:rFonts w:ascii="Verdana" w:hAnsi="Verdana" w:cs="Arial"/>
          <w:sz w:val="20"/>
          <w:szCs w:val="20"/>
        </w:rPr>
        <w:t>:</w:t>
      </w:r>
      <w:r w:rsidRPr="00FD016C">
        <w:rPr>
          <w:rFonts w:ascii="Verdana" w:hAnsi="Verdana" w:cs="Arial"/>
          <w:sz w:val="20"/>
          <w:szCs w:val="20"/>
        </w:rPr>
        <w:t xml:space="preserve"> as taxas de câmbio e taxas de juros e outros riscos de preço que irão afetar os ganhos da Companhia ou o valor de suas participações em instrumentos financeiros. O objetivo do gerenciamento de risco de mercado é gerenciar e controlar as exposições a </w:t>
      </w:r>
      <w:r w:rsidR="00B45FA5" w:rsidRPr="00FD016C">
        <w:rPr>
          <w:rFonts w:ascii="Verdana" w:hAnsi="Verdana" w:cs="Arial"/>
          <w:sz w:val="20"/>
          <w:szCs w:val="20"/>
        </w:rPr>
        <w:t xml:space="preserve">esses </w:t>
      </w:r>
      <w:r w:rsidRPr="00FD016C">
        <w:rPr>
          <w:rFonts w:ascii="Verdana" w:hAnsi="Verdana" w:cs="Arial"/>
          <w:sz w:val="20"/>
          <w:szCs w:val="20"/>
        </w:rPr>
        <w:t>riscos, dentro de parâmetros aceitáveis, e ao mesmo tempo otimizar o retorno, a saber:</w:t>
      </w:r>
    </w:p>
    <w:p w14:paraId="194FF2D9" w14:textId="77777777" w:rsidR="00C9401A" w:rsidRPr="00FD016C" w:rsidRDefault="00C9401A" w:rsidP="005144E2">
      <w:pPr>
        <w:widowControl/>
        <w:tabs>
          <w:tab w:val="left" w:pos="180"/>
        </w:tabs>
        <w:jc w:val="both"/>
        <w:rPr>
          <w:rFonts w:ascii="Verdana" w:hAnsi="Verdana" w:cs="Arial"/>
          <w:b/>
          <w:sz w:val="20"/>
          <w:szCs w:val="20"/>
        </w:rPr>
      </w:pPr>
    </w:p>
    <w:p w14:paraId="6E50453A" w14:textId="77777777" w:rsidR="009C49E4" w:rsidRPr="00FD016C" w:rsidRDefault="009C49E4" w:rsidP="005144E2">
      <w:pPr>
        <w:widowControl/>
        <w:tabs>
          <w:tab w:val="left" w:pos="180"/>
        </w:tabs>
        <w:jc w:val="both"/>
        <w:rPr>
          <w:rFonts w:ascii="Verdana" w:hAnsi="Verdana" w:cs="Arial"/>
          <w:b/>
          <w:sz w:val="20"/>
          <w:szCs w:val="20"/>
        </w:rPr>
      </w:pPr>
    </w:p>
    <w:p w14:paraId="2B242BC0" w14:textId="77777777" w:rsidR="003F4719" w:rsidRPr="00FD016C" w:rsidRDefault="003F4719" w:rsidP="005144E2">
      <w:pPr>
        <w:widowControl/>
        <w:tabs>
          <w:tab w:val="left" w:pos="180"/>
        </w:tabs>
        <w:jc w:val="both"/>
        <w:rPr>
          <w:rFonts w:ascii="Verdana" w:hAnsi="Verdana" w:cs="Arial"/>
          <w:b/>
          <w:color w:val="0070C0"/>
        </w:rPr>
      </w:pPr>
      <w:r w:rsidRPr="00FD016C">
        <w:rPr>
          <w:rFonts w:ascii="Verdana" w:hAnsi="Verdana" w:cs="Arial"/>
          <w:b/>
          <w:color w:val="0070C0"/>
        </w:rPr>
        <w:t>a.1) Risco de taxa de câmbio</w:t>
      </w:r>
    </w:p>
    <w:p w14:paraId="25AF3214" w14:textId="77777777" w:rsidR="003F4719" w:rsidRPr="00FD016C" w:rsidRDefault="003F4719" w:rsidP="005144E2">
      <w:pPr>
        <w:widowControl/>
        <w:jc w:val="both"/>
        <w:rPr>
          <w:rFonts w:ascii="Verdana" w:hAnsi="Verdana" w:cs="Arial"/>
          <w:sz w:val="20"/>
          <w:szCs w:val="20"/>
        </w:rPr>
      </w:pPr>
    </w:p>
    <w:p w14:paraId="4D20EE20"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Os riscos de flutuação nas taxas de câmbio podem estar associados às exposições de algumas moedas em relação a ativos e passivos da Companhia, basicamente com relação ao dólar dos Estados Unidos (fundo financeiro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e fornecedores) e ao euro (fornecedores).</w:t>
      </w:r>
    </w:p>
    <w:p w14:paraId="035C18B2" w14:textId="77777777" w:rsidR="003F4719" w:rsidRPr="00FD016C" w:rsidRDefault="003F4719" w:rsidP="005144E2">
      <w:pPr>
        <w:widowControl/>
        <w:jc w:val="both"/>
        <w:rPr>
          <w:rFonts w:ascii="Verdana" w:hAnsi="Verdana" w:cs="Arial"/>
          <w:sz w:val="20"/>
          <w:szCs w:val="20"/>
        </w:rPr>
      </w:pPr>
    </w:p>
    <w:p w14:paraId="7F2C1AAF" w14:textId="4E232B88" w:rsidR="0085155A"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Com exceção </w:t>
      </w:r>
      <w:r w:rsidR="00090FA9" w:rsidRPr="00FD016C">
        <w:rPr>
          <w:rFonts w:ascii="Verdana" w:hAnsi="Verdana" w:cs="Arial"/>
          <w:sz w:val="20"/>
          <w:szCs w:val="20"/>
        </w:rPr>
        <w:t>dos investimentos vinculados à variação do</w:t>
      </w:r>
      <w:r w:rsidRPr="00FD016C">
        <w:rPr>
          <w:rFonts w:ascii="Verdana" w:hAnsi="Verdana" w:cs="Arial"/>
          <w:sz w:val="20"/>
          <w:szCs w:val="20"/>
        </w:rPr>
        <w:t xml:space="preserve"> dólar </w:t>
      </w:r>
      <w:r w:rsidR="00090FA9" w:rsidRPr="00FD016C">
        <w:rPr>
          <w:rFonts w:ascii="Verdana" w:hAnsi="Verdana" w:cs="Arial"/>
          <w:sz w:val="20"/>
          <w:szCs w:val="20"/>
        </w:rPr>
        <w:t>dos Estados Unidos</w:t>
      </w:r>
      <w:r w:rsidRPr="00FD016C">
        <w:rPr>
          <w:rFonts w:ascii="Verdana" w:hAnsi="Verdana" w:cs="Arial"/>
          <w:sz w:val="20"/>
          <w:szCs w:val="20"/>
        </w:rPr>
        <w:t>, detalhado</w:t>
      </w:r>
      <w:r w:rsidR="00090FA9" w:rsidRPr="00FD016C">
        <w:rPr>
          <w:rFonts w:ascii="Verdana" w:hAnsi="Verdana" w:cs="Arial"/>
          <w:sz w:val="20"/>
          <w:szCs w:val="20"/>
        </w:rPr>
        <w:t>s</w:t>
      </w:r>
      <w:r w:rsidRPr="00FD016C">
        <w:rPr>
          <w:rFonts w:ascii="Verdana" w:hAnsi="Verdana" w:cs="Arial"/>
          <w:sz w:val="20"/>
          <w:szCs w:val="20"/>
        </w:rPr>
        <w:t xml:space="preserve"> na </w:t>
      </w:r>
      <w:r w:rsidR="00D90D34" w:rsidRPr="00FD016C">
        <w:rPr>
          <w:rFonts w:ascii="Verdana" w:hAnsi="Verdana" w:cs="Arial"/>
          <w:sz w:val="20"/>
          <w:szCs w:val="20"/>
        </w:rPr>
        <w:t>n</w:t>
      </w:r>
      <w:r w:rsidRPr="00FD016C">
        <w:rPr>
          <w:rFonts w:ascii="Verdana" w:hAnsi="Verdana" w:cs="Arial"/>
          <w:sz w:val="20"/>
          <w:szCs w:val="20"/>
        </w:rPr>
        <w:t xml:space="preserve">ota 11, que compõem a carteira do fundo exclusivo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não há operações financeiras contratadas que protejam a Companhia dessa exposição. </w:t>
      </w:r>
    </w:p>
    <w:p w14:paraId="49D8D99B" w14:textId="77777777" w:rsidR="00A05B23" w:rsidRPr="00FD016C" w:rsidRDefault="00A05B23" w:rsidP="005144E2">
      <w:pPr>
        <w:widowControl/>
        <w:jc w:val="both"/>
        <w:rPr>
          <w:rFonts w:ascii="Verdana" w:hAnsi="Verdana" w:cs="Arial"/>
          <w:sz w:val="20"/>
          <w:szCs w:val="20"/>
        </w:rPr>
      </w:pPr>
    </w:p>
    <w:p w14:paraId="083E3D19" w14:textId="77777777" w:rsidR="00D901D5" w:rsidRPr="00FD016C" w:rsidRDefault="00D901D5" w:rsidP="005144E2">
      <w:pPr>
        <w:widowControl/>
        <w:jc w:val="both"/>
        <w:rPr>
          <w:rFonts w:ascii="Verdana" w:hAnsi="Verdana" w:cs="Arial"/>
          <w:sz w:val="20"/>
          <w:szCs w:val="20"/>
        </w:rPr>
      </w:pPr>
    </w:p>
    <w:p w14:paraId="5E4B0FE8" w14:textId="77777777" w:rsidR="00D901D5" w:rsidRPr="00FD016C" w:rsidRDefault="00D901D5" w:rsidP="005144E2">
      <w:pPr>
        <w:widowControl/>
        <w:jc w:val="both"/>
        <w:rPr>
          <w:rFonts w:ascii="Verdana" w:hAnsi="Verdana" w:cs="Arial"/>
          <w:sz w:val="20"/>
          <w:szCs w:val="20"/>
        </w:rPr>
      </w:pPr>
    </w:p>
    <w:p w14:paraId="00AE2116" w14:textId="77777777" w:rsidR="00D901D5" w:rsidRDefault="00D901D5" w:rsidP="005144E2">
      <w:pPr>
        <w:widowControl/>
        <w:jc w:val="both"/>
        <w:rPr>
          <w:rFonts w:ascii="Verdana" w:hAnsi="Verdana" w:cs="Arial"/>
          <w:sz w:val="20"/>
          <w:szCs w:val="20"/>
        </w:rPr>
      </w:pPr>
    </w:p>
    <w:p w14:paraId="241515A1" w14:textId="77777777" w:rsidR="003A2511" w:rsidRDefault="003A2511" w:rsidP="005144E2">
      <w:pPr>
        <w:widowControl/>
        <w:jc w:val="both"/>
        <w:rPr>
          <w:rFonts w:ascii="Verdana" w:hAnsi="Verdana" w:cs="Arial"/>
          <w:sz w:val="20"/>
          <w:szCs w:val="20"/>
        </w:rPr>
      </w:pPr>
    </w:p>
    <w:p w14:paraId="57EB9243" w14:textId="77777777" w:rsidR="003A2511" w:rsidRDefault="003A2511" w:rsidP="005144E2">
      <w:pPr>
        <w:widowControl/>
        <w:jc w:val="both"/>
        <w:rPr>
          <w:rFonts w:ascii="Verdana" w:hAnsi="Verdana" w:cs="Arial"/>
          <w:sz w:val="20"/>
          <w:szCs w:val="20"/>
        </w:rPr>
      </w:pPr>
    </w:p>
    <w:p w14:paraId="0356E6D7" w14:textId="77777777" w:rsidR="003A2511" w:rsidRDefault="003A2511" w:rsidP="005144E2">
      <w:pPr>
        <w:widowControl/>
        <w:jc w:val="both"/>
        <w:rPr>
          <w:rFonts w:ascii="Verdana" w:hAnsi="Verdana" w:cs="Arial"/>
          <w:sz w:val="20"/>
          <w:szCs w:val="20"/>
        </w:rPr>
      </w:pPr>
    </w:p>
    <w:p w14:paraId="37E2790F" w14:textId="77777777" w:rsidR="003A2511" w:rsidRDefault="003A2511" w:rsidP="005144E2">
      <w:pPr>
        <w:widowControl/>
        <w:jc w:val="both"/>
        <w:rPr>
          <w:rFonts w:ascii="Verdana" w:hAnsi="Verdana" w:cs="Arial"/>
          <w:sz w:val="20"/>
          <w:szCs w:val="20"/>
        </w:rPr>
      </w:pPr>
    </w:p>
    <w:p w14:paraId="064AFBB6" w14:textId="77777777" w:rsidR="003A2511" w:rsidRDefault="003A2511" w:rsidP="005144E2">
      <w:pPr>
        <w:widowControl/>
        <w:jc w:val="both"/>
        <w:rPr>
          <w:rFonts w:ascii="Verdana" w:hAnsi="Verdana" w:cs="Arial"/>
          <w:sz w:val="20"/>
          <w:szCs w:val="20"/>
        </w:rPr>
      </w:pPr>
    </w:p>
    <w:p w14:paraId="05A71EA2" w14:textId="77777777" w:rsidR="003A2511" w:rsidRDefault="003A2511" w:rsidP="005144E2">
      <w:pPr>
        <w:widowControl/>
        <w:jc w:val="both"/>
        <w:rPr>
          <w:rFonts w:ascii="Verdana" w:hAnsi="Verdana" w:cs="Arial"/>
          <w:sz w:val="20"/>
          <w:szCs w:val="20"/>
        </w:rPr>
      </w:pPr>
    </w:p>
    <w:p w14:paraId="774ED216" w14:textId="77777777" w:rsidR="003A2511" w:rsidRDefault="003A2511" w:rsidP="005144E2">
      <w:pPr>
        <w:widowControl/>
        <w:jc w:val="both"/>
        <w:rPr>
          <w:rFonts w:ascii="Verdana" w:hAnsi="Verdana" w:cs="Arial"/>
          <w:sz w:val="20"/>
          <w:szCs w:val="20"/>
        </w:rPr>
      </w:pPr>
    </w:p>
    <w:p w14:paraId="25DEA0C3" w14:textId="77777777" w:rsidR="003A2511" w:rsidRDefault="003A2511" w:rsidP="005144E2">
      <w:pPr>
        <w:widowControl/>
        <w:jc w:val="both"/>
        <w:rPr>
          <w:rFonts w:ascii="Verdana" w:hAnsi="Verdana" w:cs="Arial"/>
          <w:sz w:val="20"/>
          <w:szCs w:val="20"/>
        </w:rPr>
      </w:pPr>
    </w:p>
    <w:p w14:paraId="68CA1B99" w14:textId="77777777" w:rsidR="003A2511" w:rsidRPr="00FD016C" w:rsidRDefault="003A2511" w:rsidP="005144E2">
      <w:pPr>
        <w:widowControl/>
        <w:jc w:val="both"/>
        <w:rPr>
          <w:rFonts w:ascii="Verdana" w:hAnsi="Verdana" w:cs="Arial"/>
          <w:sz w:val="20"/>
          <w:szCs w:val="20"/>
        </w:rPr>
      </w:pPr>
    </w:p>
    <w:p w14:paraId="7E93D310" w14:textId="77777777" w:rsidR="00D901D5" w:rsidRPr="00FD016C" w:rsidRDefault="003F4719" w:rsidP="005144E2">
      <w:pPr>
        <w:widowControl/>
        <w:jc w:val="both"/>
        <w:rPr>
          <w:rFonts w:ascii="Verdana" w:hAnsi="Verdana" w:cs="Arial"/>
          <w:sz w:val="20"/>
          <w:szCs w:val="20"/>
        </w:rPr>
      </w:pPr>
      <w:r w:rsidRPr="00FD016C">
        <w:rPr>
          <w:rFonts w:ascii="Verdana" w:hAnsi="Verdana" w:cs="Arial"/>
          <w:sz w:val="20"/>
          <w:szCs w:val="20"/>
        </w:rPr>
        <w:lastRenderedPageBreak/>
        <w:t>A exposição total do risco de câmbio pode ser resumida na análise de sensibilidade abaixo:</w:t>
      </w:r>
    </w:p>
    <w:p w14:paraId="5091C1D1" w14:textId="187AB718" w:rsidR="00B7222E"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 </w:t>
      </w:r>
    </w:p>
    <w:p w14:paraId="40946EBC" w14:textId="734618F7" w:rsidR="00A44906" w:rsidRPr="00FD016C" w:rsidRDefault="002B3343" w:rsidP="005144E2">
      <w:pPr>
        <w:widowControl/>
        <w:jc w:val="both"/>
        <w:rPr>
          <w:rFonts w:ascii="Verdana" w:hAnsi="Verdana" w:cs="Arial"/>
          <w:sz w:val="20"/>
          <w:szCs w:val="20"/>
        </w:rPr>
      </w:pPr>
      <w:r w:rsidRPr="00FD016C">
        <w:rPr>
          <w:noProof/>
        </w:rPr>
        <w:drawing>
          <wp:inline distT="0" distB="0" distL="0" distR="0" wp14:anchorId="1048A4BC" wp14:editId="3AA551F6">
            <wp:extent cx="4695825" cy="1447800"/>
            <wp:effectExtent l="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1447800"/>
                    </a:xfrm>
                    <a:prstGeom prst="rect">
                      <a:avLst/>
                    </a:prstGeom>
                    <a:noFill/>
                    <a:ln>
                      <a:noFill/>
                    </a:ln>
                  </pic:spPr>
                </pic:pic>
              </a:graphicData>
            </a:graphic>
          </wp:inline>
        </w:drawing>
      </w:r>
    </w:p>
    <w:p w14:paraId="5E617FC3" w14:textId="77777777" w:rsidR="00F00B91" w:rsidRPr="00FD016C" w:rsidRDefault="00F00B91" w:rsidP="005144E2">
      <w:pPr>
        <w:widowControl/>
        <w:jc w:val="both"/>
        <w:rPr>
          <w:rFonts w:ascii="Verdana" w:hAnsi="Verdana" w:cs="Arial"/>
          <w:sz w:val="20"/>
          <w:szCs w:val="20"/>
        </w:rPr>
      </w:pPr>
    </w:p>
    <w:p w14:paraId="2D631DF5" w14:textId="4EEAD8F9" w:rsidR="00F00B91" w:rsidRPr="00FD016C" w:rsidRDefault="002B3343" w:rsidP="005144E2">
      <w:pPr>
        <w:widowControl/>
        <w:jc w:val="both"/>
        <w:rPr>
          <w:rFonts w:ascii="Verdana" w:hAnsi="Verdana" w:cs="Arial"/>
          <w:sz w:val="20"/>
          <w:szCs w:val="20"/>
        </w:rPr>
      </w:pPr>
      <w:r w:rsidRPr="00FD016C">
        <w:rPr>
          <w:noProof/>
        </w:rPr>
        <w:drawing>
          <wp:inline distT="0" distB="0" distL="0" distR="0" wp14:anchorId="7E96DFE9" wp14:editId="24A0FBDB">
            <wp:extent cx="2419350" cy="93345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933450"/>
                    </a:xfrm>
                    <a:prstGeom prst="rect">
                      <a:avLst/>
                    </a:prstGeom>
                    <a:noFill/>
                    <a:ln>
                      <a:noFill/>
                    </a:ln>
                  </pic:spPr>
                </pic:pic>
              </a:graphicData>
            </a:graphic>
          </wp:inline>
        </w:drawing>
      </w:r>
    </w:p>
    <w:p w14:paraId="7AEB5738" w14:textId="6338AA53" w:rsidR="005701AC" w:rsidRPr="00FD016C" w:rsidRDefault="005701AC" w:rsidP="005144E2">
      <w:pPr>
        <w:widowControl/>
        <w:jc w:val="both"/>
        <w:rPr>
          <w:rFonts w:ascii="Verdana" w:hAnsi="Verdana" w:cs="Arial"/>
          <w:sz w:val="20"/>
          <w:szCs w:val="20"/>
        </w:rPr>
      </w:pPr>
    </w:p>
    <w:p w14:paraId="22B8F0E5" w14:textId="47867373" w:rsidR="003003C0" w:rsidRPr="00FD016C" w:rsidRDefault="003003C0" w:rsidP="003003C0">
      <w:pPr>
        <w:jc w:val="both"/>
        <w:rPr>
          <w:rFonts w:ascii="Verdana" w:hAnsi="Verdana" w:cs="Arial"/>
          <w:sz w:val="16"/>
          <w:szCs w:val="16"/>
        </w:rPr>
      </w:pPr>
      <w:r w:rsidRPr="00FD016C">
        <w:rPr>
          <w:rFonts w:ascii="Verdana" w:hAnsi="Verdana" w:cs="Arial"/>
          <w:b/>
          <w:sz w:val="16"/>
          <w:szCs w:val="16"/>
        </w:rPr>
        <w:t>*</w:t>
      </w:r>
      <w:r w:rsidRPr="00FD016C">
        <w:rPr>
          <w:rFonts w:ascii="Verdana" w:hAnsi="Verdana" w:cs="Arial"/>
          <w:sz w:val="16"/>
          <w:szCs w:val="16"/>
        </w:rPr>
        <w:t xml:space="preserve">Projeções taxa de câmbio em </w:t>
      </w:r>
      <w:r w:rsidR="006C27EC" w:rsidRPr="00FD016C">
        <w:rPr>
          <w:rFonts w:ascii="Verdana" w:hAnsi="Verdana" w:cs="Arial"/>
          <w:sz w:val="16"/>
          <w:szCs w:val="16"/>
        </w:rPr>
        <w:t>18</w:t>
      </w:r>
      <w:r w:rsidRPr="00FD016C">
        <w:rPr>
          <w:rFonts w:ascii="Verdana" w:hAnsi="Verdana" w:cs="Arial"/>
          <w:sz w:val="16"/>
          <w:szCs w:val="16"/>
        </w:rPr>
        <w:t>/</w:t>
      </w:r>
      <w:r w:rsidR="007733B4" w:rsidRPr="00FD016C">
        <w:rPr>
          <w:rFonts w:ascii="Verdana" w:hAnsi="Verdana" w:cs="Arial"/>
          <w:sz w:val="16"/>
          <w:szCs w:val="16"/>
        </w:rPr>
        <w:t>10</w:t>
      </w:r>
      <w:r w:rsidRPr="00FD016C">
        <w:rPr>
          <w:rFonts w:ascii="Verdana" w:hAnsi="Verdana" w:cs="Arial"/>
          <w:sz w:val="16"/>
          <w:szCs w:val="16"/>
        </w:rPr>
        <w:t>/2021</w:t>
      </w:r>
      <w:r w:rsidR="005701AC" w:rsidRPr="00FD016C">
        <w:rPr>
          <w:rFonts w:ascii="Verdana" w:hAnsi="Verdana" w:cs="Arial"/>
          <w:sz w:val="16"/>
          <w:szCs w:val="16"/>
        </w:rPr>
        <w:t xml:space="preserve"> para data-base 31/12/2021</w:t>
      </w:r>
      <w:r w:rsidRPr="00FD016C">
        <w:rPr>
          <w:rFonts w:ascii="Verdana" w:hAnsi="Verdana" w:cs="Arial"/>
          <w:sz w:val="16"/>
          <w:szCs w:val="16"/>
        </w:rPr>
        <w:t>.</w:t>
      </w:r>
    </w:p>
    <w:p w14:paraId="586B4DC6" w14:textId="024AA167" w:rsidR="0052536F" w:rsidRPr="00FD016C" w:rsidRDefault="0052536F" w:rsidP="005144E2">
      <w:pPr>
        <w:widowControl/>
        <w:jc w:val="both"/>
        <w:rPr>
          <w:rFonts w:ascii="Verdana" w:hAnsi="Verdana" w:cs="Arial"/>
          <w:b/>
          <w:sz w:val="20"/>
          <w:szCs w:val="20"/>
        </w:rPr>
      </w:pPr>
    </w:p>
    <w:p w14:paraId="554381EE" w14:textId="3B6E5B4B" w:rsidR="004C37C2" w:rsidRPr="00FD016C" w:rsidRDefault="004C37C2" w:rsidP="005144E2">
      <w:pPr>
        <w:widowControl/>
        <w:jc w:val="both"/>
        <w:rPr>
          <w:rFonts w:ascii="Verdana" w:hAnsi="Verdana" w:cs="Arial"/>
          <w:b/>
          <w:sz w:val="20"/>
          <w:szCs w:val="20"/>
        </w:rPr>
      </w:pPr>
    </w:p>
    <w:p w14:paraId="4359B551" w14:textId="77777777"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a.2) Risco de juros</w:t>
      </w:r>
    </w:p>
    <w:p w14:paraId="638DAC35" w14:textId="77777777" w:rsidR="003F4719" w:rsidRPr="00FD016C" w:rsidRDefault="003F4719" w:rsidP="005144E2">
      <w:pPr>
        <w:widowControl/>
        <w:jc w:val="both"/>
        <w:rPr>
          <w:rFonts w:ascii="Verdana" w:hAnsi="Verdana" w:cs="Arial"/>
          <w:b/>
          <w:sz w:val="20"/>
          <w:szCs w:val="20"/>
        </w:rPr>
      </w:pPr>
    </w:p>
    <w:p w14:paraId="33A681E4" w14:textId="170E867F" w:rsidR="007100D0" w:rsidRPr="00FD016C" w:rsidRDefault="007100D0" w:rsidP="007100D0">
      <w:pPr>
        <w:jc w:val="both"/>
        <w:rPr>
          <w:rFonts w:ascii="Verdana" w:hAnsi="Verdana" w:cs="Arial"/>
          <w:sz w:val="20"/>
          <w:szCs w:val="20"/>
        </w:rPr>
      </w:pPr>
      <w:r w:rsidRPr="00FD016C">
        <w:rPr>
          <w:rFonts w:ascii="Verdana" w:hAnsi="Verdana" w:cs="Arial"/>
          <w:sz w:val="20"/>
          <w:szCs w:val="20"/>
        </w:rPr>
        <w:t>A Administração da ELETRONUCLEAR entende que a exposição a risco de juros não é significativa, visto que os empréstimos e financiamentos contratados estão indexados</w:t>
      </w:r>
      <w:r w:rsidR="009056F9" w:rsidRPr="00FD016C">
        <w:rPr>
          <w:rFonts w:ascii="Verdana" w:hAnsi="Verdana" w:cs="Arial"/>
          <w:sz w:val="20"/>
          <w:szCs w:val="20"/>
        </w:rPr>
        <w:t>, principalmente,</w:t>
      </w:r>
      <w:r w:rsidRPr="00FD016C">
        <w:rPr>
          <w:rFonts w:ascii="Verdana" w:hAnsi="Verdana" w:cs="Arial"/>
          <w:sz w:val="20"/>
          <w:szCs w:val="20"/>
        </w:rPr>
        <w:t xml:space="preserve"> à Unidade de Referência Fiscal - UFIR e </w:t>
      </w:r>
      <w:r w:rsidR="009056F9" w:rsidRPr="00FD016C">
        <w:rPr>
          <w:rFonts w:ascii="Verdana" w:hAnsi="Verdana" w:cs="Arial"/>
          <w:sz w:val="20"/>
          <w:szCs w:val="20"/>
        </w:rPr>
        <w:t xml:space="preserve">à </w:t>
      </w:r>
      <w:r w:rsidRPr="00FD016C">
        <w:rPr>
          <w:rFonts w:ascii="Verdana" w:hAnsi="Verdana" w:cs="Arial"/>
          <w:sz w:val="20"/>
          <w:szCs w:val="20"/>
        </w:rPr>
        <w:t>Taxa de Juros de Longo Prazo - TJLP ou não possuem qualquer indexador, como é o caso do contrato de financiamento com a Caixa Econômica Federal - CEF, que possui taxa de juros fixa ao longo do contrato.</w:t>
      </w:r>
      <w:r w:rsidRPr="00FD016C">
        <w:rPr>
          <w:rFonts w:ascii="Verdana" w:hAnsi="Verdana" w:cs="Arial"/>
          <w:color w:val="FF0000"/>
          <w:sz w:val="20"/>
          <w:szCs w:val="20"/>
        </w:rPr>
        <w:t xml:space="preserve">  </w:t>
      </w:r>
      <w:r w:rsidRPr="00FD016C">
        <w:rPr>
          <w:rFonts w:ascii="Verdana" w:hAnsi="Verdana" w:cs="Arial"/>
          <w:sz w:val="20"/>
          <w:szCs w:val="20"/>
        </w:rPr>
        <w:t xml:space="preserve">Além disso, todos os recursos são captados em moeda nacional, o que reduz a exposição cambial. </w:t>
      </w:r>
    </w:p>
    <w:p w14:paraId="15D1E5F1" w14:textId="77777777" w:rsidR="007100D0" w:rsidRPr="00FD016C" w:rsidRDefault="007100D0" w:rsidP="007100D0">
      <w:pPr>
        <w:rPr>
          <w:rFonts w:ascii="Verdana" w:hAnsi="Verdana" w:cs="Arial"/>
          <w:sz w:val="20"/>
          <w:szCs w:val="20"/>
        </w:rPr>
      </w:pPr>
    </w:p>
    <w:p w14:paraId="4739C093" w14:textId="398102E2" w:rsidR="00674D1C" w:rsidRPr="00FD016C" w:rsidRDefault="00674D1C" w:rsidP="00674D1C">
      <w:pPr>
        <w:jc w:val="both"/>
        <w:rPr>
          <w:rFonts w:ascii="Verdana" w:hAnsi="Verdana" w:cs="Arial"/>
          <w:color w:val="000000" w:themeColor="text1"/>
          <w:sz w:val="20"/>
          <w:szCs w:val="20"/>
        </w:rPr>
      </w:pPr>
      <w:r w:rsidRPr="00FD016C">
        <w:rPr>
          <w:rFonts w:ascii="Verdana" w:hAnsi="Verdana" w:cs="Arial"/>
          <w:color w:val="000000" w:themeColor="text1"/>
          <w:sz w:val="20"/>
          <w:szCs w:val="20"/>
        </w:rPr>
        <w:t>A UFIR não sofreu qualquer variação no período, visto que foi extinta em 2000 e está congelada desde então. A TJLP, que é divulgada, trimestralmente, pelo Conselho Monetário Nacional - CMN,</w:t>
      </w:r>
      <w:r w:rsidRPr="00FD016C">
        <w:rPr>
          <w:rFonts w:ascii="Verdana" w:hAnsi="Verdana"/>
          <w:color w:val="000000" w:themeColor="text1"/>
          <w:sz w:val="20"/>
          <w:szCs w:val="20"/>
        </w:rPr>
        <w:t xml:space="preserve"> </w:t>
      </w:r>
      <w:r w:rsidRPr="00FD016C">
        <w:rPr>
          <w:rFonts w:ascii="Verdana" w:hAnsi="Verdana" w:cs="Arial"/>
          <w:color w:val="000000" w:themeColor="text1"/>
          <w:sz w:val="20"/>
          <w:szCs w:val="20"/>
        </w:rPr>
        <w:t>foi elevada para 4,</w:t>
      </w:r>
      <w:r w:rsidR="006C27EC" w:rsidRPr="00FD016C">
        <w:rPr>
          <w:rFonts w:ascii="Verdana" w:hAnsi="Verdana" w:cs="Arial"/>
          <w:color w:val="000000" w:themeColor="text1"/>
          <w:sz w:val="20"/>
          <w:szCs w:val="20"/>
        </w:rPr>
        <w:t>88</w:t>
      </w:r>
      <w:r w:rsidRPr="00FD016C">
        <w:rPr>
          <w:rFonts w:ascii="Verdana" w:hAnsi="Verdana" w:cs="Arial"/>
          <w:color w:val="000000" w:themeColor="text1"/>
          <w:sz w:val="20"/>
          <w:szCs w:val="20"/>
        </w:rPr>
        <w:t xml:space="preserve">% a.a. para o </w:t>
      </w:r>
      <w:r w:rsidR="005A5330" w:rsidRPr="00FD016C">
        <w:rPr>
          <w:rFonts w:ascii="Verdana" w:hAnsi="Verdana" w:cs="Arial"/>
          <w:color w:val="000000" w:themeColor="text1"/>
          <w:sz w:val="20"/>
          <w:szCs w:val="20"/>
        </w:rPr>
        <w:t>terceiro</w:t>
      </w:r>
      <w:r w:rsidRPr="00FD016C">
        <w:rPr>
          <w:rFonts w:ascii="Verdana" w:hAnsi="Verdana" w:cs="Arial"/>
          <w:color w:val="000000" w:themeColor="text1"/>
          <w:sz w:val="20"/>
          <w:szCs w:val="20"/>
        </w:rPr>
        <w:t xml:space="preserve"> trimestre de 2021. O impacto para a ELETRONUCLEAR proveniente de mudanças da TJLP é suavizado pelo fato do contrato de financiamento com o Banco Nacional do Desenvolvimento Econômico e Social - BNDES prever que qualquer valor da TJLP que exceda o patamar de 6,00% a.a. </w:t>
      </w:r>
      <w:proofErr w:type="spellStart"/>
      <w:r w:rsidRPr="00FD016C">
        <w:rPr>
          <w:rFonts w:ascii="Verdana" w:hAnsi="Verdana" w:cs="Arial"/>
          <w:color w:val="000000" w:themeColor="text1"/>
          <w:sz w:val="20"/>
          <w:szCs w:val="20"/>
        </w:rPr>
        <w:t>é</w:t>
      </w:r>
      <w:proofErr w:type="spellEnd"/>
      <w:r w:rsidRPr="00FD016C">
        <w:rPr>
          <w:rFonts w:ascii="Verdana" w:hAnsi="Verdana" w:cs="Arial"/>
          <w:color w:val="000000" w:themeColor="text1"/>
          <w:sz w:val="20"/>
          <w:szCs w:val="20"/>
        </w:rPr>
        <w:t xml:space="preserve"> capitalizado ao saldo devedor. Além da taxa referente à TJLP, o contrato com o BNDES prevê o pagamento de um spread fixo de 1,72% a.a.</w:t>
      </w:r>
    </w:p>
    <w:p w14:paraId="2E7C8EE8" w14:textId="77777777" w:rsidR="007100D0" w:rsidRPr="00FD016C" w:rsidRDefault="007100D0" w:rsidP="007100D0">
      <w:pPr>
        <w:jc w:val="both"/>
        <w:rPr>
          <w:rFonts w:ascii="Verdana" w:hAnsi="Verdana" w:cs="Arial"/>
          <w:sz w:val="20"/>
          <w:szCs w:val="20"/>
        </w:rPr>
      </w:pPr>
    </w:p>
    <w:p w14:paraId="1E6259FC" w14:textId="14DD2B10" w:rsidR="007100D0" w:rsidRPr="00FD016C" w:rsidRDefault="007100D0" w:rsidP="007100D0">
      <w:pPr>
        <w:jc w:val="both"/>
        <w:rPr>
          <w:rFonts w:ascii="Verdana" w:hAnsi="Verdana" w:cs="Arial"/>
          <w:sz w:val="20"/>
          <w:szCs w:val="20"/>
        </w:rPr>
      </w:pPr>
      <w:r w:rsidRPr="00FD016C">
        <w:rPr>
          <w:rFonts w:ascii="Verdana" w:hAnsi="Verdana" w:cs="Arial"/>
          <w:sz w:val="20"/>
          <w:szCs w:val="20"/>
        </w:rPr>
        <w:t xml:space="preserve">Aproximadamente 46% da dívida total da ELETRONUCLEAR está indexada à TJLP. No caso da dívida com taxas pré-fixadas, esse montante representa cerca de 41% do total. A dívida que está indexada à UFIR, que está congelada, representa cerca de </w:t>
      </w:r>
      <w:r w:rsidR="00584A1D" w:rsidRPr="00FD016C">
        <w:rPr>
          <w:rFonts w:ascii="Verdana" w:hAnsi="Verdana" w:cs="Arial"/>
          <w:sz w:val="20"/>
          <w:szCs w:val="20"/>
        </w:rPr>
        <w:t>8,9</w:t>
      </w:r>
      <w:r w:rsidRPr="00FD016C">
        <w:rPr>
          <w:rFonts w:ascii="Verdana" w:hAnsi="Verdana" w:cs="Arial"/>
          <w:sz w:val="20"/>
          <w:szCs w:val="20"/>
        </w:rPr>
        <w:t>% do total.</w:t>
      </w:r>
    </w:p>
    <w:p w14:paraId="3E22CAD3" w14:textId="77777777" w:rsidR="007100D0" w:rsidRPr="00FD016C" w:rsidRDefault="007100D0" w:rsidP="007100D0">
      <w:pPr>
        <w:jc w:val="both"/>
        <w:rPr>
          <w:rFonts w:ascii="Verdana" w:hAnsi="Verdana" w:cs="Arial"/>
          <w:sz w:val="20"/>
          <w:szCs w:val="20"/>
        </w:rPr>
      </w:pPr>
    </w:p>
    <w:p w14:paraId="57CBD5EB" w14:textId="702DB855" w:rsidR="007100D0" w:rsidRPr="00FD016C" w:rsidRDefault="007100D0" w:rsidP="007100D0">
      <w:pPr>
        <w:jc w:val="both"/>
        <w:rPr>
          <w:rFonts w:ascii="Verdana" w:hAnsi="Verdana" w:cs="Arial"/>
          <w:sz w:val="20"/>
          <w:szCs w:val="20"/>
        </w:rPr>
      </w:pPr>
      <w:r w:rsidRPr="00FD016C">
        <w:rPr>
          <w:rFonts w:ascii="Verdana" w:hAnsi="Verdana" w:cs="Arial"/>
          <w:sz w:val="20"/>
          <w:szCs w:val="20"/>
        </w:rPr>
        <w:t>Além disso, apenas 0,</w:t>
      </w:r>
      <w:r w:rsidR="00722318" w:rsidRPr="00FD016C">
        <w:rPr>
          <w:rFonts w:ascii="Verdana" w:hAnsi="Verdana" w:cs="Arial"/>
          <w:sz w:val="20"/>
          <w:szCs w:val="20"/>
        </w:rPr>
        <w:t>1</w:t>
      </w:r>
      <w:r w:rsidRPr="00FD016C">
        <w:rPr>
          <w:rFonts w:ascii="Verdana" w:hAnsi="Verdana" w:cs="Arial"/>
          <w:sz w:val="20"/>
          <w:szCs w:val="20"/>
        </w:rPr>
        <w:t xml:space="preserve">% da dívida total contratada está indexada à </w:t>
      </w:r>
      <w:r w:rsidR="003E2488" w:rsidRPr="00FD016C">
        <w:rPr>
          <w:rFonts w:ascii="Verdana" w:hAnsi="Verdana" w:cs="Arial"/>
          <w:sz w:val="20"/>
          <w:szCs w:val="20"/>
        </w:rPr>
        <w:t xml:space="preserve">taxa </w:t>
      </w:r>
      <w:r w:rsidRPr="00FD016C">
        <w:rPr>
          <w:rFonts w:ascii="Verdana" w:hAnsi="Verdana" w:cs="Arial"/>
          <w:sz w:val="20"/>
          <w:szCs w:val="20"/>
        </w:rPr>
        <w:t xml:space="preserve">SELIC. Outra fração de aproximadamente </w:t>
      </w:r>
      <w:r w:rsidR="00584A1D" w:rsidRPr="00FD016C">
        <w:rPr>
          <w:rFonts w:ascii="Verdana" w:hAnsi="Verdana" w:cs="Arial"/>
          <w:sz w:val="20"/>
          <w:szCs w:val="20"/>
        </w:rPr>
        <w:t>4,00</w:t>
      </w:r>
      <w:r w:rsidRPr="00FD016C">
        <w:rPr>
          <w:rFonts w:ascii="Verdana" w:hAnsi="Verdana" w:cs="Arial"/>
          <w:sz w:val="20"/>
          <w:szCs w:val="20"/>
        </w:rPr>
        <w:t>% do total da dívida da ELETRONUCLEAR está indexada ao Índice de Preços ao Consumidor Amplo - IPCA.</w:t>
      </w:r>
    </w:p>
    <w:p w14:paraId="2A4F13BB" w14:textId="2D74DEF5" w:rsidR="00BC4842" w:rsidRPr="00FD016C" w:rsidRDefault="00BC4842" w:rsidP="007100D0">
      <w:pPr>
        <w:jc w:val="both"/>
        <w:rPr>
          <w:rFonts w:ascii="Verdana" w:hAnsi="Verdana" w:cs="Arial"/>
          <w:sz w:val="20"/>
          <w:szCs w:val="20"/>
        </w:rPr>
      </w:pPr>
    </w:p>
    <w:p w14:paraId="779A16B2" w14:textId="77777777" w:rsidR="00BC4842" w:rsidRPr="00FD016C" w:rsidRDefault="00BC4842" w:rsidP="007100D0">
      <w:pPr>
        <w:jc w:val="both"/>
        <w:rPr>
          <w:rFonts w:ascii="Verdana" w:hAnsi="Verdana" w:cs="Arial"/>
          <w:sz w:val="20"/>
          <w:szCs w:val="20"/>
        </w:rPr>
      </w:pPr>
    </w:p>
    <w:p w14:paraId="1604F736" w14:textId="77777777" w:rsidR="009C49E4" w:rsidRPr="00FD016C" w:rsidRDefault="009C49E4" w:rsidP="007100D0">
      <w:pPr>
        <w:jc w:val="both"/>
        <w:rPr>
          <w:rFonts w:ascii="Verdana" w:hAnsi="Verdana" w:cs="Arial"/>
          <w:sz w:val="20"/>
          <w:szCs w:val="20"/>
        </w:rPr>
      </w:pPr>
    </w:p>
    <w:p w14:paraId="7B15AE2A" w14:textId="2CCE2364" w:rsidR="006B4A8C" w:rsidRPr="00FD016C" w:rsidRDefault="003F4719" w:rsidP="005144E2">
      <w:pPr>
        <w:widowControl/>
        <w:jc w:val="both"/>
        <w:rPr>
          <w:rFonts w:ascii="Verdana" w:hAnsi="Verdana" w:cs="Arial"/>
          <w:sz w:val="20"/>
          <w:szCs w:val="20"/>
        </w:rPr>
      </w:pPr>
      <w:r w:rsidRPr="00FD016C">
        <w:rPr>
          <w:rFonts w:ascii="Verdana" w:hAnsi="Verdana" w:cs="Arial"/>
          <w:sz w:val="20"/>
          <w:szCs w:val="20"/>
        </w:rPr>
        <w:lastRenderedPageBreak/>
        <w:t>Segue abaixo a exposição total do risco de juros:</w:t>
      </w:r>
    </w:p>
    <w:p w14:paraId="727BEAFB" w14:textId="77777777" w:rsidR="007E3A99" w:rsidRPr="00FD016C" w:rsidRDefault="007E3A99" w:rsidP="005144E2">
      <w:pPr>
        <w:widowControl/>
        <w:jc w:val="both"/>
        <w:rPr>
          <w:rFonts w:ascii="Verdana" w:hAnsi="Verdana" w:cs="Arial"/>
          <w:sz w:val="20"/>
          <w:szCs w:val="20"/>
        </w:rPr>
      </w:pPr>
    </w:p>
    <w:p w14:paraId="002B3F2D" w14:textId="7B0AD577" w:rsidR="00EB61E3" w:rsidRPr="00FD016C" w:rsidRDefault="002B3343" w:rsidP="005144E2">
      <w:pPr>
        <w:widowControl/>
        <w:jc w:val="both"/>
        <w:rPr>
          <w:rFonts w:ascii="Verdana" w:hAnsi="Verdana" w:cs="Arial"/>
          <w:sz w:val="20"/>
          <w:szCs w:val="20"/>
        </w:rPr>
      </w:pPr>
      <w:r w:rsidRPr="00FD016C">
        <w:rPr>
          <w:noProof/>
        </w:rPr>
        <w:drawing>
          <wp:inline distT="0" distB="0" distL="0" distR="0" wp14:anchorId="511AD5B6" wp14:editId="00E16A27">
            <wp:extent cx="6073140" cy="1684942"/>
            <wp:effectExtent l="0" t="0" r="381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3140" cy="1684942"/>
                    </a:xfrm>
                    <a:prstGeom prst="rect">
                      <a:avLst/>
                    </a:prstGeom>
                    <a:noFill/>
                    <a:ln>
                      <a:noFill/>
                    </a:ln>
                  </pic:spPr>
                </pic:pic>
              </a:graphicData>
            </a:graphic>
          </wp:inline>
        </w:drawing>
      </w:r>
    </w:p>
    <w:p w14:paraId="71C1C6D3" w14:textId="0F9BDBE7" w:rsidR="000C13EF" w:rsidRPr="00FD016C" w:rsidRDefault="000C13EF" w:rsidP="005144E2">
      <w:pPr>
        <w:widowControl/>
        <w:jc w:val="both"/>
        <w:rPr>
          <w:rFonts w:ascii="Verdana" w:hAnsi="Verdana" w:cs="Arial"/>
          <w:sz w:val="20"/>
          <w:szCs w:val="20"/>
        </w:rPr>
      </w:pPr>
    </w:p>
    <w:p w14:paraId="51A4696D" w14:textId="77777777" w:rsidR="000C13EF" w:rsidRPr="00FD016C" w:rsidRDefault="000C13EF" w:rsidP="005144E2">
      <w:pPr>
        <w:widowControl/>
        <w:jc w:val="both"/>
        <w:rPr>
          <w:rFonts w:ascii="Verdana" w:hAnsi="Verdana" w:cs="Arial"/>
          <w:sz w:val="20"/>
          <w:szCs w:val="20"/>
        </w:rPr>
      </w:pPr>
    </w:p>
    <w:p w14:paraId="20A033EE" w14:textId="77777777" w:rsidR="003F4719" w:rsidRPr="00FD016C" w:rsidRDefault="003F4719" w:rsidP="005144E2">
      <w:pPr>
        <w:widowControl/>
        <w:tabs>
          <w:tab w:val="left" w:pos="180"/>
        </w:tabs>
        <w:jc w:val="both"/>
        <w:rPr>
          <w:rFonts w:ascii="Verdana" w:hAnsi="Verdana" w:cs="Arial"/>
          <w:b/>
          <w:color w:val="0070C0"/>
        </w:rPr>
      </w:pPr>
      <w:r w:rsidRPr="00FD016C">
        <w:rPr>
          <w:rFonts w:ascii="Verdana" w:hAnsi="Verdana" w:cs="Arial"/>
          <w:b/>
          <w:color w:val="0070C0"/>
        </w:rPr>
        <w:t>b) Risco de crédito</w:t>
      </w:r>
    </w:p>
    <w:p w14:paraId="3CF502AF" w14:textId="77777777" w:rsidR="003F4719" w:rsidRPr="00FD016C" w:rsidRDefault="003F4719" w:rsidP="005144E2">
      <w:pPr>
        <w:widowControl/>
        <w:tabs>
          <w:tab w:val="left" w:pos="180"/>
        </w:tabs>
        <w:jc w:val="both"/>
        <w:rPr>
          <w:rFonts w:ascii="Verdana" w:hAnsi="Verdana" w:cs="Arial"/>
          <w:sz w:val="20"/>
          <w:szCs w:val="20"/>
        </w:rPr>
      </w:pPr>
    </w:p>
    <w:p w14:paraId="1E74C985"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Risco de crédito é o risco d</w:t>
      </w:r>
      <w:r w:rsidR="00CB3A54" w:rsidRPr="00FD016C">
        <w:rPr>
          <w:rFonts w:ascii="Verdana" w:hAnsi="Verdana" w:cs="Arial"/>
          <w:sz w:val="20"/>
          <w:szCs w:val="20"/>
        </w:rPr>
        <w:t xml:space="preserve">e </w:t>
      </w:r>
      <w:r w:rsidR="00BE3E39" w:rsidRPr="00FD016C">
        <w:rPr>
          <w:rFonts w:ascii="Verdana" w:hAnsi="Verdana" w:cs="Arial"/>
          <w:sz w:val="20"/>
          <w:szCs w:val="20"/>
        </w:rPr>
        <w:t>a</w:t>
      </w:r>
      <w:r w:rsidRPr="00FD016C">
        <w:rPr>
          <w:rFonts w:ascii="Verdana" w:hAnsi="Verdana" w:cs="Arial"/>
          <w:sz w:val="20"/>
          <w:szCs w:val="20"/>
        </w:rPr>
        <w:t xml:space="preserve"> Companhia incorrer em perdas financeiras decorrentes de um cliente ou de uma contraparte em um instrumento financeiro que falhe ao cumprir com suas obrigações contratuais. Esse risco é principalmente proveniente das contas a receber de clientes e instrumentos financeiros da Companhia. O valor contábil dos ativos financeiros representa a exposição máxima do crédito.</w:t>
      </w:r>
    </w:p>
    <w:p w14:paraId="0163B3E9" w14:textId="77777777" w:rsidR="001061A3" w:rsidRPr="00FD016C" w:rsidRDefault="001061A3" w:rsidP="005144E2">
      <w:pPr>
        <w:widowControl/>
        <w:jc w:val="both"/>
        <w:rPr>
          <w:rFonts w:ascii="Arial" w:hAnsi="Arial" w:cs="Arial"/>
        </w:rPr>
      </w:pPr>
    </w:p>
    <w:p w14:paraId="68F994C9" w14:textId="3313E03B" w:rsidR="003F4719" w:rsidRPr="00FD016C" w:rsidRDefault="00A07412" w:rsidP="005144E2">
      <w:pPr>
        <w:widowControl/>
        <w:jc w:val="both"/>
        <w:rPr>
          <w:rFonts w:ascii="Verdana" w:hAnsi="Verdana" w:cs="Arial"/>
          <w:sz w:val="20"/>
          <w:szCs w:val="20"/>
        </w:rPr>
      </w:pPr>
      <w:r w:rsidRPr="00FD016C">
        <w:rPr>
          <w:rFonts w:ascii="Verdana" w:hAnsi="Verdana" w:cs="Arial"/>
          <w:sz w:val="20"/>
          <w:szCs w:val="20"/>
        </w:rPr>
        <w:t xml:space="preserve">Conforme </w:t>
      </w:r>
      <w:r w:rsidR="003F4719" w:rsidRPr="00FD016C">
        <w:rPr>
          <w:rFonts w:ascii="Verdana" w:hAnsi="Verdana" w:cs="Arial"/>
          <w:sz w:val="20"/>
          <w:szCs w:val="20"/>
        </w:rPr>
        <w:t xml:space="preserve">descrito na </w:t>
      </w:r>
      <w:r w:rsidR="008E6B5F" w:rsidRPr="00FD016C">
        <w:rPr>
          <w:rFonts w:ascii="Verdana" w:hAnsi="Verdana" w:cs="Arial"/>
          <w:sz w:val="20"/>
          <w:szCs w:val="20"/>
        </w:rPr>
        <w:t>n</w:t>
      </w:r>
      <w:r w:rsidR="003F4719" w:rsidRPr="00FD016C">
        <w:rPr>
          <w:rFonts w:ascii="Verdana" w:hAnsi="Verdana" w:cs="Arial"/>
          <w:sz w:val="20"/>
          <w:szCs w:val="20"/>
        </w:rPr>
        <w:t>ota 1,</w:t>
      </w:r>
      <w:r w:rsidRPr="00FD016C">
        <w:rPr>
          <w:rFonts w:ascii="Verdana" w:hAnsi="Verdana" w:cs="Arial"/>
          <w:sz w:val="20"/>
          <w:szCs w:val="20"/>
        </w:rPr>
        <w:t xml:space="preserve"> a ELETRONUCLEAR </w:t>
      </w:r>
      <w:r w:rsidR="003F4719" w:rsidRPr="00FD016C">
        <w:rPr>
          <w:rFonts w:ascii="Verdana" w:hAnsi="Verdana" w:cs="Arial"/>
          <w:sz w:val="20"/>
          <w:szCs w:val="20"/>
        </w:rPr>
        <w:t>tem a totalidade da sua geração de energia elétrica a partir de janeiro de 2013</w:t>
      </w:r>
      <w:r w:rsidR="00581C6C" w:rsidRPr="00FD016C">
        <w:rPr>
          <w:rFonts w:ascii="Verdana" w:hAnsi="Verdana" w:cs="Arial"/>
          <w:sz w:val="20"/>
          <w:szCs w:val="20"/>
        </w:rPr>
        <w:t>;</w:t>
      </w:r>
      <w:r w:rsidR="003F4719" w:rsidRPr="00FD016C">
        <w:rPr>
          <w:rFonts w:ascii="Verdana" w:hAnsi="Verdana" w:cs="Arial"/>
          <w:sz w:val="20"/>
          <w:szCs w:val="20"/>
        </w:rPr>
        <w:t xml:space="preserve"> comercializada através da Câmara de Comercialização de Energia Elétrica - CCEE, com todas as distribuidoras do Sistema Interligado Nacional - SIN.</w:t>
      </w:r>
    </w:p>
    <w:p w14:paraId="49CDC421" w14:textId="77777777" w:rsidR="001061A3" w:rsidRPr="00FD016C" w:rsidRDefault="001061A3" w:rsidP="005144E2">
      <w:pPr>
        <w:widowControl/>
        <w:jc w:val="both"/>
        <w:rPr>
          <w:rFonts w:ascii="Verdana" w:hAnsi="Verdana" w:cs="Arial"/>
          <w:sz w:val="20"/>
          <w:szCs w:val="20"/>
        </w:rPr>
      </w:pPr>
    </w:p>
    <w:p w14:paraId="75E9F483" w14:textId="77777777" w:rsidR="0046096D" w:rsidRPr="00FD016C" w:rsidRDefault="003F4719" w:rsidP="005144E2">
      <w:pPr>
        <w:widowControl/>
        <w:jc w:val="both"/>
        <w:rPr>
          <w:rFonts w:ascii="Verdana" w:hAnsi="Verdana" w:cs="Arial"/>
          <w:sz w:val="20"/>
          <w:szCs w:val="20"/>
        </w:rPr>
      </w:pPr>
      <w:r w:rsidRPr="00FD016C">
        <w:rPr>
          <w:rFonts w:ascii="Verdana" w:hAnsi="Verdana" w:cs="Arial"/>
          <w:sz w:val="20"/>
          <w:szCs w:val="20"/>
        </w:rPr>
        <w:t>A Resolução Normativa nº 530, de 21 de dezembro de 2012, evidencia que</w:t>
      </w:r>
      <w:r w:rsidR="00FC2DBC" w:rsidRPr="00FD016C">
        <w:rPr>
          <w:rFonts w:ascii="Verdana" w:hAnsi="Verdana" w:cs="Arial"/>
          <w:sz w:val="20"/>
          <w:szCs w:val="20"/>
        </w:rPr>
        <w:t>,</w:t>
      </w:r>
      <w:r w:rsidRPr="00FD016C">
        <w:rPr>
          <w:rFonts w:ascii="Verdana" w:hAnsi="Verdana" w:cs="Arial"/>
          <w:sz w:val="20"/>
          <w:szCs w:val="20"/>
        </w:rPr>
        <w:t xml:space="preserve"> apesar de o faturamento ser repassado pela CCEE, o risco de crédito final é da ELETRONUCLEAR. </w:t>
      </w:r>
    </w:p>
    <w:p w14:paraId="2B562D38" w14:textId="77777777" w:rsidR="006115A5" w:rsidRPr="00FD016C" w:rsidRDefault="006115A5" w:rsidP="005144E2">
      <w:pPr>
        <w:widowControl/>
        <w:jc w:val="both"/>
        <w:rPr>
          <w:rFonts w:ascii="Verdana" w:hAnsi="Verdana" w:cs="Arial"/>
          <w:sz w:val="20"/>
          <w:szCs w:val="20"/>
        </w:rPr>
      </w:pPr>
    </w:p>
    <w:p w14:paraId="241178EA" w14:textId="77777777" w:rsidR="00C826AA"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Dessa forma, a ELETRONUCLEAR monitora constantemente os possíveis efeitos e a eventual necessidade de contratação de instrumentos de proteção. </w:t>
      </w:r>
    </w:p>
    <w:p w14:paraId="63F05599" w14:textId="77777777" w:rsidR="00F22E59" w:rsidRPr="00FD016C" w:rsidRDefault="00F22E59" w:rsidP="005144E2">
      <w:pPr>
        <w:widowControl/>
        <w:jc w:val="both"/>
        <w:rPr>
          <w:rFonts w:ascii="Verdana" w:hAnsi="Verdana" w:cs="Arial"/>
          <w:sz w:val="20"/>
          <w:szCs w:val="20"/>
        </w:rPr>
      </w:pPr>
    </w:p>
    <w:p w14:paraId="1610C3FF" w14:textId="3EA7D681"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Abaixo, apresentamos as principais contas sujeitas a risco de crédito:</w:t>
      </w:r>
    </w:p>
    <w:p w14:paraId="45DA681E" w14:textId="75BD4400" w:rsidR="00B31A7F" w:rsidRPr="00FD016C" w:rsidRDefault="00B31A7F" w:rsidP="005144E2">
      <w:pPr>
        <w:pStyle w:val="Corpodetexto"/>
        <w:ind w:right="121"/>
        <w:jc w:val="both"/>
        <w:rPr>
          <w:rFonts w:ascii="Verdana" w:hAnsi="Verdana"/>
          <w:noProof/>
          <w:sz w:val="20"/>
          <w:szCs w:val="20"/>
        </w:rPr>
      </w:pPr>
    </w:p>
    <w:p w14:paraId="7EDF5E8E" w14:textId="76F00738" w:rsidR="00FB0124" w:rsidRPr="00FD016C" w:rsidRDefault="00941C5D" w:rsidP="005144E2">
      <w:pPr>
        <w:pStyle w:val="Corpodetexto"/>
        <w:ind w:right="121"/>
        <w:jc w:val="both"/>
        <w:rPr>
          <w:rFonts w:ascii="Verdana" w:hAnsi="Verdana" w:cs="Arial"/>
          <w:noProof/>
          <w:sz w:val="20"/>
          <w:szCs w:val="20"/>
        </w:rPr>
      </w:pPr>
      <w:r w:rsidRPr="00FD016C">
        <w:rPr>
          <w:noProof/>
        </w:rPr>
        <w:drawing>
          <wp:inline distT="0" distB="0" distL="0" distR="0" wp14:anchorId="319E5879" wp14:editId="1A422772">
            <wp:extent cx="5343525" cy="1343025"/>
            <wp:effectExtent l="0" t="0" r="9525" b="952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1343025"/>
                    </a:xfrm>
                    <a:prstGeom prst="rect">
                      <a:avLst/>
                    </a:prstGeom>
                    <a:noFill/>
                    <a:ln>
                      <a:noFill/>
                    </a:ln>
                  </pic:spPr>
                </pic:pic>
              </a:graphicData>
            </a:graphic>
          </wp:inline>
        </w:drawing>
      </w:r>
    </w:p>
    <w:p w14:paraId="65D7C2C4" w14:textId="55E5F275" w:rsidR="0030287D" w:rsidRPr="00FD016C" w:rsidRDefault="003B41F6" w:rsidP="00581C6C">
      <w:pPr>
        <w:pStyle w:val="Corpodetexto"/>
        <w:ind w:right="121"/>
        <w:jc w:val="both"/>
        <w:rPr>
          <w:rFonts w:ascii="Verdana" w:hAnsi="Verdana" w:cs="Arial"/>
          <w:b/>
          <w:color w:val="0070C0"/>
        </w:rPr>
      </w:pPr>
      <w:r w:rsidRPr="00FD016C">
        <w:rPr>
          <w:noProof/>
        </w:rPr>
        <w:lastRenderedPageBreak/>
        <w:drawing>
          <wp:inline distT="0" distB="0" distL="0" distR="0" wp14:anchorId="08A4B3F0" wp14:editId="2D9D1D06">
            <wp:extent cx="6073073" cy="8420100"/>
            <wp:effectExtent l="0" t="0" r="4445"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2235" cy="8432803"/>
                    </a:xfrm>
                    <a:prstGeom prst="rect">
                      <a:avLst/>
                    </a:prstGeom>
                    <a:noFill/>
                    <a:ln>
                      <a:noFill/>
                    </a:ln>
                  </pic:spPr>
                </pic:pic>
              </a:graphicData>
            </a:graphic>
          </wp:inline>
        </w:drawing>
      </w:r>
    </w:p>
    <w:p w14:paraId="6C210A40" w14:textId="0704209B" w:rsidR="004C2674" w:rsidRPr="00FD016C" w:rsidRDefault="004C2674" w:rsidP="00581C6C">
      <w:pPr>
        <w:pStyle w:val="Corpodetexto"/>
        <w:ind w:right="121"/>
        <w:jc w:val="both"/>
        <w:rPr>
          <w:rFonts w:ascii="Verdana" w:hAnsi="Verdana" w:cs="Arial"/>
          <w:b/>
          <w:color w:val="0070C0"/>
        </w:rPr>
      </w:pPr>
      <w:r w:rsidRPr="00FD016C">
        <w:rPr>
          <w:rFonts w:ascii="Verdana" w:hAnsi="Verdana" w:cs="Arial"/>
          <w:b/>
          <w:color w:val="0070C0"/>
        </w:rPr>
        <w:lastRenderedPageBreak/>
        <w:t>c) Risco de liquidez</w:t>
      </w:r>
    </w:p>
    <w:p w14:paraId="4A932599" w14:textId="77777777" w:rsidR="004C2674" w:rsidRPr="00FD016C" w:rsidRDefault="004C2674" w:rsidP="005144E2">
      <w:pPr>
        <w:widowControl/>
        <w:tabs>
          <w:tab w:val="left" w:pos="180"/>
        </w:tabs>
        <w:jc w:val="both"/>
        <w:rPr>
          <w:rFonts w:ascii="Verdana" w:hAnsi="Verdana" w:cs="Arial"/>
          <w:b/>
          <w:sz w:val="20"/>
          <w:szCs w:val="20"/>
        </w:rPr>
      </w:pPr>
    </w:p>
    <w:p w14:paraId="0A162B3D" w14:textId="65446A34" w:rsidR="00AC22E7" w:rsidRPr="00FD016C" w:rsidRDefault="004C2674" w:rsidP="005144E2">
      <w:pPr>
        <w:widowControl/>
        <w:tabs>
          <w:tab w:val="left" w:pos="180"/>
        </w:tabs>
        <w:jc w:val="both"/>
        <w:rPr>
          <w:rFonts w:ascii="Verdana" w:hAnsi="Verdana" w:cs="Arial"/>
          <w:sz w:val="20"/>
          <w:szCs w:val="20"/>
        </w:rPr>
      </w:pPr>
      <w:r w:rsidRPr="00FD016C">
        <w:rPr>
          <w:rFonts w:ascii="Verdana" w:hAnsi="Verdana" w:cs="Arial"/>
          <w:sz w:val="20"/>
          <w:szCs w:val="20"/>
        </w:rPr>
        <w:t>Risco de liquidez é o risco d</w:t>
      </w:r>
      <w:r w:rsidR="004E7279" w:rsidRPr="00FD016C">
        <w:rPr>
          <w:rFonts w:ascii="Verdana" w:hAnsi="Verdana" w:cs="Arial"/>
          <w:sz w:val="20"/>
          <w:szCs w:val="20"/>
        </w:rPr>
        <w:t xml:space="preserve">e </w:t>
      </w:r>
      <w:r w:rsidRPr="00FD016C">
        <w:rPr>
          <w:rFonts w:ascii="Verdana" w:hAnsi="Verdana" w:cs="Arial"/>
          <w:sz w:val="20"/>
          <w:szCs w:val="20"/>
        </w:rPr>
        <w:t>a Companhia encontrar dificuldades em cumprir com as obrigações associadas a seus passivos financeiros que são liquidados com pagamentos à vista ou com outro ativo financeiro. A abordagem da Companhia na administração de liquidez é de garantir, o máximo possível, que sempre tenha liquidez suficiente para cumprir com suas obrigações ao vencerem, sob condições normais e de estresse, sem causar perdas inaceitáveis ou com risco de prejudicar a reputação da</w:t>
      </w:r>
      <w:r w:rsidR="001436EF">
        <w:rPr>
          <w:rFonts w:ascii="Verdana" w:hAnsi="Verdana" w:cs="Arial"/>
          <w:sz w:val="20"/>
          <w:szCs w:val="20"/>
        </w:rPr>
        <w:t xml:space="preserve"> Companhia</w:t>
      </w:r>
      <w:r w:rsidRPr="00FD016C">
        <w:rPr>
          <w:rFonts w:ascii="Verdana" w:hAnsi="Verdana" w:cs="Arial"/>
          <w:sz w:val="20"/>
          <w:szCs w:val="20"/>
        </w:rPr>
        <w:t xml:space="preserve">. </w:t>
      </w:r>
    </w:p>
    <w:p w14:paraId="23AD5C36" w14:textId="77777777" w:rsidR="00416319" w:rsidRPr="00FD016C" w:rsidRDefault="00416319" w:rsidP="005144E2">
      <w:pPr>
        <w:widowControl/>
        <w:tabs>
          <w:tab w:val="left" w:pos="180"/>
        </w:tabs>
        <w:jc w:val="both"/>
        <w:rPr>
          <w:rFonts w:ascii="Verdana" w:hAnsi="Verdana" w:cs="Arial"/>
          <w:sz w:val="20"/>
          <w:szCs w:val="20"/>
        </w:rPr>
      </w:pPr>
    </w:p>
    <w:p w14:paraId="0D19C8EB" w14:textId="77777777" w:rsidR="004C2674" w:rsidRPr="00FD016C" w:rsidRDefault="004C2674" w:rsidP="005144E2">
      <w:pPr>
        <w:widowControl/>
        <w:tabs>
          <w:tab w:val="left" w:pos="180"/>
        </w:tabs>
        <w:jc w:val="both"/>
        <w:rPr>
          <w:rFonts w:ascii="Verdana" w:hAnsi="Verdana" w:cs="Arial"/>
          <w:sz w:val="20"/>
          <w:szCs w:val="20"/>
        </w:rPr>
      </w:pPr>
      <w:r w:rsidRPr="00FD016C">
        <w:rPr>
          <w:rFonts w:ascii="Verdana" w:hAnsi="Verdana" w:cs="Arial"/>
          <w:sz w:val="20"/>
          <w:szCs w:val="20"/>
        </w:rPr>
        <w:t xml:space="preserve">Os planos da administração da Companhia estão descritos na nota </w:t>
      </w:r>
      <w:r w:rsidR="003C4F3B" w:rsidRPr="00FD016C">
        <w:rPr>
          <w:rFonts w:ascii="Verdana" w:hAnsi="Verdana" w:cs="Arial"/>
          <w:sz w:val="20"/>
          <w:szCs w:val="20"/>
        </w:rPr>
        <w:t>4.1 d</w:t>
      </w:r>
      <w:r w:rsidR="00092F5C" w:rsidRPr="00FD016C">
        <w:rPr>
          <w:rFonts w:ascii="Verdana" w:hAnsi="Verdana" w:cs="Arial"/>
          <w:sz w:val="20"/>
          <w:szCs w:val="20"/>
        </w:rPr>
        <w:t>, que inclui</w:t>
      </w:r>
      <w:r w:rsidRPr="00FD016C">
        <w:rPr>
          <w:rFonts w:ascii="Verdana" w:hAnsi="Verdana" w:cs="Arial"/>
          <w:sz w:val="20"/>
          <w:szCs w:val="20"/>
        </w:rPr>
        <w:t xml:space="preserve"> dentre outras, a necessidade de suporte financeiro de terceiros.</w:t>
      </w:r>
    </w:p>
    <w:p w14:paraId="313D9206" w14:textId="77777777" w:rsidR="000772FB" w:rsidRPr="00FD016C" w:rsidRDefault="000772FB" w:rsidP="005144E2">
      <w:pPr>
        <w:widowControl/>
        <w:tabs>
          <w:tab w:val="left" w:pos="180"/>
        </w:tabs>
        <w:jc w:val="both"/>
        <w:rPr>
          <w:rFonts w:ascii="Verdana" w:hAnsi="Verdana" w:cs="Arial"/>
          <w:sz w:val="20"/>
          <w:szCs w:val="20"/>
        </w:rPr>
      </w:pPr>
    </w:p>
    <w:p w14:paraId="2217C1EE" w14:textId="77777777" w:rsidR="003A26BC" w:rsidRPr="00FD016C" w:rsidRDefault="003A26BC" w:rsidP="005144E2">
      <w:pPr>
        <w:widowControl/>
        <w:tabs>
          <w:tab w:val="left" w:pos="180"/>
        </w:tabs>
        <w:jc w:val="both"/>
        <w:rPr>
          <w:rFonts w:ascii="Arial" w:hAnsi="Arial" w:cs="Arial"/>
        </w:rPr>
      </w:pPr>
    </w:p>
    <w:p w14:paraId="04778176" w14:textId="11D7B11F" w:rsidR="004C2674" w:rsidRPr="00FD016C" w:rsidRDefault="004C2674" w:rsidP="005144E2">
      <w:pPr>
        <w:widowControl/>
        <w:tabs>
          <w:tab w:val="left" w:pos="180"/>
        </w:tabs>
        <w:jc w:val="both"/>
        <w:rPr>
          <w:rFonts w:ascii="Verdana" w:hAnsi="Verdana" w:cs="Arial"/>
          <w:b/>
          <w:color w:val="0070C0"/>
          <w:u w:val="single"/>
        </w:rPr>
      </w:pPr>
      <w:r w:rsidRPr="00FD016C">
        <w:rPr>
          <w:rFonts w:ascii="Verdana" w:hAnsi="Verdana" w:cs="Arial"/>
          <w:b/>
          <w:color w:val="0070C0"/>
          <w:u w:val="single"/>
        </w:rPr>
        <w:t xml:space="preserve">Índices de liquidez </w:t>
      </w:r>
    </w:p>
    <w:p w14:paraId="77AE2F9B" w14:textId="77777777" w:rsidR="004C2674" w:rsidRPr="00FD016C" w:rsidRDefault="004C2674" w:rsidP="005144E2">
      <w:pPr>
        <w:widowControl/>
        <w:tabs>
          <w:tab w:val="left" w:pos="180"/>
        </w:tabs>
        <w:jc w:val="both"/>
        <w:rPr>
          <w:rFonts w:ascii="Verdana" w:hAnsi="Verdana" w:cs="Arial"/>
          <w:sz w:val="20"/>
          <w:szCs w:val="20"/>
        </w:rPr>
      </w:pPr>
    </w:p>
    <w:p w14:paraId="3847FD85" w14:textId="77777777" w:rsidR="0047087B" w:rsidRPr="00FD016C" w:rsidRDefault="004C2674" w:rsidP="005144E2">
      <w:pPr>
        <w:widowControl/>
        <w:tabs>
          <w:tab w:val="left" w:pos="180"/>
        </w:tabs>
        <w:jc w:val="both"/>
        <w:rPr>
          <w:rFonts w:ascii="Verdana" w:hAnsi="Verdana" w:cs="Arial"/>
          <w:sz w:val="20"/>
          <w:szCs w:val="20"/>
        </w:rPr>
      </w:pPr>
      <w:r w:rsidRPr="00FD016C">
        <w:rPr>
          <w:rFonts w:ascii="Verdana" w:hAnsi="Verdana" w:cs="Arial"/>
          <w:sz w:val="20"/>
          <w:szCs w:val="20"/>
        </w:rPr>
        <w:t xml:space="preserve">A Companhia monitora seu nível de liquidez considerando os fluxos de caixa esperados em contrapartida ao montante disponível em caixa e equivalentes de caixa. A gestão deste risco implica manter caixa e equivalentes, além de aplicações que permitam à Companhia ter capacidade de liquidar suas posições de mercado nos respectivos vencimentos. </w:t>
      </w:r>
    </w:p>
    <w:p w14:paraId="6956C71A" w14:textId="77777777" w:rsidR="0047087B" w:rsidRPr="00FD016C" w:rsidRDefault="0047087B" w:rsidP="005144E2">
      <w:pPr>
        <w:widowControl/>
        <w:tabs>
          <w:tab w:val="left" w:pos="180"/>
        </w:tabs>
        <w:jc w:val="both"/>
        <w:rPr>
          <w:rFonts w:ascii="Verdana" w:hAnsi="Verdana" w:cs="Arial"/>
          <w:sz w:val="20"/>
          <w:szCs w:val="20"/>
        </w:rPr>
      </w:pPr>
    </w:p>
    <w:p w14:paraId="70653FCC" w14:textId="3CD598E1" w:rsidR="004C2674" w:rsidRPr="00FD016C" w:rsidRDefault="004C2674" w:rsidP="005144E2">
      <w:pPr>
        <w:widowControl/>
        <w:tabs>
          <w:tab w:val="left" w:pos="180"/>
        </w:tabs>
        <w:jc w:val="both"/>
        <w:rPr>
          <w:rFonts w:ascii="Verdana" w:hAnsi="Verdana" w:cs="Arial"/>
          <w:sz w:val="20"/>
          <w:szCs w:val="20"/>
        </w:rPr>
      </w:pPr>
      <w:r w:rsidRPr="00FD016C">
        <w:rPr>
          <w:rFonts w:ascii="Verdana" w:hAnsi="Verdana" w:cs="Arial"/>
          <w:sz w:val="20"/>
          <w:szCs w:val="20"/>
        </w:rPr>
        <w:t>Abaixo, apresentamos os principais indicadores:</w:t>
      </w:r>
    </w:p>
    <w:p w14:paraId="774D63ED" w14:textId="77777777" w:rsidR="004C2674" w:rsidRPr="00FD016C" w:rsidRDefault="004C2674" w:rsidP="005144E2">
      <w:pPr>
        <w:widowControl/>
        <w:tabs>
          <w:tab w:val="left" w:pos="180"/>
        </w:tabs>
        <w:jc w:val="both"/>
        <w:rPr>
          <w:rFonts w:ascii="Verdana" w:hAnsi="Verdana" w:cs="Arial"/>
          <w:sz w:val="20"/>
          <w:szCs w:val="20"/>
        </w:rPr>
      </w:pPr>
    </w:p>
    <w:p w14:paraId="6EFF6DCF" w14:textId="4AC2F30A" w:rsidR="004C2674" w:rsidRPr="00FD016C" w:rsidRDefault="004C2674" w:rsidP="0047087B">
      <w:pPr>
        <w:pStyle w:val="PargrafodaLista"/>
        <w:widowControl/>
        <w:numPr>
          <w:ilvl w:val="0"/>
          <w:numId w:val="39"/>
        </w:numPr>
        <w:tabs>
          <w:tab w:val="left" w:pos="180"/>
        </w:tabs>
        <w:jc w:val="both"/>
        <w:rPr>
          <w:rFonts w:ascii="Verdana" w:hAnsi="Verdana" w:cs="Arial"/>
          <w:sz w:val="20"/>
          <w:szCs w:val="20"/>
        </w:rPr>
      </w:pPr>
      <w:proofErr w:type="spellStart"/>
      <w:proofErr w:type="gramStart"/>
      <w:r w:rsidRPr="00FD016C">
        <w:rPr>
          <w:rFonts w:ascii="Verdana" w:hAnsi="Verdana" w:cs="Arial"/>
          <w:sz w:val="20"/>
          <w:szCs w:val="20"/>
        </w:rPr>
        <w:t>a</w:t>
      </w:r>
      <w:proofErr w:type="spellEnd"/>
      <w:proofErr w:type="gramEnd"/>
      <w:r w:rsidRPr="00FD016C">
        <w:rPr>
          <w:rFonts w:ascii="Verdana" w:hAnsi="Verdana" w:cs="Arial"/>
          <w:sz w:val="20"/>
          <w:szCs w:val="20"/>
        </w:rPr>
        <w:t xml:space="preserve"> comparação entre os direitos realizáveis e as exigibilidades, de curto prazo, aponta um índice de liquidez corrente de </w:t>
      </w:r>
      <w:r w:rsidR="00E4644F" w:rsidRPr="00FD016C">
        <w:rPr>
          <w:rFonts w:ascii="Verdana" w:hAnsi="Verdana" w:cs="Arial"/>
          <w:sz w:val="20"/>
          <w:szCs w:val="20"/>
        </w:rPr>
        <w:t>0,73</w:t>
      </w:r>
      <w:r w:rsidR="00756D34" w:rsidRPr="00FD016C">
        <w:rPr>
          <w:rFonts w:ascii="Verdana" w:hAnsi="Verdana" w:cs="Arial"/>
          <w:sz w:val="20"/>
          <w:szCs w:val="20"/>
        </w:rPr>
        <w:t xml:space="preserve"> </w:t>
      </w:r>
      <w:r w:rsidR="00F42FDB" w:rsidRPr="00FD016C">
        <w:rPr>
          <w:rFonts w:ascii="Verdana" w:hAnsi="Verdana" w:cs="Arial"/>
          <w:sz w:val="20"/>
          <w:szCs w:val="20"/>
        </w:rPr>
        <w:t>em 3</w:t>
      </w:r>
      <w:r w:rsidR="00493BEF" w:rsidRPr="00FD016C">
        <w:rPr>
          <w:rFonts w:ascii="Verdana" w:hAnsi="Verdana" w:cs="Arial"/>
          <w:sz w:val="20"/>
          <w:szCs w:val="20"/>
        </w:rPr>
        <w:t>0</w:t>
      </w:r>
      <w:r w:rsidR="00F42FDB" w:rsidRPr="00FD016C">
        <w:rPr>
          <w:rFonts w:ascii="Verdana" w:hAnsi="Verdana" w:cs="Arial"/>
          <w:sz w:val="20"/>
          <w:szCs w:val="20"/>
        </w:rPr>
        <w:t xml:space="preserve"> de </w:t>
      </w:r>
      <w:r w:rsidR="00594FDF" w:rsidRPr="00FD016C">
        <w:rPr>
          <w:rFonts w:ascii="Verdana" w:hAnsi="Verdana" w:cs="Arial"/>
          <w:sz w:val="20"/>
          <w:szCs w:val="20"/>
        </w:rPr>
        <w:t>setembro</w:t>
      </w:r>
      <w:r w:rsidR="00756D34" w:rsidRPr="00FD016C">
        <w:rPr>
          <w:rFonts w:ascii="Verdana" w:hAnsi="Verdana" w:cs="Arial"/>
          <w:sz w:val="20"/>
          <w:szCs w:val="20"/>
        </w:rPr>
        <w:t xml:space="preserve"> </w:t>
      </w:r>
      <w:r w:rsidR="00F42FDB" w:rsidRPr="00FD016C">
        <w:rPr>
          <w:rFonts w:ascii="Verdana" w:hAnsi="Verdana" w:cs="Arial"/>
          <w:sz w:val="20"/>
          <w:szCs w:val="20"/>
        </w:rPr>
        <w:t>de 20</w:t>
      </w:r>
      <w:r w:rsidR="00756D34" w:rsidRPr="00FD016C">
        <w:rPr>
          <w:rFonts w:ascii="Verdana" w:hAnsi="Verdana" w:cs="Arial"/>
          <w:sz w:val="20"/>
          <w:szCs w:val="20"/>
        </w:rPr>
        <w:t>2</w:t>
      </w:r>
      <w:r w:rsidR="009D2310" w:rsidRPr="00FD016C">
        <w:rPr>
          <w:rFonts w:ascii="Verdana" w:hAnsi="Verdana" w:cs="Arial"/>
          <w:sz w:val="20"/>
          <w:szCs w:val="20"/>
        </w:rPr>
        <w:t>1</w:t>
      </w:r>
      <w:r w:rsidR="00F42FDB" w:rsidRPr="00FD016C">
        <w:rPr>
          <w:rFonts w:ascii="Verdana" w:hAnsi="Verdana" w:cs="Arial"/>
          <w:sz w:val="20"/>
          <w:szCs w:val="20"/>
        </w:rPr>
        <w:t xml:space="preserve"> </w:t>
      </w:r>
      <w:r w:rsidRPr="00FD016C">
        <w:rPr>
          <w:rFonts w:ascii="Verdana" w:hAnsi="Verdana" w:cs="Arial"/>
          <w:sz w:val="20"/>
          <w:szCs w:val="20"/>
        </w:rPr>
        <w:t>(</w:t>
      </w:r>
      <w:r w:rsidR="00ED4D77" w:rsidRPr="00FD016C">
        <w:rPr>
          <w:rFonts w:ascii="Verdana" w:hAnsi="Verdana" w:cs="Arial"/>
          <w:sz w:val="20"/>
          <w:szCs w:val="20"/>
        </w:rPr>
        <w:t>0</w:t>
      </w:r>
      <w:r w:rsidRPr="00FD016C">
        <w:rPr>
          <w:rFonts w:ascii="Verdana" w:hAnsi="Verdana" w:cs="Arial"/>
          <w:sz w:val="20"/>
          <w:szCs w:val="20"/>
        </w:rPr>
        <w:t>,</w:t>
      </w:r>
      <w:r w:rsidR="009D2310" w:rsidRPr="00FD016C">
        <w:rPr>
          <w:rFonts w:ascii="Verdana" w:hAnsi="Verdana" w:cs="Arial"/>
          <w:sz w:val="20"/>
          <w:szCs w:val="20"/>
        </w:rPr>
        <w:t>74</w:t>
      </w:r>
      <w:r w:rsidR="00756D34" w:rsidRPr="00FD016C">
        <w:rPr>
          <w:rFonts w:ascii="Verdana" w:hAnsi="Verdana" w:cs="Arial"/>
          <w:sz w:val="20"/>
          <w:szCs w:val="20"/>
        </w:rPr>
        <w:t xml:space="preserve"> e</w:t>
      </w:r>
      <w:r w:rsidRPr="00FD016C">
        <w:rPr>
          <w:rFonts w:ascii="Verdana" w:hAnsi="Verdana" w:cs="Arial"/>
          <w:sz w:val="20"/>
          <w:szCs w:val="20"/>
        </w:rPr>
        <w:t xml:space="preserve">m 31 de </w:t>
      </w:r>
      <w:r w:rsidR="001061A3" w:rsidRPr="00FD016C">
        <w:rPr>
          <w:rFonts w:ascii="Verdana" w:hAnsi="Verdana" w:cs="Arial"/>
          <w:sz w:val="20"/>
          <w:szCs w:val="20"/>
        </w:rPr>
        <w:t>d</w:t>
      </w:r>
      <w:r w:rsidR="00ED4D77" w:rsidRPr="00FD016C">
        <w:rPr>
          <w:rFonts w:ascii="Verdana" w:hAnsi="Verdana" w:cs="Arial"/>
          <w:sz w:val="20"/>
          <w:szCs w:val="20"/>
        </w:rPr>
        <w:t>ezembro</w:t>
      </w:r>
      <w:r w:rsidR="00756D34" w:rsidRPr="00FD016C">
        <w:rPr>
          <w:rFonts w:ascii="Verdana" w:hAnsi="Verdana" w:cs="Arial"/>
          <w:sz w:val="20"/>
          <w:szCs w:val="20"/>
        </w:rPr>
        <w:t xml:space="preserve"> </w:t>
      </w:r>
      <w:r w:rsidRPr="00FD016C">
        <w:rPr>
          <w:rFonts w:ascii="Verdana" w:hAnsi="Verdana" w:cs="Arial"/>
          <w:sz w:val="20"/>
          <w:szCs w:val="20"/>
        </w:rPr>
        <w:t xml:space="preserve">de </w:t>
      </w:r>
      <w:r w:rsidR="009D2310" w:rsidRPr="00FD016C">
        <w:rPr>
          <w:rFonts w:ascii="Verdana" w:hAnsi="Verdana" w:cs="Arial"/>
          <w:sz w:val="20"/>
          <w:szCs w:val="20"/>
        </w:rPr>
        <w:t>2020</w:t>
      </w:r>
      <w:r w:rsidR="007F0D0D" w:rsidRPr="00FD016C">
        <w:rPr>
          <w:rFonts w:ascii="Verdana" w:hAnsi="Verdana" w:cs="Arial"/>
          <w:sz w:val="20"/>
          <w:szCs w:val="20"/>
        </w:rPr>
        <w:t>) e;</w:t>
      </w:r>
    </w:p>
    <w:p w14:paraId="5824A1FF" w14:textId="77777777" w:rsidR="004C2674" w:rsidRPr="00FD016C" w:rsidRDefault="004C2674" w:rsidP="0047087B">
      <w:pPr>
        <w:widowControl/>
        <w:tabs>
          <w:tab w:val="left" w:pos="180"/>
        </w:tabs>
        <w:ind w:left="1418" w:hanging="709"/>
        <w:jc w:val="both"/>
        <w:rPr>
          <w:rFonts w:ascii="Verdana" w:hAnsi="Verdana" w:cs="Arial"/>
          <w:sz w:val="20"/>
          <w:szCs w:val="20"/>
        </w:rPr>
      </w:pPr>
    </w:p>
    <w:p w14:paraId="1067A0F6" w14:textId="1BD61B0A" w:rsidR="004C2674" w:rsidRPr="00FD016C" w:rsidRDefault="004C2674" w:rsidP="0047087B">
      <w:pPr>
        <w:pStyle w:val="PargrafodaLista"/>
        <w:widowControl/>
        <w:numPr>
          <w:ilvl w:val="0"/>
          <w:numId w:val="39"/>
        </w:numPr>
        <w:tabs>
          <w:tab w:val="left" w:pos="180"/>
        </w:tabs>
        <w:jc w:val="both"/>
        <w:rPr>
          <w:rFonts w:ascii="Verdana" w:hAnsi="Verdana" w:cs="Arial"/>
          <w:sz w:val="20"/>
          <w:szCs w:val="20"/>
        </w:rPr>
      </w:pPr>
      <w:proofErr w:type="spellStart"/>
      <w:proofErr w:type="gramStart"/>
      <w:r w:rsidRPr="00FD016C">
        <w:rPr>
          <w:rFonts w:ascii="Verdana" w:hAnsi="Verdana" w:cs="Arial"/>
          <w:sz w:val="20"/>
          <w:szCs w:val="20"/>
        </w:rPr>
        <w:t>a</w:t>
      </w:r>
      <w:proofErr w:type="spellEnd"/>
      <w:proofErr w:type="gramEnd"/>
      <w:r w:rsidRPr="00FD016C">
        <w:rPr>
          <w:rFonts w:ascii="Verdana" w:hAnsi="Verdana" w:cs="Arial"/>
          <w:sz w:val="20"/>
          <w:szCs w:val="20"/>
        </w:rPr>
        <w:t xml:space="preserve"> comparação entre os direitos realizáveis e as exigibilidades, de curto e de longo prazo, revela um índice de liquidez geral de </w:t>
      </w:r>
      <w:r w:rsidR="00E4644F" w:rsidRPr="00FD016C">
        <w:rPr>
          <w:rFonts w:ascii="Verdana" w:hAnsi="Verdana" w:cs="Arial"/>
          <w:sz w:val="20"/>
          <w:szCs w:val="20"/>
        </w:rPr>
        <w:t>0,31</w:t>
      </w:r>
      <w:r w:rsidR="0087419C" w:rsidRPr="00FD016C">
        <w:rPr>
          <w:rFonts w:ascii="Verdana" w:hAnsi="Verdana" w:cs="Arial"/>
          <w:sz w:val="20"/>
          <w:szCs w:val="20"/>
        </w:rPr>
        <w:t xml:space="preserve"> </w:t>
      </w:r>
      <w:r w:rsidR="00F42FDB" w:rsidRPr="00FD016C">
        <w:rPr>
          <w:rFonts w:ascii="Verdana" w:hAnsi="Verdana" w:cs="Arial"/>
          <w:sz w:val="20"/>
          <w:szCs w:val="20"/>
        </w:rPr>
        <w:t>em 3</w:t>
      </w:r>
      <w:r w:rsidR="00493BEF" w:rsidRPr="00FD016C">
        <w:rPr>
          <w:rFonts w:ascii="Verdana" w:hAnsi="Verdana" w:cs="Arial"/>
          <w:sz w:val="20"/>
          <w:szCs w:val="20"/>
        </w:rPr>
        <w:t>0</w:t>
      </w:r>
      <w:r w:rsidR="00F42FDB" w:rsidRPr="00FD016C">
        <w:rPr>
          <w:rFonts w:ascii="Verdana" w:hAnsi="Verdana" w:cs="Arial"/>
          <w:sz w:val="20"/>
          <w:szCs w:val="20"/>
        </w:rPr>
        <w:t xml:space="preserve"> de </w:t>
      </w:r>
      <w:r w:rsidR="00594FDF" w:rsidRPr="00FD016C">
        <w:rPr>
          <w:rFonts w:ascii="Verdana" w:hAnsi="Verdana" w:cs="Arial"/>
          <w:sz w:val="20"/>
          <w:szCs w:val="20"/>
        </w:rPr>
        <w:t>setembro</w:t>
      </w:r>
      <w:r w:rsidR="00F42FDB" w:rsidRPr="00FD016C">
        <w:rPr>
          <w:rFonts w:ascii="Verdana" w:hAnsi="Verdana" w:cs="Arial"/>
          <w:sz w:val="20"/>
          <w:szCs w:val="20"/>
        </w:rPr>
        <w:t xml:space="preserve"> de 20</w:t>
      </w:r>
      <w:r w:rsidR="00756D34" w:rsidRPr="00FD016C">
        <w:rPr>
          <w:rFonts w:ascii="Verdana" w:hAnsi="Verdana" w:cs="Arial"/>
          <w:sz w:val="20"/>
          <w:szCs w:val="20"/>
        </w:rPr>
        <w:t>2</w:t>
      </w:r>
      <w:r w:rsidR="005D7711" w:rsidRPr="00FD016C">
        <w:rPr>
          <w:rFonts w:ascii="Verdana" w:hAnsi="Verdana" w:cs="Arial"/>
          <w:sz w:val="20"/>
          <w:szCs w:val="20"/>
        </w:rPr>
        <w:t>1</w:t>
      </w:r>
      <w:r w:rsidR="00F42FDB" w:rsidRPr="00FD016C">
        <w:rPr>
          <w:rFonts w:ascii="Verdana" w:hAnsi="Verdana" w:cs="Arial"/>
          <w:sz w:val="20"/>
          <w:szCs w:val="20"/>
        </w:rPr>
        <w:t xml:space="preserve"> </w:t>
      </w:r>
      <w:r w:rsidRPr="00FD016C">
        <w:rPr>
          <w:rFonts w:ascii="Verdana" w:hAnsi="Verdana" w:cs="Arial"/>
          <w:sz w:val="20"/>
          <w:szCs w:val="20"/>
        </w:rPr>
        <w:t>(</w:t>
      </w:r>
      <w:r w:rsidR="00ED4D77" w:rsidRPr="00FD016C">
        <w:rPr>
          <w:rFonts w:ascii="Verdana" w:hAnsi="Verdana" w:cs="Arial"/>
          <w:sz w:val="20"/>
          <w:szCs w:val="20"/>
        </w:rPr>
        <w:t>0</w:t>
      </w:r>
      <w:r w:rsidR="008D695D" w:rsidRPr="00FD016C">
        <w:rPr>
          <w:rFonts w:ascii="Verdana" w:hAnsi="Verdana" w:cs="Arial"/>
          <w:sz w:val="20"/>
          <w:szCs w:val="20"/>
        </w:rPr>
        <w:t>,</w:t>
      </w:r>
      <w:r w:rsidR="009D2310" w:rsidRPr="00FD016C">
        <w:rPr>
          <w:rFonts w:ascii="Verdana" w:hAnsi="Verdana" w:cs="Arial"/>
          <w:sz w:val="20"/>
          <w:szCs w:val="20"/>
        </w:rPr>
        <w:t>32</w:t>
      </w:r>
      <w:r w:rsidRPr="00FD016C">
        <w:rPr>
          <w:rFonts w:ascii="Verdana" w:hAnsi="Verdana" w:cs="Arial"/>
          <w:sz w:val="20"/>
          <w:szCs w:val="20"/>
        </w:rPr>
        <w:t xml:space="preserve"> em 31 de </w:t>
      </w:r>
      <w:r w:rsidR="00F42FDB" w:rsidRPr="00FD016C">
        <w:rPr>
          <w:rFonts w:ascii="Verdana" w:hAnsi="Verdana" w:cs="Arial"/>
          <w:sz w:val="20"/>
          <w:szCs w:val="20"/>
        </w:rPr>
        <w:t>d</w:t>
      </w:r>
      <w:r w:rsidR="00ED4D77" w:rsidRPr="00FD016C">
        <w:rPr>
          <w:rFonts w:ascii="Verdana" w:hAnsi="Verdana" w:cs="Arial"/>
          <w:sz w:val="20"/>
          <w:szCs w:val="20"/>
        </w:rPr>
        <w:t>ezembro</w:t>
      </w:r>
      <w:r w:rsidRPr="00FD016C">
        <w:rPr>
          <w:rFonts w:ascii="Verdana" w:hAnsi="Verdana" w:cs="Arial"/>
          <w:sz w:val="20"/>
          <w:szCs w:val="20"/>
        </w:rPr>
        <w:t xml:space="preserve"> de </w:t>
      </w:r>
      <w:r w:rsidR="009D2310" w:rsidRPr="00FD016C">
        <w:rPr>
          <w:rFonts w:ascii="Verdana" w:hAnsi="Verdana" w:cs="Arial"/>
          <w:sz w:val="20"/>
          <w:szCs w:val="20"/>
        </w:rPr>
        <w:t>2020</w:t>
      </w:r>
      <w:r w:rsidRPr="00FD016C">
        <w:rPr>
          <w:rFonts w:ascii="Verdana" w:hAnsi="Verdana" w:cs="Arial"/>
          <w:sz w:val="20"/>
          <w:szCs w:val="20"/>
        </w:rPr>
        <w:t>).</w:t>
      </w:r>
    </w:p>
    <w:p w14:paraId="7296B15D" w14:textId="77777777" w:rsidR="004C2674" w:rsidRPr="00FD016C" w:rsidRDefault="004C2674" w:rsidP="005144E2">
      <w:pPr>
        <w:jc w:val="both"/>
        <w:rPr>
          <w:rFonts w:ascii="Verdana" w:hAnsi="Verdana" w:cs="Arial"/>
          <w:sz w:val="20"/>
          <w:szCs w:val="20"/>
        </w:rPr>
      </w:pPr>
    </w:p>
    <w:p w14:paraId="1A1F3F3D" w14:textId="4FF0911B" w:rsidR="00927155" w:rsidRPr="00FD016C" w:rsidRDefault="00927155" w:rsidP="005144E2">
      <w:pPr>
        <w:jc w:val="both"/>
        <w:rPr>
          <w:rFonts w:ascii="Verdana" w:hAnsi="Verdana" w:cs="Arial"/>
          <w:sz w:val="20"/>
          <w:szCs w:val="20"/>
        </w:rPr>
      </w:pPr>
      <w:r w:rsidRPr="00FD016C">
        <w:rPr>
          <w:rFonts w:ascii="Verdana" w:hAnsi="Verdana" w:cs="Arial"/>
          <w:sz w:val="20"/>
          <w:szCs w:val="20"/>
        </w:rPr>
        <w:t xml:space="preserve">A administração da ELETRONUCLEAR entende que os riscos de liquidez corrente </w:t>
      </w:r>
      <w:r w:rsidR="003C4F3B" w:rsidRPr="00FD016C">
        <w:rPr>
          <w:rFonts w:ascii="Verdana" w:hAnsi="Verdana" w:cs="Arial"/>
          <w:sz w:val="20"/>
          <w:szCs w:val="20"/>
        </w:rPr>
        <w:t xml:space="preserve">estão administrados. </w:t>
      </w:r>
      <w:r w:rsidRPr="00FD016C">
        <w:rPr>
          <w:rFonts w:ascii="Verdana" w:hAnsi="Verdana" w:cs="Arial"/>
          <w:sz w:val="20"/>
          <w:szCs w:val="20"/>
        </w:rPr>
        <w:t>O índice de liquidez geral está afetado pelos financiamentos das obras da Usina Angra 3, cuja entrada em operação, aprovad</w:t>
      </w:r>
      <w:r w:rsidR="00D43522" w:rsidRPr="00FD016C">
        <w:rPr>
          <w:rFonts w:ascii="Verdana" w:hAnsi="Verdana" w:cs="Arial"/>
          <w:sz w:val="20"/>
          <w:szCs w:val="20"/>
        </w:rPr>
        <w:t>a</w:t>
      </w:r>
      <w:r w:rsidRPr="00FD016C">
        <w:rPr>
          <w:rFonts w:ascii="Verdana" w:hAnsi="Verdana" w:cs="Arial"/>
          <w:sz w:val="20"/>
          <w:szCs w:val="20"/>
        </w:rPr>
        <w:t xml:space="preserve"> internamente, </w:t>
      </w:r>
      <w:r w:rsidR="00CD510E" w:rsidRPr="00FD016C">
        <w:rPr>
          <w:rFonts w:ascii="Verdana" w:hAnsi="Verdana" w:cs="Arial"/>
          <w:sz w:val="20"/>
          <w:szCs w:val="20"/>
        </w:rPr>
        <w:t xml:space="preserve">tem como cronograma o início de geração </w:t>
      </w:r>
      <w:r w:rsidRPr="00FD016C">
        <w:rPr>
          <w:rFonts w:ascii="Verdana" w:hAnsi="Verdana" w:cs="Arial"/>
          <w:sz w:val="20"/>
          <w:szCs w:val="20"/>
        </w:rPr>
        <w:t xml:space="preserve">de receita </w:t>
      </w:r>
      <w:r w:rsidR="00CD510E" w:rsidRPr="00FD016C">
        <w:rPr>
          <w:rFonts w:ascii="Verdana" w:hAnsi="Verdana" w:cs="Arial"/>
          <w:sz w:val="20"/>
          <w:szCs w:val="20"/>
        </w:rPr>
        <w:t xml:space="preserve">a partir de </w:t>
      </w:r>
      <w:r w:rsidR="00BC1909" w:rsidRPr="00FD016C">
        <w:rPr>
          <w:rFonts w:ascii="Verdana" w:hAnsi="Verdana" w:cs="Arial"/>
          <w:sz w:val="20"/>
          <w:szCs w:val="20"/>
        </w:rPr>
        <w:t>30</w:t>
      </w:r>
      <w:r w:rsidRPr="00FD016C">
        <w:rPr>
          <w:rFonts w:ascii="Verdana" w:hAnsi="Verdana" w:cs="Arial"/>
          <w:sz w:val="20"/>
          <w:szCs w:val="20"/>
        </w:rPr>
        <w:t xml:space="preserve"> de </w:t>
      </w:r>
      <w:r w:rsidR="00BC1909" w:rsidRPr="00FD016C">
        <w:rPr>
          <w:rFonts w:ascii="Verdana" w:hAnsi="Verdana" w:cs="Arial"/>
          <w:sz w:val="20"/>
          <w:szCs w:val="20"/>
        </w:rPr>
        <w:t>novembro</w:t>
      </w:r>
      <w:r w:rsidRPr="00FD016C">
        <w:rPr>
          <w:rFonts w:ascii="Verdana" w:hAnsi="Verdana" w:cs="Arial"/>
          <w:sz w:val="20"/>
          <w:szCs w:val="20"/>
        </w:rPr>
        <w:t xml:space="preserve"> de 202</w:t>
      </w:r>
      <w:r w:rsidR="008B6155" w:rsidRPr="00FD016C">
        <w:rPr>
          <w:rFonts w:ascii="Verdana" w:hAnsi="Verdana" w:cs="Arial"/>
          <w:sz w:val="20"/>
          <w:szCs w:val="20"/>
        </w:rPr>
        <w:t>6</w:t>
      </w:r>
      <w:r w:rsidR="000B3E1B" w:rsidRPr="00FD016C">
        <w:rPr>
          <w:rFonts w:ascii="Verdana" w:hAnsi="Verdana" w:cs="Arial"/>
          <w:sz w:val="20"/>
          <w:szCs w:val="20"/>
        </w:rPr>
        <w:t xml:space="preserve"> (nota </w:t>
      </w:r>
      <w:r w:rsidR="00280195" w:rsidRPr="00FD016C">
        <w:rPr>
          <w:rFonts w:ascii="Verdana" w:hAnsi="Verdana" w:cs="Arial"/>
          <w:sz w:val="20"/>
          <w:szCs w:val="20"/>
        </w:rPr>
        <w:t>14 g</w:t>
      </w:r>
      <w:r w:rsidR="000B3E1B" w:rsidRPr="00FD016C">
        <w:rPr>
          <w:rFonts w:ascii="Verdana" w:hAnsi="Verdana" w:cs="Arial"/>
          <w:sz w:val="20"/>
          <w:szCs w:val="20"/>
        </w:rPr>
        <w:t>)</w:t>
      </w:r>
      <w:r w:rsidRPr="00FD016C">
        <w:rPr>
          <w:rFonts w:ascii="Verdana" w:hAnsi="Verdana" w:cs="Arial"/>
          <w:sz w:val="20"/>
          <w:szCs w:val="20"/>
        </w:rPr>
        <w:t>.</w:t>
      </w:r>
    </w:p>
    <w:p w14:paraId="3BC9C3C7" w14:textId="77777777" w:rsidR="00940F65" w:rsidRPr="00FD016C" w:rsidRDefault="00940F65" w:rsidP="005144E2">
      <w:pPr>
        <w:widowControl/>
        <w:jc w:val="both"/>
        <w:outlineLvl w:val="0"/>
        <w:rPr>
          <w:rFonts w:ascii="Verdana" w:hAnsi="Verdana" w:cs="Arial"/>
          <w:sz w:val="20"/>
          <w:szCs w:val="20"/>
        </w:rPr>
      </w:pPr>
    </w:p>
    <w:p w14:paraId="4668811C" w14:textId="5840098C" w:rsidR="00423385" w:rsidRPr="00FD016C" w:rsidRDefault="003F4719" w:rsidP="005144E2">
      <w:pPr>
        <w:widowControl/>
        <w:tabs>
          <w:tab w:val="left" w:pos="180"/>
        </w:tabs>
        <w:jc w:val="both"/>
        <w:rPr>
          <w:rFonts w:ascii="Verdana" w:hAnsi="Verdana" w:cs="Arial"/>
          <w:sz w:val="20"/>
          <w:szCs w:val="20"/>
        </w:rPr>
      </w:pPr>
      <w:r w:rsidRPr="00FD016C">
        <w:rPr>
          <w:rFonts w:ascii="Verdana" w:hAnsi="Verdana" w:cs="Arial"/>
          <w:sz w:val="20"/>
          <w:szCs w:val="20"/>
        </w:rPr>
        <w:t>No quadro abaixo, estão demonstrados os passivos financeiros da Companhia por faixas de vencimento, correspondente ao período remanescente no balanço patrimonial até a data contratual de vencimento. Os valores divulgados no quadro são os fluxos de caixa não descontados contratados:</w:t>
      </w:r>
    </w:p>
    <w:p w14:paraId="2BBB11FB" w14:textId="301DAE77" w:rsidR="0075646C" w:rsidRPr="00FD016C" w:rsidRDefault="0075646C" w:rsidP="005144E2">
      <w:pPr>
        <w:widowControl/>
        <w:tabs>
          <w:tab w:val="left" w:pos="180"/>
        </w:tabs>
        <w:jc w:val="both"/>
        <w:rPr>
          <w:rFonts w:ascii="Arial" w:hAnsi="Arial" w:cs="Arial"/>
        </w:rPr>
      </w:pPr>
    </w:p>
    <w:p w14:paraId="1B3F80E6" w14:textId="25617413" w:rsidR="0075646C" w:rsidRPr="00FD016C" w:rsidRDefault="008A0409" w:rsidP="005144E2">
      <w:pPr>
        <w:widowControl/>
        <w:tabs>
          <w:tab w:val="left" w:pos="180"/>
        </w:tabs>
        <w:jc w:val="both"/>
        <w:rPr>
          <w:rFonts w:ascii="Verdana" w:hAnsi="Verdana" w:cs="Arial"/>
          <w:sz w:val="20"/>
          <w:szCs w:val="20"/>
        </w:rPr>
      </w:pPr>
      <w:r w:rsidRPr="00C55602">
        <w:rPr>
          <w:noProof/>
        </w:rPr>
        <w:lastRenderedPageBreak/>
        <w:drawing>
          <wp:inline distT="0" distB="0" distL="0" distR="0" wp14:anchorId="73A52571" wp14:editId="1801BDB3">
            <wp:extent cx="6073140" cy="2911027"/>
            <wp:effectExtent l="0" t="0" r="381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3140" cy="2911027"/>
                    </a:xfrm>
                    <a:prstGeom prst="rect">
                      <a:avLst/>
                    </a:prstGeom>
                    <a:noFill/>
                    <a:ln>
                      <a:noFill/>
                    </a:ln>
                  </pic:spPr>
                </pic:pic>
              </a:graphicData>
            </a:graphic>
          </wp:inline>
        </w:drawing>
      </w:r>
    </w:p>
    <w:p w14:paraId="3839BCD8" w14:textId="77777777" w:rsidR="002C21A0" w:rsidRPr="00FD016C" w:rsidRDefault="002C21A0" w:rsidP="005144E2">
      <w:pPr>
        <w:jc w:val="both"/>
        <w:rPr>
          <w:rFonts w:ascii="Verdana" w:hAnsi="Verdana" w:cs="Arial"/>
          <w:b/>
          <w:bCs/>
          <w:sz w:val="20"/>
          <w:szCs w:val="20"/>
        </w:rPr>
      </w:pPr>
    </w:p>
    <w:p w14:paraId="06B1DFDE" w14:textId="77777777" w:rsidR="000170F1" w:rsidRPr="00FD016C" w:rsidRDefault="000170F1" w:rsidP="005144E2">
      <w:pPr>
        <w:jc w:val="both"/>
        <w:rPr>
          <w:rFonts w:ascii="Verdana" w:hAnsi="Verdana" w:cs="Arial"/>
          <w:b/>
          <w:bCs/>
          <w:sz w:val="20"/>
          <w:szCs w:val="20"/>
        </w:rPr>
      </w:pPr>
    </w:p>
    <w:p w14:paraId="005E56C4" w14:textId="3627EFE7" w:rsidR="003F4719" w:rsidRPr="00FD016C" w:rsidRDefault="003F4719" w:rsidP="005144E2">
      <w:pPr>
        <w:jc w:val="both"/>
        <w:rPr>
          <w:rFonts w:ascii="Verdana" w:hAnsi="Verdana" w:cs="Arial"/>
          <w:b/>
          <w:bCs/>
          <w:color w:val="0070C0"/>
        </w:rPr>
      </w:pPr>
      <w:r w:rsidRPr="00FD016C">
        <w:rPr>
          <w:rFonts w:ascii="Verdana" w:hAnsi="Verdana" w:cs="Arial"/>
          <w:b/>
          <w:bCs/>
          <w:color w:val="0070C0"/>
        </w:rPr>
        <w:t>d) Risco operacional</w:t>
      </w:r>
      <w:r w:rsidR="00446CC5" w:rsidRPr="00FD016C">
        <w:rPr>
          <w:rFonts w:ascii="Verdana" w:hAnsi="Verdana" w:cs="Arial"/>
          <w:b/>
          <w:bCs/>
          <w:color w:val="0070C0"/>
        </w:rPr>
        <w:t xml:space="preserve"> </w:t>
      </w:r>
    </w:p>
    <w:p w14:paraId="3863AA97" w14:textId="6B2BE8C0" w:rsidR="00E04ED7" w:rsidRPr="00FD016C" w:rsidRDefault="00E04ED7" w:rsidP="007D0609">
      <w:pPr>
        <w:jc w:val="both"/>
        <w:rPr>
          <w:rFonts w:ascii="Verdana" w:hAnsi="Verdana" w:cs="Arial"/>
          <w:sz w:val="20"/>
          <w:szCs w:val="20"/>
        </w:rPr>
      </w:pPr>
    </w:p>
    <w:p w14:paraId="202CE895" w14:textId="27B8C024" w:rsidR="005D49C7" w:rsidRPr="00FD016C" w:rsidRDefault="005D49C7" w:rsidP="007D0609">
      <w:pPr>
        <w:jc w:val="both"/>
        <w:rPr>
          <w:rFonts w:ascii="Verdana" w:hAnsi="Verdana" w:cs="Arial"/>
          <w:iCs/>
          <w:sz w:val="20"/>
          <w:szCs w:val="20"/>
        </w:rPr>
      </w:pPr>
      <w:r w:rsidRPr="00FD016C">
        <w:rPr>
          <w:rFonts w:ascii="Verdana" w:hAnsi="Verdana" w:cs="Arial"/>
          <w:iCs/>
          <w:sz w:val="20"/>
          <w:szCs w:val="20"/>
        </w:rPr>
        <w:t>A ELETRONUCLEAR tem como atividade principal a operação das Usinas Angra 1 e 2</w:t>
      </w:r>
      <w:r w:rsidR="00325E65">
        <w:rPr>
          <w:rFonts w:ascii="Verdana" w:hAnsi="Verdana" w:cs="Arial"/>
          <w:iCs/>
          <w:sz w:val="20"/>
          <w:szCs w:val="20"/>
        </w:rPr>
        <w:t>.</w:t>
      </w:r>
    </w:p>
    <w:p w14:paraId="75E35778" w14:textId="77777777" w:rsidR="005D49C7" w:rsidRPr="00FD016C" w:rsidRDefault="005D49C7" w:rsidP="007D0609">
      <w:pPr>
        <w:jc w:val="both"/>
        <w:rPr>
          <w:rFonts w:ascii="Verdana" w:hAnsi="Verdana" w:cs="Arial"/>
          <w:iCs/>
          <w:sz w:val="20"/>
          <w:szCs w:val="20"/>
        </w:rPr>
      </w:pPr>
    </w:p>
    <w:p w14:paraId="2D9F9167" w14:textId="77777777" w:rsidR="005D49C7" w:rsidRPr="00FD016C" w:rsidRDefault="005D49C7" w:rsidP="007D0609">
      <w:pPr>
        <w:jc w:val="both"/>
        <w:rPr>
          <w:rFonts w:ascii="Verdana" w:hAnsi="Verdana" w:cs="Arial"/>
          <w:iCs/>
          <w:sz w:val="20"/>
          <w:szCs w:val="20"/>
        </w:rPr>
      </w:pPr>
      <w:r w:rsidRPr="00FD016C">
        <w:rPr>
          <w:rFonts w:ascii="Verdana" w:hAnsi="Verdana" w:cs="Arial"/>
          <w:iCs/>
          <w:sz w:val="20"/>
          <w:szCs w:val="20"/>
        </w:rPr>
        <w:t>Toda a energia produzida por essas usinas tem fornecimento contratual de longo prazo firmado com as distribuidoras de energia elétrica; contratos esses regidos pela Câmara de Comercialização de Energia Elétrica - CCEE. A ELETRONUCLEAR entende que o risco de inadimplência fica mitigado na quitação desse faturamento, face à atividade de administração financeira estar sob o controle da CCEE, que possui autonomia sobre os recursos reservados pelas distribuidoras para esse fim.</w:t>
      </w:r>
    </w:p>
    <w:p w14:paraId="5D99EB2B" w14:textId="77777777" w:rsidR="005D49C7" w:rsidRPr="00FD016C" w:rsidRDefault="005D49C7" w:rsidP="007D0609">
      <w:pPr>
        <w:jc w:val="both"/>
        <w:rPr>
          <w:rFonts w:ascii="Verdana" w:hAnsi="Verdana" w:cs="Arial"/>
          <w:iCs/>
          <w:sz w:val="20"/>
          <w:szCs w:val="20"/>
        </w:rPr>
      </w:pPr>
    </w:p>
    <w:p w14:paraId="74DFA6C9" w14:textId="6AC342CD" w:rsidR="005D49C7" w:rsidRPr="00FD016C" w:rsidRDefault="005D49C7" w:rsidP="007D0609">
      <w:pPr>
        <w:jc w:val="both"/>
        <w:rPr>
          <w:rFonts w:ascii="Verdana" w:hAnsi="Verdana" w:cs="Arial"/>
          <w:iCs/>
          <w:sz w:val="20"/>
          <w:szCs w:val="20"/>
        </w:rPr>
      </w:pPr>
      <w:r w:rsidRPr="00FD016C">
        <w:rPr>
          <w:rFonts w:ascii="Verdana" w:hAnsi="Verdana" w:cs="Arial"/>
          <w:iCs/>
          <w:sz w:val="20"/>
          <w:szCs w:val="20"/>
        </w:rPr>
        <w:t xml:space="preserve">A receita fixa das Usinas Angra 1 e 2 é regulada pela Agência Nacional de Energia Elétrica - Aneel, através do modelo do Procedimento de Regulação Tarifária - PRORET: Módulo 6, </w:t>
      </w:r>
      <w:proofErr w:type="spellStart"/>
      <w:r w:rsidRPr="00FD016C">
        <w:rPr>
          <w:rFonts w:ascii="Verdana" w:hAnsi="Verdana" w:cs="Arial"/>
          <w:iCs/>
          <w:sz w:val="20"/>
          <w:szCs w:val="20"/>
        </w:rPr>
        <w:t>Submódulo</w:t>
      </w:r>
      <w:proofErr w:type="spellEnd"/>
      <w:r w:rsidRPr="00FD016C">
        <w:rPr>
          <w:rFonts w:ascii="Verdana" w:hAnsi="Verdana" w:cs="Arial"/>
          <w:iCs/>
          <w:sz w:val="20"/>
          <w:szCs w:val="20"/>
        </w:rPr>
        <w:t xml:space="preserve"> 6.7, com reajustes anuais e revisões quinquenais. A receita fixa </w:t>
      </w:r>
      <w:r w:rsidR="007B5AFB" w:rsidRPr="00FD016C">
        <w:rPr>
          <w:rFonts w:ascii="Verdana" w:hAnsi="Verdana" w:cs="Arial"/>
          <w:iCs/>
          <w:sz w:val="20"/>
          <w:szCs w:val="20"/>
        </w:rPr>
        <w:t>para o ano de</w:t>
      </w:r>
      <w:r w:rsidRPr="00FD016C">
        <w:rPr>
          <w:rFonts w:ascii="Verdana" w:hAnsi="Verdana" w:cs="Arial"/>
          <w:iCs/>
          <w:sz w:val="20"/>
          <w:szCs w:val="20"/>
        </w:rPr>
        <w:t xml:space="preserve"> 202</w:t>
      </w:r>
      <w:r w:rsidR="00104225" w:rsidRPr="00FD016C">
        <w:rPr>
          <w:rFonts w:ascii="Verdana" w:hAnsi="Verdana" w:cs="Arial"/>
          <w:iCs/>
          <w:sz w:val="20"/>
          <w:szCs w:val="20"/>
        </w:rPr>
        <w:t>1</w:t>
      </w:r>
      <w:r w:rsidRPr="00FD016C">
        <w:rPr>
          <w:rFonts w:ascii="Verdana" w:hAnsi="Verdana" w:cs="Arial"/>
          <w:iCs/>
          <w:sz w:val="20"/>
          <w:szCs w:val="20"/>
        </w:rPr>
        <w:t xml:space="preserve"> foi definida pela Resolução Homologatória nº </w:t>
      </w:r>
      <w:r w:rsidR="00104225" w:rsidRPr="00FD016C">
        <w:rPr>
          <w:rFonts w:ascii="Verdana" w:hAnsi="Verdana" w:cs="Arial"/>
          <w:iCs/>
          <w:sz w:val="20"/>
          <w:szCs w:val="20"/>
        </w:rPr>
        <w:t xml:space="preserve">2.821 de 15 de dezembro de 2020 </w:t>
      </w:r>
      <w:r w:rsidRPr="00FD016C">
        <w:rPr>
          <w:rFonts w:ascii="Verdana" w:hAnsi="Verdana" w:cs="Arial"/>
          <w:iCs/>
          <w:sz w:val="20"/>
          <w:szCs w:val="20"/>
        </w:rPr>
        <w:t xml:space="preserve">- DOU </w:t>
      </w:r>
      <w:r w:rsidR="00104225" w:rsidRPr="00FD016C">
        <w:rPr>
          <w:rFonts w:ascii="Verdana" w:hAnsi="Verdana" w:cs="Arial"/>
          <w:iCs/>
          <w:sz w:val="20"/>
          <w:szCs w:val="20"/>
        </w:rPr>
        <w:t>18</w:t>
      </w:r>
      <w:r w:rsidRPr="00FD016C">
        <w:rPr>
          <w:rFonts w:ascii="Verdana" w:hAnsi="Verdana" w:cs="Arial"/>
          <w:iCs/>
          <w:sz w:val="20"/>
          <w:szCs w:val="20"/>
        </w:rPr>
        <w:t xml:space="preserve"> de dezembro de 20</w:t>
      </w:r>
      <w:r w:rsidR="00104225" w:rsidRPr="00FD016C">
        <w:rPr>
          <w:rFonts w:ascii="Verdana" w:hAnsi="Verdana" w:cs="Arial"/>
          <w:iCs/>
          <w:sz w:val="20"/>
          <w:szCs w:val="20"/>
        </w:rPr>
        <w:t>20</w:t>
      </w:r>
      <w:r w:rsidRPr="00FD016C">
        <w:rPr>
          <w:rFonts w:ascii="Verdana" w:hAnsi="Verdana" w:cs="Arial"/>
          <w:iCs/>
          <w:sz w:val="20"/>
          <w:szCs w:val="20"/>
        </w:rPr>
        <w:t xml:space="preserve">, no montante de R$ </w:t>
      </w:r>
      <w:r w:rsidR="00104225" w:rsidRPr="00FD016C">
        <w:rPr>
          <w:rFonts w:ascii="Verdana" w:hAnsi="Verdana" w:cs="Arial"/>
          <w:iCs/>
          <w:sz w:val="20"/>
          <w:szCs w:val="20"/>
        </w:rPr>
        <w:t>3.424.500</w:t>
      </w:r>
      <w:r w:rsidRPr="00FD016C">
        <w:rPr>
          <w:rFonts w:ascii="Verdana" w:hAnsi="Verdana" w:cs="Arial"/>
          <w:iCs/>
          <w:sz w:val="20"/>
          <w:szCs w:val="20"/>
        </w:rPr>
        <w:t>.</w:t>
      </w:r>
    </w:p>
    <w:p w14:paraId="430E68E0" w14:textId="77777777" w:rsidR="005D49C7" w:rsidRPr="00FD016C" w:rsidRDefault="005D49C7" w:rsidP="007D0609">
      <w:pPr>
        <w:jc w:val="both"/>
        <w:rPr>
          <w:rFonts w:ascii="Verdana" w:hAnsi="Verdana" w:cs="Arial"/>
          <w:iCs/>
          <w:sz w:val="20"/>
          <w:szCs w:val="20"/>
        </w:rPr>
      </w:pPr>
    </w:p>
    <w:p w14:paraId="1ADA3CF5" w14:textId="77777777" w:rsidR="005D49C7" w:rsidRPr="00FD016C" w:rsidRDefault="005D49C7" w:rsidP="007D0609">
      <w:pPr>
        <w:jc w:val="both"/>
        <w:rPr>
          <w:rFonts w:ascii="Verdana" w:hAnsi="Verdana" w:cs="Arial"/>
          <w:iCs/>
          <w:sz w:val="20"/>
          <w:szCs w:val="20"/>
        </w:rPr>
      </w:pPr>
      <w:r w:rsidRPr="00FD016C">
        <w:rPr>
          <w:rFonts w:ascii="Verdana" w:hAnsi="Verdana" w:cs="Arial"/>
          <w:iCs/>
          <w:sz w:val="20"/>
          <w:szCs w:val="20"/>
        </w:rPr>
        <w:t>Salienta-se que, conforme regras de comercialização das energias das Usinas Angra 1 e 2, os desvios eventuais (sobras ou faltas) são apurados em cada exercício e são faturados ou devolvidos em duodécimos no exercício seguinte.</w:t>
      </w:r>
    </w:p>
    <w:p w14:paraId="416145D7" w14:textId="77777777" w:rsidR="005D49C7" w:rsidRPr="00FD016C" w:rsidRDefault="005D49C7" w:rsidP="007D0609">
      <w:pPr>
        <w:jc w:val="both"/>
        <w:rPr>
          <w:rFonts w:ascii="Verdana" w:hAnsi="Verdana" w:cs="Arial"/>
          <w:iCs/>
          <w:sz w:val="20"/>
          <w:szCs w:val="20"/>
        </w:rPr>
      </w:pPr>
    </w:p>
    <w:p w14:paraId="4BC123D8" w14:textId="57F6AB7E" w:rsidR="005D49C7" w:rsidRPr="00FD016C" w:rsidRDefault="005D49C7" w:rsidP="007D0609">
      <w:pPr>
        <w:jc w:val="both"/>
        <w:rPr>
          <w:rFonts w:ascii="Verdana" w:hAnsi="Verdana" w:cs="Arial"/>
          <w:iCs/>
          <w:sz w:val="20"/>
          <w:szCs w:val="20"/>
        </w:rPr>
      </w:pPr>
      <w:r w:rsidRPr="00FD016C">
        <w:rPr>
          <w:rFonts w:ascii="Verdana" w:hAnsi="Verdana" w:cs="Arial"/>
          <w:iCs/>
          <w:sz w:val="20"/>
          <w:szCs w:val="20"/>
        </w:rPr>
        <w:t>O principal insumo na geração de energia elétrica de fonte termonuclear é o combustível nuclear, insumo este fornecido no Brasil única e exclusivamente pelas Indústrias Nucleares do Brasil S.A. – INB, empresa estatal de economia mista vinculada ao Ministério de Minas e Energia</w:t>
      </w:r>
      <w:r w:rsidR="003460D4" w:rsidRPr="00FD016C">
        <w:rPr>
          <w:rFonts w:ascii="Verdana" w:hAnsi="Verdana" w:cs="Arial"/>
          <w:iCs/>
          <w:sz w:val="20"/>
          <w:szCs w:val="20"/>
        </w:rPr>
        <w:t xml:space="preserve"> - MME</w:t>
      </w:r>
      <w:r w:rsidRPr="00FD016C">
        <w:rPr>
          <w:rFonts w:ascii="Verdana" w:hAnsi="Verdana" w:cs="Arial"/>
          <w:iCs/>
          <w:sz w:val="20"/>
          <w:szCs w:val="20"/>
        </w:rPr>
        <w:t>, que, em nome da União, exerce no Brasil o monopólio da produção e comercialização de materiais nucleares, dentre eles, os elementos combustíveis utilizados nos reatores das Usinas Angra 1 e 2.</w:t>
      </w:r>
    </w:p>
    <w:p w14:paraId="4B88EE09" w14:textId="77777777" w:rsidR="005D49C7" w:rsidRPr="00FD016C" w:rsidRDefault="005D49C7" w:rsidP="007D0609">
      <w:pPr>
        <w:jc w:val="both"/>
        <w:rPr>
          <w:rFonts w:ascii="Verdana" w:hAnsi="Verdana" w:cs="Arial"/>
          <w:iCs/>
          <w:sz w:val="20"/>
          <w:szCs w:val="20"/>
        </w:rPr>
      </w:pPr>
    </w:p>
    <w:p w14:paraId="1489B955" w14:textId="77777777" w:rsidR="009B0F85" w:rsidRPr="00FD016C" w:rsidRDefault="009B0F85" w:rsidP="009B0F85">
      <w:pPr>
        <w:jc w:val="both"/>
        <w:rPr>
          <w:rFonts w:ascii="Verdana" w:hAnsi="Verdana"/>
          <w:sz w:val="20"/>
          <w:szCs w:val="20"/>
        </w:rPr>
      </w:pPr>
      <w:r w:rsidRPr="00FD016C">
        <w:rPr>
          <w:rFonts w:ascii="Verdana" w:hAnsi="Verdana"/>
          <w:sz w:val="20"/>
          <w:szCs w:val="20"/>
        </w:rPr>
        <w:t xml:space="preserve">Desde 2018, época em que ainda era subordinada ao Ministério de Ciência, Tecnologia, Inovações e Comunicações – MCTIC, a INB vem sofrendo expressivas reduções orçamentárias </w:t>
      </w:r>
      <w:r w:rsidRPr="00FD016C">
        <w:rPr>
          <w:rFonts w:ascii="Verdana" w:hAnsi="Verdana"/>
          <w:sz w:val="20"/>
          <w:szCs w:val="20"/>
        </w:rPr>
        <w:lastRenderedPageBreak/>
        <w:t>e severas limitações no Orçamento Fiscal da União, o que tem lhe causado fortes dificuldades para honrar seus compromissos, aí incluindo a aquisição de matéria-prima para a fabricação do combustível nuclear, seja urânio nacional ou importado.</w:t>
      </w:r>
    </w:p>
    <w:p w14:paraId="0297ADC0" w14:textId="77777777" w:rsidR="009B0F85" w:rsidRPr="00FD016C" w:rsidRDefault="009B0F85" w:rsidP="009B0F85">
      <w:pPr>
        <w:jc w:val="both"/>
        <w:rPr>
          <w:rFonts w:ascii="Verdana" w:hAnsi="Verdana"/>
          <w:sz w:val="20"/>
          <w:szCs w:val="20"/>
        </w:rPr>
      </w:pPr>
    </w:p>
    <w:p w14:paraId="0FF15740" w14:textId="77777777" w:rsidR="009B0F85" w:rsidRPr="00FD016C" w:rsidRDefault="009B0F85" w:rsidP="009B0F85">
      <w:pPr>
        <w:jc w:val="both"/>
        <w:rPr>
          <w:rFonts w:ascii="Verdana" w:hAnsi="Verdana"/>
          <w:sz w:val="20"/>
          <w:szCs w:val="20"/>
        </w:rPr>
      </w:pPr>
      <w:r w:rsidRPr="00FD016C">
        <w:rPr>
          <w:rFonts w:ascii="Verdana" w:hAnsi="Verdana"/>
          <w:sz w:val="20"/>
          <w:szCs w:val="20"/>
        </w:rPr>
        <w:t>Considerando os riscos de descontinuidade de operação das Usinas Angra 1 e 2, e também do compromisso e da importância que o suprimento de energia elétrica da Central Nuclear Almirante Álvaro Alberto – CNAAA tem no âmbito do Sistema Interligado Nacional – SIN, a administração da ELETRONUCLEAR tem submetido esses riscos aos diversos órgãos a quem está subordinada, no intuito de serem superadas estas ameaças de desabastecimento.</w:t>
      </w:r>
    </w:p>
    <w:p w14:paraId="38ACE415" w14:textId="77777777" w:rsidR="009B0F85" w:rsidRPr="00FD016C" w:rsidRDefault="009B0F85" w:rsidP="009B0F85">
      <w:pPr>
        <w:jc w:val="both"/>
        <w:rPr>
          <w:rFonts w:ascii="Verdana" w:hAnsi="Verdana"/>
          <w:sz w:val="20"/>
          <w:szCs w:val="20"/>
        </w:rPr>
      </w:pPr>
    </w:p>
    <w:p w14:paraId="5BB6BC17" w14:textId="77777777" w:rsidR="009B0F85" w:rsidRPr="00FD016C" w:rsidRDefault="009B0F85" w:rsidP="009B0F85">
      <w:pPr>
        <w:jc w:val="both"/>
        <w:rPr>
          <w:rFonts w:ascii="Verdana" w:hAnsi="Verdana"/>
          <w:sz w:val="20"/>
          <w:szCs w:val="20"/>
        </w:rPr>
      </w:pPr>
      <w:r w:rsidRPr="00FD016C">
        <w:rPr>
          <w:rFonts w:ascii="Verdana" w:hAnsi="Verdana"/>
          <w:sz w:val="20"/>
          <w:szCs w:val="20"/>
        </w:rPr>
        <w:t>Atualmente, as Indústrias Nucleares do Brasil – INB, por questões legais, é considerada uma estatal dependente para fins de elaboração do orçamento da União. Nesse sentido, a INB tem apontado que os valores aprovados em seu orçamento fiscal, ao qual tem sido submetida, têm implicado a mesma em riscos à manutenção de sua adimplência contratual para com a ELETRONUCLEAR, o que implica em dizer, em última análise, e embora de probabilidade reduzida, numa eventual possibilidade de não fornecimento de nossos insumos ao processo de geração de energia elétrica, que seriam os elementos combustíveis por ela fabricados.</w:t>
      </w:r>
    </w:p>
    <w:p w14:paraId="0C5A9C9E" w14:textId="77777777" w:rsidR="009B0F85" w:rsidRPr="00FD016C" w:rsidRDefault="009B0F85" w:rsidP="009B0F85">
      <w:pPr>
        <w:jc w:val="both"/>
        <w:rPr>
          <w:rFonts w:ascii="Verdana" w:hAnsi="Verdana"/>
          <w:sz w:val="20"/>
          <w:szCs w:val="20"/>
        </w:rPr>
      </w:pPr>
    </w:p>
    <w:p w14:paraId="0B372036" w14:textId="54363536" w:rsidR="009B0F85" w:rsidRPr="00FD016C" w:rsidRDefault="009B0F85" w:rsidP="009B0F85">
      <w:pPr>
        <w:jc w:val="both"/>
        <w:rPr>
          <w:rFonts w:ascii="Verdana" w:hAnsi="Verdana"/>
          <w:sz w:val="20"/>
          <w:szCs w:val="20"/>
        </w:rPr>
      </w:pPr>
      <w:r w:rsidRPr="00773943">
        <w:rPr>
          <w:rFonts w:ascii="Verdana" w:hAnsi="Verdana"/>
          <w:sz w:val="20"/>
          <w:szCs w:val="20"/>
        </w:rPr>
        <w:t xml:space="preserve">Como forma de superar estes entraves, a ELETRONUCLEAR e INB estão </w:t>
      </w:r>
      <w:r w:rsidR="007259B2">
        <w:rPr>
          <w:rFonts w:ascii="Verdana" w:hAnsi="Verdana"/>
          <w:sz w:val="20"/>
          <w:szCs w:val="20"/>
        </w:rPr>
        <w:t xml:space="preserve">na fase final </w:t>
      </w:r>
      <w:r w:rsidRPr="00773943">
        <w:rPr>
          <w:rFonts w:ascii="Verdana" w:hAnsi="Verdana"/>
          <w:sz w:val="20"/>
          <w:szCs w:val="20"/>
        </w:rPr>
        <w:t xml:space="preserve"> </w:t>
      </w:r>
      <w:r w:rsidR="007259B2">
        <w:rPr>
          <w:rFonts w:ascii="Verdana" w:hAnsi="Verdana"/>
          <w:sz w:val="20"/>
          <w:szCs w:val="20"/>
        </w:rPr>
        <w:t xml:space="preserve">do </w:t>
      </w:r>
      <w:r w:rsidRPr="00773943">
        <w:rPr>
          <w:rFonts w:ascii="Verdana" w:hAnsi="Verdana"/>
          <w:sz w:val="20"/>
          <w:szCs w:val="20"/>
        </w:rPr>
        <w:t>novo contrato de fornecimento de elementos combust</w:t>
      </w:r>
      <w:r w:rsidRPr="00403302">
        <w:rPr>
          <w:rFonts w:ascii="Verdana" w:hAnsi="Verdana"/>
          <w:sz w:val="20"/>
          <w:szCs w:val="20"/>
        </w:rPr>
        <w:t>íveis</w:t>
      </w:r>
      <w:r w:rsidRPr="00773943">
        <w:rPr>
          <w:rFonts w:ascii="Verdana" w:hAnsi="Verdana"/>
          <w:sz w:val="20"/>
          <w:szCs w:val="20"/>
        </w:rPr>
        <w:t xml:space="preserve">, </w:t>
      </w:r>
      <w:proofErr w:type="spellStart"/>
      <w:r w:rsidRPr="00773943">
        <w:rPr>
          <w:rFonts w:ascii="Verdana" w:hAnsi="Verdana"/>
          <w:sz w:val="20"/>
          <w:szCs w:val="20"/>
        </w:rPr>
        <w:t>o qual</w:t>
      </w:r>
      <w:proofErr w:type="spellEnd"/>
      <w:r w:rsidRPr="00773943">
        <w:rPr>
          <w:rFonts w:ascii="Verdana" w:hAnsi="Verdana"/>
          <w:sz w:val="20"/>
          <w:szCs w:val="20"/>
        </w:rPr>
        <w:t xml:space="preserve"> abrange 5 (cinco) recargas para cada uma das Usinas atualmente em operação (Angra 1 e Angra 2) a partir de 202</w:t>
      </w:r>
      <w:r w:rsidR="00D777D2" w:rsidRPr="00773943">
        <w:rPr>
          <w:rFonts w:ascii="Verdana" w:hAnsi="Verdana"/>
          <w:sz w:val="20"/>
          <w:szCs w:val="20"/>
        </w:rPr>
        <w:t>2</w:t>
      </w:r>
      <w:r w:rsidRPr="00773943">
        <w:rPr>
          <w:rFonts w:ascii="Verdana" w:hAnsi="Verdana"/>
          <w:sz w:val="20"/>
          <w:szCs w:val="20"/>
        </w:rPr>
        <w:t>, onde as dificuldades orçamentarias estão sendo discutidas conjuntamente nas respectivas alçadas de governança competentes, estando nelas incluídas o Ministério de Minas e Energia – MME e o Ministério da Economia – ME, com o intuito de viabilizar a promoção de um significativo reajuste de preço de fornecimento dos elementos combustíveis, a fim de que a INB passe a reunir condições fiscais sustentáveis para a sua eliminação da condição orçamentária de uma “estatal dependente”, o que garantiria a segurança de suas operações e por consequência no cumprimento de seu contrato para com a ELETRONUCLEAR, eliminando, assim, o risco de a INB não produzir as recargas contratadas pela ELETRONUCLEAR por restrições orçamentárias.</w:t>
      </w:r>
      <w:r w:rsidRPr="00FD016C">
        <w:rPr>
          <w:rFonts w:ascii="Verdana" w:hAnsi="Verdana"/>
          <w:sz w:val="20"/>
          <w:szCs w:val="20"/>
        </w:rPr>
        <w:t xml:space="preserve"> </w:t>
      </w:r>
    </w:p>
    <w:p w14:paraId="78FC959A" w14:textId="77777777" w:rsidR="00D777D2" w:rsidRPr="00FD016C" w:rsidRDefault="00D777D2" w:rsidP="009B0F85">
      <w:pPr>
        <w:jc w:val="both"/>
        <w:rPr>
          <w:rFonts w:ascii="Verdana" w:hAnsi="Verdana"/>
          <w:sz w:val="20"/>
          <w:szCs w:val="20"/>
        </w:rPr>
      </w:pPr>
    </w:p>
    <w:p w14:paraId="66A5C08A" w14:textId="77777777" w:rsidR="009B0F85" w:rsidRPr="00FD016C" w:rsidRDefault="009B0F85" w:rsidP="009B0F85">
      <w:pPr>
        <w:jc w:val="both"/>
        <w:rPr>
          <w:rFonts w:ascii="Verdana" w:hAnsi="Verdana"/>
          <w:sz w:val="20"/>
          <w:szCs w:val="20"/>
        </w:rPr>
      </w:pPr>
      <w:r w:rsidRPr="00FD016C">
        <w:rPr>
          <w:rFonts w:ascii="Verdana" w:hAnsi="Verdana"/>
          <w:sz w:val="20"/>
          <w:szCs w:val="20"/>
        </w:rPr>
        <w:t xml:space="preserve">A Eletrobras, controladora da ELETRONUCLEAR, conjuntamente ao Ministério de Minas e Energia – MME tem realizado gestões junto ao Ministério da Economia no intuito de superar as dificuldades orçamentárias ora vivenciadas pela INB. </w:t>
      </w:r>
    </w:p>
    <w:p w14:paraId="4416CE51" w14:textId="2F729519" w:rsidR="009B0F85" w:rsidRPr="00FD016C" w:rsidRDefault="009B0F85" w:rsidP="009B0F85">
      <w:pPr>
        <w:pStyle w:val="Corpodetexto"/>
        <w:jc w:val="both"/>
        <w:rPr>
          <w:rFonts w:ascii="Verdana" w:hAnsi="Verdana"/>
          <w:color w:val="FF0000"/>
          <w:sz w:val="20"/>
          <w:szCs w:val="20"/>
        </w:rPr>
      </w:pPr>
    </w:p>
    <w:p w14:paraId="39F5D1D8" w14:textId="44B718CB" w:rsidR="009B0F85" w:rsidRPr="00FD016C" w:rsidRDefault="009B0F85" w:rsidP="009B0F85">
      <w:pPr>
        <w:pStyle w:val="Corpodetexto"/>
        <w:jc w:val="both"/>
        <w:rPr>
          <w:rFonts w:ascii="Verdana" w:hAnsi="Verdana"/>
          <w:sz w:val="20"/>
          <w:szCs w:val="20"/>
        </w:rPr>
      </w:pPr>
      <w:r w:rsidRPr="00FD016C">
        <w:rPr>
          <w:rFonts w:ascii="Verdana" w:hAnsi="Verdana"/>
          <w:color w:val="000000"/>
          <w:sz w:val="20"/>
          <w:szCs w:val="20"/>
        </w:rPr>
        <w:t xml:space="preserve">No terceiro trimestre de 2020, durante a parada para manutenção e reabastecimento de combustível nuclear na Usina Angra 2, foi detectada, nos </w:t>
      </w:r>
      <w:r w:rsidR="000A15D6" w:rsidRPr="00FD016C">
        <w:rPr>
          <w:rFonts w:ascii="Verdana" w:hAnsi="Verdana"/>
          <w:color w:val="000000"/>
          <w:sz w:val="20"/>
          <w:szCs w:val="20"/>
        </w:rPr>
        <w:t xml:space="preserve">52 </w:t>
      </w:r>
      <w:r w:rsidR="00CD014C" w:rsidRPr="00FD016C">
        <w:rPr>
          <w:rFonts w:ascii="Verdana" w:hAnsi="Verdana"/>
          <w:color w:val="000000"/>
          <w:sz w:val="20"/>
          <w:szCs w:val="20"/>
        </w:rPr>
        <w:t xml:space="preserve">(cinquenta e dois) </w:t>
      </w:r>
      <w:r w:rsidR="002A4430" w:rsidRPr="00FD016C">
        <w:rPr>
          <w:rFonts w:ascii="Verdana" w:hAnsi="Verdana"/>
          <w:color w:val="000000"/>
          <w:sz w:val="20"/>
          <w:szCs w:val="20"/>
        </w:rPr>
        <w:t xml:space="preserve">elementos combustíveis </w:t>
      </w:r>
      <w:r w:rsidR="000A15D6" w:rsidRPr="00FD016C">
        <w:rPr>
          <w:rFonts w:ascii="Verdana" w:hAnsi="Verdana"/>
          <w:color w:val="000000"/>
          <w:sz w:val="20"/>
          <w:szCs w:val="20"/>
        </w:rPr>
        <w:t xml:space="preserve">do lote R </w:t>
      </w:r>
      <w:r w:rsidRPr="00FD016C">
        <w:rPr>
          <w:rFonts w:ascii="Verdana" w:hAnsi="Verdana"/>
          <w:color w:val="000000"/>
          <w:sz w:val="20"/>
          <w:szCs w:val="20"/>
        </w:rPr>
        <w:t>carregados no último ciclo de operação, uma oxidação superficial inesperada no revestimento dos tubos que contém as pastilhas de urânio enriquecido. Para viabilizar o retorno da operação da Usina Angra 2 no menor tempo possível e seguindo todos os protocolos de segurança, a ELETRONUCLEAR substituiu os 52 (cinquenta e dois) elementos combustíveis</w:t>
      </w:r>
      <w:r w:rsidR="00633CBA">
        <w:rPr>
          <w:rFonts w:ascii="Verdana" w:hAnsi="Verdana"/>
          <w:color w:val="000000"/>
          <w:sz w:val="20"/>
          <w:szCs w:val="20"/>
        </w:rPr>
        <w:t xml:space="preserve"> e aguarda a entrega do relatório final da inspeção desses elementos combustíveis que está prevista para primeira quinzena de novembro </w:t>
      </w:r>
      <w:r w:rsidR="00B64355">
        <w:rPr>
          <w:rFonts w:ascii="Verdana" w:hAnsi="Verdana"/>
          <w:color w:val="000000"/>
          <w:sz w:val="20"/>
          <w:szCs w:val="20"/>
        </w:rPr>
        <w:t xml:space="preserve">de </w:t>
      </w:r>
      <w:proofErr w:type="gramStart"/>
      <w:r w:rsidR="00633CBA">
        <w:rPr>
          <w:rFonts w:ascii="Verdana" w:hAnsi="Verdana"/>
          <w:color w:val="000000"/>
          <w:sz w:val="20"/>
          <w:szCs w:val="20"/>
        </w:rPr>
        <w:t xml:space="preserve">2021 </w:t>
      </w:r>
      <w:r w:rsidRPr="00FD016C">
        <w:rPr>
          <w:rFonts w:ascii="Verdana" w:hAnsi="Verdana"/>
          <w:color w:val="000000"/>
          <w:sz w:val="20"/>
          <w:szCs w:val="20"/>
        </w:rPr>
        <w:t>.</w:t>
      </w:r>
      <w:proofErr w:type="gramEnd"/>
    </w:p>
    <w:p w14:paraId="721ED8C5" w14:textId="77777777" w:rsidR="00B64355" w:rsidRDefault="00B64355" w:rsidP="009B0F85">
      <w:pPr>
        <w:jc w:val="both"/>
        <w:rPr>
          <w:rFonts w:ascii="Verdana" w:hAnsi="Verdana"/>
          <w:sz w:val="20"/>
          <w:szCs w:val="20"/>
        </w:rPr>
      </w:pPr>
    </w:p>
    <w:p w14:paraId="1952C558" w14:textId="07B917AB" w:rsidR="009B0F85" w:rsidRPr="00FD016C" w:rsidRDefault="009B0F85" w:rsidP="009B0F85">
      <w:pPr>
        <w:jc w:val="both"/>
        <w:rPr>
          <w:rFonts w:ascii="Verdana" w:hAnsi="Verdana"/>
          <w:sz w:val="20"/>
          <w:szCs w:val="20"/>
        </w:rPr>
      </w:pPr>
      <w:r w:rsidRPr="00FD016C">
        <w:rPr>
          <w:rFonts w:ascii="Verdana" w:hAnsi="Verdana"/>
          <w:sz w:val="20"/>
          <w:szCs w:val="20"/>
        </w:rPr>
        <w:t xml:space="preserve">As medições das camadas de óxido foram concluídas em novembro de 2020 e os respectivos relatórios com os resultados foram entregues </w:t>
      </w:r>
      <w:r w:rsidR="00D6095C" w:rsidRPr="00FD016C">
        <w:rPr>
          <w:rFonts w:ascii="Verdana" w:hAnsi="Verdana"/>
          <w:sz w:val="20"/>
          <w:szCs w:val="20"/>
        </w:rPr>
        <w:t xml:space="preserve">para a </w:t>
      </w:r>
      <w:r w:rsidRPr="00FD016C">
        <w:rPr>
          <w:rFonts w:ascii="Verdana" w:hAnsi="Verdana"/>
          <w:sz w:val="20"/>
          <w:szCs w:val="20"/>
        </w:rPr>
        <w:t xml:space="preserve">empresa contratada, </w:t>
      </w:r>
      <w:proofErr w:type="spellStart"/>
      <w:r w:rsidRPr="00FD016C">
        <w:rPr>
          <w:rFonts w:ascii="Verdana" w:hAnsi="Verdana"/>
          <w:sz w:val="20"/>
          <w:szCs w:val="20"/>
        </w:rPr>
        <w:t>Framatome</w:t>
      </w:r>
      <w:proofErr w:type="spellEnd"/>
      <w:r w:rsidRPr="00FD016C">
        <w:rPr>
          <w:rFonts w:ascii="Verdana" w:hAnsi="Verdana"/>
          <w:sz w:val="20"/>
          <w:szCs w:val="20"/>
        </w:rPr>
        <w:t xml:space="preserve">. Os respectivos relatórios </w:t>
      </w:r>
      <w:r w:rsidR="00D6095C" w:rsidRPr="00FD016C">
        <w:rPr>
          <w:rFonts w:ascii="Verdana" w:hAnsi="Verdana"/>
          <w:sz w:val="20"/>
          <w:szCs w:val="20"/>
        </w:rPr>
        <w:t xml:space="preserve">também </w:t>
      </w:r>
      <w:r w:rsidRPr="00FD016C">
        <w:rPr>
          <w:rFonts w:ascii="Verdana" w:hAnsi="Verdana"/>
          <w:sz w:val="20"/>
          <w:szCs w:val="20"/>
        </w:rPr>
        <w:t xml:space="preserve">foram submetidos à análise do órgão licenciador, a Comissão Nacional de Energia Nuclear – CNEN, atendendo sua solicitação. </w:t>
      </w:r>
    </w:p>
    <w:p w14:paraId="632867D2" w14:textId="34401957" w:rsidR="00F95655" w:rsidRPr="00FD016C" w:rsidRDefault="00F95655" w:rsidP="009B0F85">
      <w:pPr>
        <w:jc w:val="both"/>
        <w:rPr>
          <w:rFonts w:ascii="Verdana" w:hAnsi="Verdana"/>
          <w:sz w:val="20"/>
          <w:szCs w:val="20"/>
        </w:rPr>
      </w:pPr>
    </w:p>
    <w:p w14:paraId="4249BB50" w14:textId="0D628A76" w:rsidR="00F95655" w:rsidRPr="00FD016C" w:rsidRDefault="00F95655" w:rsidP="00F95655">
      <w:pPr>
        <w:jc w:val="both"/>
        <w:rPr>
          <w:rFonts w:ascii="Verdana" w:hAnsi="Verdana"/>
          <w:sz w:val="20"/>
          <w:szCs w:val="20"/>
        </w:rPr>
      </w:pPr>
      <w:r w:rsidRPr="00FD016C">
        <w:rPr>
          <w:rFonts w:ascii="Verdana" w:hAnsi="Verdana"/>
          <w:sz w:val="20"/>
          <w:szCs w:val="20"/>
        </w:rPr>
        <w:t>Durante a parada de Angra 2</w:t>
      </w:r>
      <w:r w:rsidR="00E35967" w:rsidRPr="00FD016C">
        <w:rPr>
          <w:rFonts w:ascii="Verdana" w:hAnsi="Verdana"/>
          <w:sz w:val="20"/>
          <w:szCs w:val="20"/>
        </w:rPr>
        <w:t xml:space="preserve"> </w:t>
      </w:r>
      <w:r w:rsidRPr="00FD016C">
        <w:rPr>
          <w:rFonts w:ascii="Verdana" w:hAnsi="Verdana"/>
          <w:sz w:val="20"/>
          <w:szCs w:val="20"/>
        </w:rPr>
        <w:t xml:space="preserve">iniciada no dia 6 de junho de 2021, verificou-se que os </w:t>
      </w:r>
      <w:r w:rsidR="00E35967" w:rsidRPr="00FD016C">
        <w:rPr>
          <w:rFonts w:ascii="Verdana" w:hAnsi="Verdana"/>
          <w:sz w:val="20"/>
          <w:szCs w:val="20"/>
        </w:rPr>
        <w:t xml:space="preserve">elementos combustíveis </w:t>
      </w:r>
      <w:r w:rsidRPr="00FD016C">
        <w:rPr>
          <w:rFonts w:ascii="Verdana" w:hAnsi="Verdana"/>
          <w:sz w:val="20"/>
          <w:szCs w:val="20"/>
        </w:rPr>
        <w:t xml:space="preserve">do lote S carregados na última parada da usina, apresentavam oxidações </w:t>
      </w:r>
      <w:r w:rsidRPr="00FD016C">
        <w:rPr>
          <w:rFonts w:ascii="Verdana" w:hAnsi="Verdana"/>
          <w:sz w:val="20"/>
          <w:szCs w:val="20"/>
        </w:rPr>
        <w:lastRenderedPageBreak/>
        <w:t xml:space="preserve">semelhantes ao ocorrido </w:t>
      </w:r>
      <w:r w:rsidR="00032A83" w:rsidRPr="00FD016C">
        <w:rPr>
          <w:rFonts w:ascii="Verdana" w:hAnsi="Verdana"/>
          <w:sz w:val="20"/>
          <w:szCs w:val="20"/>
        </w:rPr>
        <w:t>nos elementos</w:t>
      </w:r>
      <w:r w:rsidR="00E35967" w:rsidRPr="00FD016C">
        <w:rPr>
          <w:rFonts w:ascii="Verdana" w:hAnsi="Verdana"/>
          <w:sz w:val="20"/>
          <w:szCs w:val="20"/>
        </w:rPr>
        <w:t xml:space="preserve"> combustíveis </w:t>
      </w:r>
      <w:r w:rsidRPr="00FD016C">
        <w:rPr>
          <w:rFonts w:ascii="Verdana" w:hAnsi="Verdana"/>
          <w:sz w:val="20"/>
          <w:szCs w:val="20"/>
        </w:rPr>
        <w:t xml:space="preserve">do lote R. </w:t>
      </w:r>
      <w:r w:rsidR="00032A83" w:rsidRPr="00FD016C">
        <w:rPr>
          <w:rFonts w:ascii="Verdana" w:hAnsi="Verdana"/>
          <w:sz w:val="20"/>
          <w:szCs w:val="20"/>
        </w:rPr>
        <w:t>Dos 56 (cinquenta e seis) elementos combustív</w:t>
      </w:r>
      <w:r w:rsidR="00092066">
        <w:rPr>
          <w:rFonts w:ascii="Verdana" w:hAnsi="Verdana"/>
          <w:sz w:val="20"/>
          <w:szCs w:val="20"/>
        </w:rPr>
        <w:t>eis</w:t>
      </w:r>
      <w:r w:rsidR="00032A83" w:rsidRPr="00FD016C">
        <w:rPr>
          <w:rFonts w:ascii="Verdana" w:hAnsi="Verdana"/>
          <w:sz w:val="20"/>
          <w:szCs w:val="20"/>
        </w:rPr>
        <w:t xml:space="preserve"> do lote S, </w:t>
      </w:r>
      <w:r w:rsidRPr="00FD016C">
        <w:rPr>
          <w:rFonts w:ascii="Verdana" w:hAnsi="Verdana"/>
          <w:sz w:val="20"/>
          <w:szCs w:val="20"/>
        </w:rPr>
        <w:t xml:space="preserve">40 </w:t>
      </w:r>
      <w:r w:rsidR="00032A83" w:rsidRPr="00FD016C">
        <w:rPr>
          <w:rFonts w:ascii="Verdana" w:hAnsi="Verdana"/>
          <w:sz w:val="20"/>
          <w:szCs w:val="20"/>
        </w:rPr>
        <w:t xml:space="preserve">(quarenta) elementos </w:t>
      </w:r>
      <w:r w:rsidRPr="00FD016C">
        <w:rPr>
          <w:rFonts w:ascii="Verdana" w:hAnsi="Verdana"/>
          <w:sz w:val="20"/>
          <w:szCs w:val="20"/>
        </w:rPr>
        <w:t xml:space="preserve">foram carregados no núcleo após inspeção visual e medição da camada de óxido. Desta forma, 16 </w:t>
      </w:r>
      <w:r w:rsidR="00032A83" w:rsidRPr="00FD016C">
        <w:rPr>
          <w:rFonts w:ascii="Verdana" w:hAnsi="Verdana"/>
          <w:sz w:val="20"/>
          <w:szCs w:val="20"/>
        </w:rPr>
        <w:t xml:space="preserve">(dezesseis) elementos combustíveis </w:t>
      </w:r>
      <w:r w:rsidRPr="00FD016C">
        <w:rPr>
          <w:rFonts w:ascii="Verdana" w:hAnsi="Verdana"/>
          <w:sz w:val="20"/>
          <w:szCs w:val="20"/>
        </w:rPr>
        <w:t>do lote S foram armazenados na Piscina de Combustível Usado (PCU), os quais serão avaliados</w:t>
      </w:r>
      <w:r w:rsidR="00032A83" w:rsidRPr="00FD016C">
        <w:rPr>
          <w:rFonts w:ascii="Verdana" w:hAnsi="Verdana"/>
          <w:sz w:val="20"/>
          <w:szCs w:val="20"/>
        </w:rPr>
        <w:t xml:space="preserve"> quanto ao retorno </w:t>
      </w:r>
      <w:r w:rsidRPr="00FD016C">
        <w:rPr>
          <w:rFonts w:ascii="Verdana" w:hAnsi="Verdana"/>
          <w:sz w:val="20"/>
          <w:szCs w:val="20"/>
        </w:rPr>
        <w:t>ao núcleo</w:t>
      </w:r>
      <w:r w:rsidR="00032A83" w:rsidRPr="00FD016C">
        <w:rPr>
          <w:rFonts w:ascii="Verdana" w:hAnsi="Verdana"/>
          <w:sz w:val="20"/>
          <w:szCs w:val="20"/>
        </w:rPr>
        <w:t xml:space="preserve"> do reator de Angra 2</w:t>
      </w:r>
      <w:r w:rsidRPr="00FD016C">
        <w:rPr>
          <w:rFonts w:ascii="Verdana" w:hAnsi="Verdana"/>
          <w:sz w:val="20"/>
          <w:szCs w:val="20"/>
        </w:rPr>
        <w:t>.</w:t>
      </w:r>
    </w:p>
    <w:p w14:paraId="3FD65B29" w14:textId="77777777" w:rsidR="00F95655" w:rsidRPr="00FD016C" w:rsidRDefault="00F95655" w:rsidP="009B0F85">
      <w:pPr>
        <w:jc w:val="both"/>
        <w:rPr>
          <w:rFonts w:ascii="Verdana" w:hAnsi="Verdana"/>
          <w:sz w:val="20"/>
          <w:szCs w:val="20"/>
        </w:rPr>
      </w:pPr>
    </w:p>
    <w:p w14:paraId="7D6D989E" w14:textId="49A7454E" w:rsidR="00F95655" w:rsidRPr="00FD016C" w:rsidRDefault="009B0F85" w:rsidP="009B0F85">
      <w:pPr>
        <w:jc w:val="both"/>
        <w:rPr>
          <w:rFonts w:ascii="Verdana" w:hAnsi="Verdana"/>
          <w:sz w:val="20"/>
          <w:szCs w:val="20"/>
        </w:rPr>
      </w:pPr>
      <w:r w:rsidRPr="00FD016C">
        <w:rPr>
          <w:rFonts w:ascii="Verdana" w:hAnsi="Verdana"/>
          <w:sz w:val="20"/>
          <w:szCs w:val="20"/>
        </w:rPr>
        <w:t xml:space="preserve">A ELETRONUCLEAR, dando continuidade ao estudo do mecanismo de oxidação destes elementos combustíveis, decidiu recarregar </w:t>
      </w:r>
      <w:r w:rsidR="008566C1" w:rsidRPr="00FD016C">
        <w:rPr>
          <w:rFonts w:ascii="Verdana" w:hAnsi="Verdana"/>
          <w:sz w:val="20"/>
          <w:szCs w:val="20"/>
        </w:rPr>
        <w:t>4 (</w:t>
      </w:r>
      <w:r w:rsidRPr="00FD016C">
        <w:rPr>
          <w:rFonts w:ascii="Verdana" w:hAnsi="Verdana"/>
          <w:sz w:val="20"/>
          <w:szCs w:val="20"/>
        </w:rPr>
        <w:t>quatro</w:t>
      </w:r>
      <w:r w:rsidR="008566C1" w:rsidRPr="00FD016C">
        <w:rPr>
          <w:rFonts w:ascii="Verdana" w:hAnsi="Verdana"/>
          <w:sz w:val="20"/>
          <w:szCs w:val="20"/>
        </w:rPr>
        <w:t>)</w:t>
      </w:r>
      <w:r w:rsidRPr="00FD016C">
        <w:rPr>
          <w:rFonts w:ascii="Verdana" w:hAnsi="Verdana"/>
          <w:sz w:val="20"/>
          <w:szCs w:val="20"/>
        </w:rPr>
        <w:t xml:space="preserve"> elementos combustíveis menos oxidados </w:t>
      </w:r>
      <w:r w:rsidR="008566C1" w:rsidRPr="00FD016C">
        <w:rPr>
          <w:rFonts w:ascii="Verdana" w:hAnsi="Verdana"/>
          <w:sz w:val="20"/>
          <w:szCs w:val="20"/>
        </w:rPr>
        <w:t>dos</w:t>
      </w:r>
      <w:r w:rsidRPr="00FD016C">
        <w:rPr>
          <w:rFonts w:ascii="Verdana" w:hAnsi="Verdana"/>
          <w:sz w:val="20"/>
          <w:szCs w:val="20"/>
        </w:rPr>
        <w:t xml:space="preserve"> 52 (cinquenta e dois) </w:t>
      </w:r>
      <w:r w:rsidR="008566C1" w:rsidRPr="00FD016C">
        <w:rPr>
          <w:rFonts w:ascii="Verdana" w:hAnsi="Verdana"/>
          <w:sz w:val="20"/>
          <w:szCs w:val="20"/>
        </w:rPr>
        <w:t>do lote R no ciclo 18, iniciado no dia 22 de julho</w:t>
      </w:r>
      <w:r w:rsidR="00F66953" w:rsidRPr="00FD016C">
        <w:rPr>
          <w:rFonts w:ascii="Verdana" w:hAnsi="Verdana"/>
          <w:sz w:val="20"/>
          <w:szCs w:val="20"/>
        </w:rPr>
        <w:t xml:space="preserve"> de 2021</w:t>
      </w:r>
      <w:r w:rsidRPr="00FD016C">
        <w:rPr>
          <w:rFonts w:ascii="Verdana" w:hAnsi="Verdana"/>
          <w:sz w:val="20"/>
          <w:szCs w:val="20"/>
        </w:rPr>
        <w:t xml:space="preserve">. </w:t>
      </w:r>
      <w:r w:rsidR="008566C1" w:rsidRPr="00FD016C">
        <w:rPr>
          <w:rFonts w:ascii="Verdana" w:hAnsi="Verdana"/>
          <w:sz w:val="20"/>
          <w:szCs w:val="20"/>
        </w:rPr>
        <w:t>O nível de oxidação destes elementos combustíveis ao final do deste ciclo operacional determinará quantos e quais elementos combustíveis do lote R poderão ser utilizados por mais dois ciclos operacionais. E os 40 (quarenta) elementos de combustível nuclear do lote S serão avaliados ao final deste ciclo quanto a viabilidade de retorno ao núcleo do reator por mais ciclos operacionais. Reduzindo assim a quantidade de elementos combustíveis falhados.</w:t>
      </w:r>
    </w:p>
    <w:p w14:paraId="09B783BD" w14:textId="77777777" w:rsidR="009B0F85" w:rsidRPr="00FD016C" w:rsidRDefault="009B0F85" w:rsidP="009B0F85">
      <w:pPr>
        <w:jc w:val="both"/>
        <w:rPr>
          <w:rFonts w:ascii="Verdana" w:hAnsi="Verdana"/>
          <w:sz w:val="20"/>
          <w:szCs w:val="20"/>
        </w:rPr>
      </w:pPr>
    </w:p>
    <w:p w14:paraId="6045A6F3" w14:textId="0DDC79A9" w:rsidR="009B0F85" w:rsidRPr="00FD016C" w:rsidRDefault="009B0F85" w:rsidP="009B0F85">
      <w:pPr>
        <w:jc w:val="both"/>
        <w:rPr>
          <w:rFonts w:ascii="Verdana" w:hAnsi="Verdana"/>
          <w:sz w:val="20"/>
          <w:szCs w:val="20"/>
        </w:rPr>
      </w:pPr>
      <w:r w:rsidRPr="00FD016C">
        <w:rPr>
          <w:rFonts w:ascii="Verdana" w:hAnsi="Verdana"/>
          <w:sz w:val="20"/>
          <w:szCs w:val="20"/>
        </w:rPr>
        <w:t xml:space="preserve">A </w:t>
      </w:r>
      <w:proofErr w:type="spellStart"/>
      <w:r w:rsidRPr="00FD016C">
        <w:rPr>
          <w:rFonts w:ascii="Verdana" w:hAnsi="Verdana"/>
          <w:sz w:val="20"/>
          <w:szCs w:val="20"/>
        </w:rPr>
        <w:t>Framatome</w:t>
      </w:r>
      <w:proofErr w:type="spellEnd"/>
      <w:r w:rsidRPr="00FD016C">
        <w:rPr>
          <w:rFonts w:ascii="Verdana" w:hAnsi="Verdana"/>
          <w:sz w:val="20"/>
          <w:szCs w:val="20"/>
        </w:rPr>
        <w:t xml:space="preserve"> enviou a prévia do relatório de análise de causa raiz pa</w:t>
      </w:r>
      <w:r w:rsidR="00E3604E" w:rsidRPr="00FD016C">
        <w:rPr>
          <w:rFonts w:ascii="Verdana" w:hAnsi="Verdana"/>
          <w:sz w:val="20"/>
          <w:szCs w:val="20"/>
        </w:rPr>
        <w:t xml:space="preserve">ra verificação da ELETRONUCLEAR. Os comentários foram enviados à </w:t>
      </w:r>
      <w:proofErr w:type="spellStart"/>
      <w:r w:rsidR="00E3604E" w:rsidRPr="00FD016C">
        <w:rPr>
          <w:rFonts w:ascii="Verdana" w:hAnsi="Verdana"/>
          <w:sz w:val="20"/>
          <w:szCs w:val="20"/>
        </w:rPr>
        <w:t>Framatome</w:t>
      </w:r>
      <w:proofErr w:type="spellEnd"/>
      <w:r w:rsidR="00E3604E" w:rsidRPr="00FD016C">
        <w:rPr>
          <w:rFonts w:ascii="Verdana" w:hAnsi="Verdana"/>
          <w:sz w:val="20"/>
          <w:szCs w:val="20"/>
        </w:rPr>
        <w:t xml:space="preserve"> e a previsão de recebimento do relatório </w:t>
      </w:r>
      <w:r w:rsidRPr="00FD016C">
        <w:rPr>
          <w:rFonts w:ascii="Verdana" w:hAnsi="Verdana"/>
          <w:sz w:val="20"/>
          <w:szCs w:val="20"/>
        </w:rPr>
        <w:t>final</w:t>
      </w:r>
      <w:r w:rsidR="00E3604E" w:rsidRPr="00FD016C">
        <w:rPr>
          <w:rFonts w:ascii="Verdana" w:hAnsi="Verdana"/>
          <w:sz w:val="20"/>
          <w:szCs w:val="20"/>
        </w:rPr>
        <w:t xml:space="preserve"> é </w:t>
      </w:r>
      <w:r w:rsidR="00470634">
        <w:rPr>
          <w:rFonts w:ascii="Verdana" w:hAnsi="Verdana"/>
          <w:sz w:val="20"/>
          <w:szCs w:val="20"/>
        </w:rPr>
        <w:t>para a primeira</w:t>
      </w:r>
      <w:r w:rsidR="00DF50CE">
        <w:rPr>
          <w:rFonts w:ascii="Verdana" w:hAnsi="Verdana"/>
          <w:sz w:val="20"/>
          <w:szCs w:val="20"/>
        </w:rPr>
        <w:t xml:space="preserve"> quinzena de novembro</w:t>
      </w:r>
      <w:r w:rsidR="00470634">
        <w:rPr>
          <w:rFonts w:ascii="Verdana" w:hAnsi="Verdana"/>
          <w:sz w:val="20"/>
          <w:szCs w:val="20"/>
        </w:rPr>
        <w:t xml:space="preserve"> de 2021</w:t>
      </w:r>
      <w:r w:rsidRPr="00FD016C">
        <w:rPr>
          <w:rFonts w:ascii="Verdana" w:hAnsi="Verdana"/>
          <w:sz w:val="20"/>
          <w:szCs w:val="20"/>
        </w:rPr>
        <w:t xml:space="preserve">, </w:t>
      </w:r>
      <w:r w:rsidR="00E3604E" w:rsidRPr="00FD016C">
        <w:rPr>
          <w:rFonts w:ascii="Verdana" w:hAnsi="Verdana"/>
          <w:sz w:val="20"/>
          <w:szCs w:val="20"/>
        </w:rPr>
        <w:t xml:space="preserve">para submissão </w:t>
      </w:r>
      <w:r w:rsidRPr="00FD016C">
        <w:rPr>
          <w:rFonts w:ascii="Verdana" w:hAnsi="Verdana"/>
          <w:sz w:val="20"/>
          <w:szCs w:val="20"/>
        </w:rPr>
        <w:t>à análise do órgão licenciador, a Comissão Nacional de Energia Nuclear - CNEN.</w:t>
      </w:r>
    </w:p>
    <w:p w14:paraId="6B22A871" w14:textId="77777777" w:rsidR="009B0F85" w:rsidRPr="00FD016C" w:rsidRDefault="009B0F85" w:rsidP="009B0F85">
      <w:pPr>
        <w:jc w:val="both"/>
        <w:rPr>
          <w:rFonts w:ascii="Verdana" w:hAnsi="Verdana"/>
          <w:sz w:val="20"/>
          <w:szCs w:val="20"/>
        </w:rPr>
      </w:pPr>
    </w:p>
    <w:p w14:paraId="16950568" w14:textId="60E3C795" w:rsidR="00562FE4" w:rsidRPr="00FD016C" w:rsidRDefault="00562FE4" w:rsidP="00562FE4">
      <w:pPr>
        <w:jc w:val="both"/>
        <w:rPr>
          <w:rFonts w:ascii="Verdana" w:hAnsi="Verdana"/>
          <w:color w:val="000000"/>
          <w:sz w:val="20"/>
          <w:szCs w:val="20"/>
        </w:rPr>
      </w:pPr>
      <w:r w:rsidRPr="00FD016C">
        <w:rPr>
          <w:rFonts w:ascii="Verdana" w:hAnsi="Verdana"/>
          <w:color w:val="000000"/>
          <w:sz w:val="20"/>
          <w:szCs w:val="20"/>
        </w:rPr>
        <w:t xml:space="preserve">Vale destacar que esses eventos, em nenhum momento, comprometeram a segurança e o desempenho da Usina </w:t>
      </w:r>
      <w:r w:rsidRPr="0014106D">
        <w:rPr>
          <w:rFonts w:ascii="Verdana" w:hAnsi="Verdana"/>
          <w:color w:val="000000"/>
          <w:sz w:val="20"/>
          <w:szCs w:val="20"/>
        </w:rPr>
        <w:t>Angra 2, que operou continuamente.</w:t>
      </w:r>
      <w:r w:rsidRPr="00FD016C">
        <w:rPr>
          <w:rFonts w:ascii="Verdana" w:hAnsi="Verdana"/>
          <w:color w:val="000000"/>
          <w:sz w:val="20"/>
          <w:szCs w:val="20"/>
        </w:rPr>
        <w:t xml:space="preserve"> </w:t>
      </w:r>
      <w:r w:rsidR="008B354A" w:rsidRPr="00FD016C">
        <w:rPr>
          <w:rFonts w:ascii="Verdana" w:hAnsi="Verdana"/>
          <w:color w:val="000000"/>
          <w:sz w:val="20"/>
          <w:szCs w:val="20"/>
        </w:rPr>
        <w:t xml:space="preserve">Após </w:t>
      </w:r>
      <w:r w:rsidR="00E77915" w:rsidRPr="00FD016C">
        <w:rPr>
          <w:rFonts w:ascii="Verdana" w:hAnsi="Verdana"/>
          <w:color w:val="000000"/>
          <w:sz w:val="20"/>
          <w:szCs w:val="20"/>
        </w:rPr>
        <w:t xml:space="preserve">o término da parada para reabastecimento e </w:t>
      </w:r>
      <w:r w:rsidR="008B354A" w:rsidRPr="00FD016C">
        <w:rPr>
          <w:rFonts w:ascii="Verdana" w:hAnsi="Verdana"/>
          <w:sz w:val="20"/>
          <w:szCs w:val="20"/>
        </w:rPr>
        <w:t>o retorno da usina ao SIN no dia 22 de julho de 2021</w:t>
      </w:r>
      <w:r w:rsidR="00F77EA8" w:rsidRPr="00FD016C">
        <w:rPr>
          <w:rFonts w:ascii="Verdana" w:hAnsi="Verdana"/>
          <w:sz w:val="20"/>
          <w:szCs w:val="20"/>
        </w:rPr>
        <w:t xml:space="preserve"> (início do ciclo 18)</w:t>
      </w:r>
      <w:r w:rsidR="008B354A" w:rsidRPr="00FD016C">
        <w:rPr>
          <w:rFonts w:ascii="Verdana" w:hAnsi="Verdana"/>
          <w:sz w:val="20"/>
          <w:szCs w:val="20"/>
        </w:rPr>
        <w:t xml:space="preserve">, </w:t>
      </w:r>
      <w:r w:rsidRPr="00FD016C">
        <w:rPr>
          <w:rFonts w:ascii="Verdana" w:hAnsi="Verdana"/>
          <w:color w:val="000000"/>
          <w:sz w:val="20"/>
          <w:szCs w:val="20"/>
        </w:rPr>
        <w:t xml:space="preserve">a usina </w:t>
      </w:r>
      <w:r w:rsidR="00690BC3" w:rsidRPr="00FD016C">
        <w:rPr>
          <w:rFonts w:ascii="Verdana" w:hAnsi="Verdana"/>
          <w:color w:val="000000"/>
          <w:sz w:val="20"/>
          <w:szCs w:val="20"/>
        </w:rPr>
        <w:t xml:space="preserve">retornou a </w:t>
      </w:r>
      <w:r w:rsidRPr="00FD016C">
        <w:rPr>
          <w:rFonts w:ascii="Verdana" w:hAnsi="Verdana"/>
          <w:color w:val="000000"/>
          <w:sz w:val="20"/>
          <w:szCs w:val="20"/>
        </w:rPr>
        <w:t xml:space="preserve">operação normal à 100 % da potência nominal. </w:t>
      </w:r>
    </w:p>
    <w:p w14:paraId="0F7B00FA" w14:textId="77777777" w:rsidR="007733B4" w:rsidRPr="00FD016C" w:rsidRDefault="007733B4" w:rsidP="00562FE4">
      <w:pPr>
        <w:jc w:val="both"/>
        <w:rPr>
          <w:rFonts w:ascii="Verdana" w:hAnsi="Verdana"/>
          <w:color w:val="000000"/>
          <w:sz w:val="20"/>
          <w:szCs w:val="20"/>
        </w:rPr>
      </w:pPr>
    </w:p>
    <w:p w14:paraId="249B0343" w14:textId="12640BFE" w:rsidR="007733B4" w:rsidRPr="00FD016C" w:rsidRDefault="007733B4" w:rsidP="007733B4">
      <w:pPr>
        <w:jc w:val="both"/>
        <w:rPr>
          <w:rFonts w:ascii="Verdana" w:hAnsi="Verdana"/>
          <w:sz w:val="20"/>
          <w:szCs w:val="20"/>
          <w:lang w:eastAsia="en-GB"/>
        </w:rPr>
      </w:pPr>
      <w:r w:rsidRPr="00FD016C">
        <w:rPr>
          <w:rFonts w:ascii="Verdana" w:hAnsi="Verdana"/>
          <w:sz w:val="20"/>
          <w:szCs w:val="20"/>
          <w:lang w:eastAsia="en-GB"/>
        </w:rPr>
        <w:t xml:space="preserve">O montante de desvio negativo (ressarcimento) de R$ 366.114 (R$ </w:t>
      </w:r>
      <w:r w:rsidR="00AD4F0C">
        <w:rPr>
          <w:rFonts w:ascii="Verdana" w:hAnsi="Verdana"/>
          <w:sz w:val="20"/>
          <w:szCs w:val="20"/>
          <w:lang w:eastAsia="en-GB"/>
        </w:rPr>
        <w:t xml:space="preserve">267.111 </w:t>
      </w:r>
      <w:r w:rsidRPr="00FD016C">
        <w:rPr>
          <w:rFonts w:ascii="Verdana" w:hAnsi="Verdana"/>
          <w:sz w:val="20"/>
          <w:szCs w:val="20"/>
          <w:lang w:eastAsia="en-GB"/>
        </w:rPr>
        <w:t>em</w:t>
      </w:r>
      <w:r w:rsidR="0058227B">
        <w:rPr>
          <w:rFonts w:ascii="Verdana" w:hAnsi="Verdana"/>
          <w:sz w:val="20"/>
          <w:szCs w:val="20"/>
          <w:lang w:eastAsia="en-GB"/>
        </w:rPr>
        <w:t xml:space="preserve"> 31</w:t>
      </w:r>
      <w:r w:rsidRPr="00FD016C">
        <w:rPr>
          <w:rFonts w:ascii="Verdana" w:hAnsi="Verdana"/>
          <w:sz w:val="20"/>
          <w:szCs w:val="20"/>
          <w:lang w:eastAsia="en-GB"/>
        </w:rPr>
        <w:t xml:space="preserve"> dezembro de 2020), decorre de a energia fornecida ter sido menor que a energia garantida para o exercício de 2020 e 2021, visto que o tempo de parada de manutenção da Usina de Angra 2 em 2020 foi superior ao programado para o ano e a performance da Usina Angra 2 no período de agosto </w:t>
      </w:r>
      <w:r w:rsidR="00470634">
        <w:rPr>
          <w:rFonts w:ascii="Verdana" w:hAnsi="Verdana"/>
          <w:sz w:val="20"/>
          <w:szCs w:val="20"/>
          <w:lang w:eastAsia="en-GB"/>
        </w:rPr>
        <w:t xml:space="preserve">de </w:t>
      </w:r>
      <w:r w:rsidRPr="00FD016C">
        <w:rPr>
          <w:rFonts w:ascii="Verdana" w:hAnsi="Verdana"/>
          <w:sz w:val="20"/>
          <w:szCs w:val="20"/>
          <w:lang w:eastAsia="en-GB"/>
        </w:rPr>
        <w:t>2020 a</w:t>
      </w:r>
      <w:r w:rsidR="00C72D63">
        <w:rPr>
          <w:rFonts w:ascii="Verdana" w:hAnsi="Verdana"/>
          <w:sz w:val="20"/>
          <w:szCs w:val="20"/>
          <w:lang w:eastAsia="en-GB"/>
        </w:rPr>
        <w:t xml:space="preserve"> junho</w:t>
      </w:r>
      <w:r w:rsidRPr="00FD016C">
        <w:rPr>
          <w:rFonts w:ascii="Verdana" w:hAnsi="Verdana"/>
          <w:sz w:val="20"/>
          <w:szCs w:val="20"/>
          <w:lang w:eastAsia="en-GB"/>
        </w:rPr>
        <w:t xml:space="preserve"> </w:t>
      </w:r>
      <w:r w:rsidR="00470634">
        <w:rPr>
          <w:rFonts w:ascii="Verdana" w:hAnsi="Verdana"/>
          <w:sz w:val="20"/>
          <w:szCs w:val="20"/>
          <w:lang w:eastAsia="en-GB"/>
        </w:rPr>
        <w:t xml:space="preserve">de </w:t>
      </w:r>
      <w:r w:rsidRPr="00FD016C">
        <w:rPr>
          <w:rFonts w:ascii="Verdana" w:hAnsi="Verdana"/>
          <w:sz w:val="20"/>
          <w:szCs w:val="20"/>
          <w:lang w:eastAsia="en-GB"/>
        </w:rPr>
        <w:t xml:space="preserve">2021 não atingiu a capacidade máxima (a Usina Angra 2 operou em 90% de sua capacidade durante o ciclo 17). Está composto pelo saldo do desvio negativo do exercício de 2020 no montante de R$ 89.037 e pelo desvio negativo até setembro de 2021 no montante de R$ 277.077. </w:t>
      </w:r>
    </w:p>
    <w:p w14:paraId="69D8FA81" w14:textId="77777777" w:rsidR="007733B4" w:rsidRPr="00FD016C" w:rsidRDefault="007733B4" w:rsidP="007733B4">
      <w:pPr>
        <w:jc w:val="both"/>
        <w:rPr>
          <w:rFonts w:ascii="Verdana" w:hAnsi="Verdana"/>
          <w:sz w:val="20"/>
          <w:szCs w:val="20"/>
          <w:lang w:eastAsia="en-GB"/>
        </w:rPr>
      </w:pPr>
    </w:p>
    <w:p w14:paraId="440F068C" w14:textId="4D656E20" w:rsidR="007733B4" w:rsidRPr="00FD016C" w:rsidRDefault="007733B4" w:rsidP="007733B4">
      <w:pPr>
        <w:jc w:val="both"/>
        <w:rPr>
          <w:rFonts w:ascii="Verdana" w:hAnsi="Verdana"/>
          <w:sz w:val="20"/>
          <w:szCs w:val="20"/>
          <w:lang w:eastAsia="en-GB"/>
        </w:rPr>
      </w:pPr>
      <w:r w:rsidRPr="00FD016C">
        <w:rPr>
          <w:rFonts w:ascii="Verdana" w:hAnsi="Verdana"/>
          <w:sz w:val="20"/>
          <w:szCs w:val="20"/>
          <w:lang w:eastAsia="en-GB"/>
        </w:rPr>
        <w:t xml:space="preserve">O </w:t>
      </w:r>
      <w:r w:rsidR="00AD4F0C">
        <w:rPr>
          <w:rFonts w:ascii="Verdana" w:hAnsi="Verdana"/>
          <w:sz w:val="20"/>
          <w:szCs w:val="20"/>
          <w:lang w:eastAsia="en-GB"/>
        </w:rPr>
        <w:t xml:space="preserve">saldo do </w:t>
      </w:r>
      <w:r w:rsidRPr="00FD016C">
        <w:rPr>
          <w:rFonts w:ascii="Verdana" w:hAnsi="Verdana"/>
          <w:sz w:val="20"/>
          <w:szCs w:val="20"/>
          <w:lang w:eastAsia="en-GB"/>
        </w:rPr>
        <w:t>desvio negativo (ressarcimento) do exercício de 2020 no montante R$ 89.037 corresponde à quantidade de energia entregue a menor em 2020 valorado ao máximo entre o Preço de Liquidação de Diferenças - PLD médio do ano de referência e a tarifa homologada pela Aneel na Resolução nº 2.661 de 17 de dezembro de 2019; e será ressarcido a todas concessionárias, permissionárias ou autorizadas de serviço público de distribuição do Sistema Interligado Nacional – SIN, em parcelas duodecimais até janeiro de 2022. E o montante estimado de desvio negativo em setembro 2021 no montante de R$ 277.077 será ressarcido em parcelas duodecimais a partir de fevereiro de 2022.</w:t>
      </w:r>
    </w:p>
    <w:p w14:paraId="62D20BB5" w14:textId="77777777" w:rsidR="002C2732" w:rsidRPr="00FD016C" w:rsidRDefault="002C2732" w:rsidP="00804EE3">
      <w:pPr>
        <w:jc w:val="both"/>
        <w:rPr>
          <w:rFonts w:ascii="Verdana" w:hAnsi="Verdana"/>
          <w:sz w:val="20"/>
          <w:szCs w:val="20"/>
          <w:lang w:eastAsia="en-GB"/>
        </w:rPr>
      </w:pPr>
    </w:p>
    <w:p w14:paraId="706BE9B8" w14:textId="3F048838" w:rsidR="003F5AEE" w:rsidRPr="00FD016C" w:rsidRDefault="003F5AEE" w:rsidP="005144E2">
      <w:pPr>
        <w:pStyle w:val="Corpodetexto"/>
        <w:jc w:val="both"/>
        <w:rPr>
          <w:rFonts w:ascii="Verdana" w:hAnsi="Verdana" w:cs="Arial"/>
          <w:sz w:val="20"/>
          <w:szCs w:val="20"/>
        </w:rPr>
      </w:pPr>
      <w:bookmarkStart w:id="0" w:name="_Hlk66659087"/>
      <w:r w:rsidRPr="00FD016C">
        <w:rPr>
          <w:rFonts w:ascii="Verdana" w:hAnsi="Verdana" w:cs="Arial"/>
          <w:sz w:val="20"/>
          <w:szCs w:val="20"/>
        </w:rPr>
        <w:t>Assim considerando, exceto pelos fatos acima narrados, entende a administração da ELETRONUCLEAR, não haver nenhuma outra expectativa econômica e financeira que possa indicar um risco de d</w:t>
      </w:r>
      <w:r w:rsidR="00782DCE" w:rsidRPr="00FD016C">
        <w:rPr>
          <w:rFonts w:ascii="Verdana" w:hAnsi="Verdana" w:cs="Arial"/>
          <w:sz w:val="20"/>
          <w:szCs w:val="20"/>
        </w:rPr>
        <w:t>escontinuidade operacional das U</w:t>
      </w:r>
      <w:r w:rsidRPr="00FD016C">
        <w:rPr>
          <w:rFonts w:ascii="Verdana" w:hAnsi="Verdana" w:cs="Arial"/>
          <w:sz w:val="20"/>
          <w:szCs w:val="20"/>
        </w:rPr>
        <w:t>sinas Angra 1 e 2</w:t>
      </w:r>
      <w:r w:rsidR="007916E3" w:rsidRPr="00FD016C">
        <w:rPr>
          <w:rFonts w:ascii="Verdana" w:hAnsi="Verdana" w:cs="Arial"/>
          <w:sz w:val="20"/>
          <w:szCs w:val="20"/>
        </w:rPr>
        <w:t>.</w:t>
      </w:r>
    </w:p>
    <w:p w14:paraId="76F21BCC" w14:textId="77777777" w:rsidR="003F4719" w:rsidRPr="00FD016C" w:rsidRDefault="003F4719" w:rsidP="00263F18">
      <w:pPr>
        <w:pStyle w:val="Corpodetexto"/>
        <w:jc w:val="both"/>
        <w:rPr>
          <w:rFonts w:ascii="Verdana" w:hAnsi="Verdana" w:cs="Arial"/>
          <w:sz w:val="20"/>
          <w:szCs w:val="20"/>
        </w:rPr>
      </w:pPr>
    </w:p>
    <w:p w14:paraId="1CBF8F81" w14:textId="7966E9DF" w:rsidR="00B74905" w:rsidRPr="00FD016C" w:rsidRDefault="00B74905" w:rsidP="005144E2">
      <w:pPr>
        <w:jc w:val="both"/>
        <w:rPr>
          <w:rFonts w:ascii="Verdana" w:hAnsi="Verdana" w:cs="Arial"/>
          <w:sz w:val="20"/>
          <w:szCs w:val="20"/>
        </w:rPr>
      </w:pPr>
      <w:r w:rsidRPr="00FD016C">
        <w:rPr>
          <w:rFonts w:ascii="Verdana" w:hAnsi="Verdana" w:cs="Arial"/>
          <w:sz w:val="20"/>
          <w:szCs w:val="20"/>
        </w:rPr>
        <w:t>Com o objetivo de caracterizar a situação atual de Angra 3 e as implicações d</w:t>
      </w:r>
      <w:r w:rsidR="0085155A" w:rsidRPr="00FD016C">
        <w:rPr>
          <w:rFonts w:ascii="Verdana" w:hAnsi="Verdana" w:cs="Arial"/>
          <w:sz w:val="20"/>
          <w:szCs w:val="20"/>
        </w:rPr>
        <w:t>a</w:t>
      </w:r>
      <w:r w:rsidRPr="00FD016C">
        <w:rPr>
          <w:rFonts w:ascii="Verdana" w:hAnsi="Verdana" w:cs="Arial"/>
          <w:sz w:val="20"/>
          <w:szCs w:val="20"/>
        </w:rPr>
        <w:t xml:space="preserve"> sua paralisação para a ELETRONUCLEAR e para o Sistema Eletrobras, a administração da </w:t>
      </w:r>
      <w:r w:rsidR="008A67F0" w:rsidRPr="00FD016C">
        <w:rPr>
          <w:rFonts w:ascii="Verdana" w:hAnsi="Verdana" w:cs="Arial"/>
          <w:sz w:val="20"/>
          <w:szCs w:val="20"/>
        </w:rPr>
        <w:t>Companhia</w:t>
      </w:r>
      <w:r w:rsidRPr="00FD016C">
        <w:rPr>
          <w:rFonts w:ascii="Verdana" w:hAnsi="Verdana" w:cs="Arial"/>
          <w:sz w:val="20"/>
          <w:szCs w:val="20"/>
        </w:rPr>
        <w:t xml:space="preserve"> vem conduzindo iniciativas para a implantação de um Plano de Ações </w:t>
      </w:r>
      <w:r w:rsidR="003C4F3B" w:rsidRPr="00FD016C">
        <w:rPr>
          <w:rFonts w:ascii="Verdana" w:hAnsi="Verdana" w:cs="Arial"/>
          <w:sz w:val="20"/>
          <w:szCs w:val="20"/>
        </w:rPr>
        <w:t>visando o</w:t>
      </w:r>
      <w:r w:rsidRPr="00FD016C">
        <w:rPr>
          <w:rFonts w:ascii="Verdana" w:hAnsi="Verdana" w:cs="Arial"/>
          <w:sz w:val="20"/>
          <w:szCs w:val="20"/>
        </w:rPr>
        <w:t xml:space="preserve"> equacionamento das </w:t>
      </w:r>
      <w:r w:rsidRPr="00FD016C">
        <w:rPr>
          <w:rFonts w:ascii="Verdana" w:hAnsi="Verdana" w:cs="Arial"/>
          <w:sz w:val="20"/>
          <w:szCs w:val="20"/>
        </w:rPr>
        <w:lastRenderedPageBreak/>
        <w:t>condições necessárias à plena retomada e conclusão do empreendimento.</w:t>
      </w:r>
    </w:p>
    <w:p w14:paraId="7BF11569" w14:textId="77777777" w:rsidR="000F5A6F" w:rsidRPr="00FD016C" w:rsidRDefault="000F5A6F" w:rsidP="005144E2">
      <w:pPr>
        <w:jc w:val="both"/>
        <w:rPr>
          <w:rFonts w:ascii="Verdana" w:hAnsi="Verdana" w:cs="Arial"/>
          <w:sz w:val="20"/>
          <w:szCs w:val="20"/>
        </w:rPr>
      </w:pPr>
    </w:p>
    <w:p w14:paraId="1D40B844" w14:textId="77777777" w:rsidR="00804309" w:rsidRPr="00FD016C" w:rsidRDefault="00804309" w:rsidP="00804309">
      <w:pPr>
        <w:spacing w:line="240" w:lineRule="auto"/>
        <w:jc w:val="both"/>
        <w:rPr>
          <w:rFonts w:ascii="Verdana" w:hAnsi="Verdana" w:cs="Arial"/>
          <w:color w:val="000000"/>
          <w:sz w:val="20"/>
          <w:szCs w:val="20"/>
        </w:rPr>
      </w:pPr>
      <w:r w:rsidRPr="00FD016C">
        <w:rPr>
          <w:rFonts w:ascii="Verdana" w:hAnsi="Verdana" w:cs="Arial"/>
          <w:iCs/>
          <w:color w:val="000000"/>
          <w:sz w:val="20"/>
          <w:szCs w:val="20"/>
        </w:rPr>
        <w:t>Desde 2016, a ELETRONUCLEAR vem buscando assessoria de consultorias especializadas visando à conclusão de Angra 3. Foram elas:</w:t>
      </w:r>
    </w:p>
    <w:p w14:paraId="56E9CE4F" w14:textId="77777777" w:rsidR="00804309" w:rsidRPr="00FD016C" w:rsidRDefault="00804309" w:rsidP="00804309">
      <w:pPr>
        <w:spacing w:line="240" w:lineRule="auto"/>
        <w:ind w:left="360"/>
        <w:jc w:val="both"/>
        <w:rPr>
          <w:rFonts w:ascii="Verdana" w:hAnsi="Verdana" w:cs="Arial"/>
          <w:color w:val="000000"/>
          <w:sz w:val="20"/>
          <w:szCs w:val="20"/>
        </w:rPr>
      </w:pPr>
      <w:r w:rsidRPr="00FD016C">
        <w:rPr>
          <w:rFonts w:ascii="Verdana" w:hAnsi="Verdana" w:cs="Arial"/>
          <w:iCs/>
          <w:color w:val="000000"/>
          <w:sz w:val="20"/>
          <w:szCs w:val="20"/>
        </w:rPr>
        <w:t> </w:t>
      </w:r>
    </w:p>
    <w:p w14:paraId="629CA316" w14:textId="745FD9D3" w:rsidR="00804309" w:rsidRPr="00FD016C" w:rsidRDefault="00804309" w:rsidP="008A67F0">
      <w:pPr>
        <w:spacing w:line="264" w:lineRule="atLeast"/>
        <w:ind w:left="1418" w:hanging="698"/>
        <w:jc w:val="both"/>
        <w:rPr>
          <w:rFonts w:ascii="Verdana" w:hAnsi="Verdana" w:cs="Arial"/>
          <w:color w:val="000000"/>
          <w:sz w:val="20"/>
          <w:szCs w:val="20"/>
        </w:rPr>
      </w:pPr>
      <w:r w:rsidRPr="00FD016C">
        <w:rPr>
          <w:rFonts w:ascii="Verdana" w:hAnsi="Verdana" w:cs="Arial"/>
          <w:b/>
          <w:iCs/>
          <w:color w:val="000000"/>
          <w:sz w:val="20"/>
          <w:szCs w:val="20"/>
        </w:rPr>
        <w:t>(i)</w:t>
      </w:r>
      <w:r w:rsidRPr="00FD016C">
        <w:rPr>
          <w:rFonts w:ascii="Verdana" w:hAnsi="Verdana" w:cs="Arial"/>
          <w:iCs/>
          <w:color w:val="000000"/>
          <w:sz w:val="20"/>
          <w:szCs w:val="20"/>
        </w:rPr>
        <w:t>   </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Deloitte Consultores - Para auditar o status das obras civis e verificar irregularidades apresentadas pelo Tribunal de Contas da União - TCU por meio de Relatório de Fiscalização (TC n. 002.651/2015-7), bem como efetuar uma análise da estimativa dos custos relacionados ao cancelamento das obras de implantação da usina, bem como da estimativa de custos para sua conclusão </w:t>
      </w:r>
      <w:r w:rsidR="008A67F0" w:rsidRPr="00FD016C">
        <w:rPr>
          <w:rFonts w:ascii="Verdana" w:hAnsi="Verdana" w:cs="Arial"/>
          <w:iCs/>
          <w:color w:val="000000"/>
          <w:sz w:val="20"/>
          <w:szCs w:val="20"/>
        </w:rPr>
        <w:t xml:space="preserve">- </w:t>
      </w:r>
      <w:proofErr w:type="spellStart"/>
      <w:r w:rsidRPr="00FD016C">
        <w:rPr>
          <w:rFonts w:ascii="Verdana" w:hAnsi="Verdana" w:cs="Arial"/>
          <w:i/>
          <w:iCs/>
          <w:color w:val="000000"/>
          <w:sz w:val="20"/>
          <w:szCs w:val="20"/>
        </w:rPr>
        <w:t>Cost</w:t>
      </w:r>
      <w:proofErr w:type="spellEnd"/>
      <w:r w:rsidRPr="00FD016C">
        <w:rPr>
          <w:rFonts w:ascii="Verdana" w:hAnsi="Verdana" w:cs="Arial"/>
          <w:i/>
          <w:iCs/>
          <w:color w:val="000000"/>
          <w:sz w:val="20"/>
          <w:szCs w:val="20"/>
        </w:rPr>
        <w:t xml:space="preserve"> </w:t>
      </w:r>
      <w:proofErr w:type="spellStart"/>
      <w:r w:rsidRPr="00FD016C">
        <w:rPr>
          <w:rFonts w:ascii="Verdana" w:hAnsi="Verdana" w:cs="Arial"/>
          <w:i/>
          <w:iCs/>
          <w:color w:val="000000"/>
          <w:sz w:val="20"/>
          <w:szCs w:val="20"/>
        </w:rPr>
        <w:t>to</w:t>
      </w:r>
      <w:proofErr w:type="spellEnd"/>
      <w:r w:rsidRPr="00FD016C">
        <w:rPr>
          <w:rFonts w:ascii="Verdana" w:hAnsi="Verdana" w:cs="Arial"/>
          <w:i/>
          <w:iCs/>
          <w:color w:val="000000"/>
          <w:sz w:val="20"/>
          <w:szCs w:val="20"/>
        </w:rPr>
        <w:t xml:space="preserve"> Complete</w:t>
      </w:r>
      <w:r w:rsidRPr="00FD016C">
        <w:rPr>
          <w:rFonts w:ascii="Verdana" w:hAnsi="Verdana" w:cs="Arial"/>
          <w:iCs/>
          <w:color w:val="000000"/>
          <w:sz w:val="20"/>
          <w:szCs w:val="20"/>
        </w:rPr>
        <w:t>, foi contratada a Deloitte Consultores. Foi analisada a procedência das constatações do TCU, bem como estudos de mecanismos de ajuizamentos de ações em ressarcimentos a eventuais prejuízos identificados. Já a orçamentação de Angra 3 foi estruturada em rubricas de diversas disciplinas e áreas envolvidas na construção da obra. Foi desenvolvido um modelo econômico-financeiro para o cancelamento do projeto, contemplando as projeções financeiras na data base de 30 de junho de 2016. O custo total estimado de cancelamento da Usina Termonuclear -UTN Angra 3 considerou o custo de desmobilização das obras já existentes, a multa rescisória do contrato de comercialização e o custo financeiro de liquidação dos empréstimos vigentes;</w:t>
      </w:r>
    </w:p>
    <w:p w14:paraId="2E295C88" w14:textId="77777777" w:rsidR="00804309" w:rsidRPr="00FD016C" w:rsidRDefault="00804309" w:rsidP="00804309">
      <w:pPr>
        <w:spacing w:line="240" w:lineRule="auto"/>
        <w:ind w:left="360"/>
        <w:jc w:val="both"/>
        <w:rPr>
          <w:rFonts w:ascii="Verdana" w:hAnsi="Verdana" w:cs="Arial"/>
          <w:color w:val="000000"/>
          <w:sz w:val="20"/>
          <w:szCs w:val="20"/>
        </w:rPr>
      </w:pPr>
      <w:r w:rsidRPr="00FD016C">
        <w:rPr>
          <w:rFonts w:ascii="Verdana" w:hAnsi="Verdana" w:cs="Arial"/>
          <w:iCs/>
          <w:color w:val="000000"/>
          <w:sz w:val="20"/>
          <w:szCs w:val="20"/>
        </w:rPr>
        <w:t> </w:t>
      </w:r>
    </w:p>
    <w:p w14:paraId="03CFA992" w14:textId="11A674C2" w:rsidR="00804309" w:rsidRPr="00FD016C" w:rsidRDefault="00804309" w:rsidP="00804309">
      <w:pPr>
        <w:spacing w:line="264" w:lineRule="atLeast"/>
        <w:ind w:left="1440" w:hanging="720"/>
        <w:jc w:val="both"/>
        <w:rPr>
          <w:rFonts w:ascii="Verdana" w:hAnsi="Verdana" w:cs="Arial"/>
          <w:color w:val="000000"/>
          <w:sz w:val="20"/>
          <w:szCs w:val="20"/>
        </w:rPr>
      </w:pPr>
      <w:r w:rsidRPr="00FD016C">
        <w:rPr>
          <w:rFonts w:ascii="Verdana" w:hAnsi="Verdana" w:cs="Arial"/>
          <w:b/>
          <w:iCs/>
          <w:color w:val="000000"/>
          <w:sz w:val="20"/>
          <w:szCs w:val="20"/>
        </w:rPr>
        <w:t>(</w:t>
      </w:r>
      <w:proofErr w:type="spellStart"/>
      <w:r w:rsidRPr="00FD016C">
        <w:rPr>
          <w:rFonts w:ascii="Verdana" w:hAnsi="Verdana" w:cs="Arial"/>
          <w:b/>
          <w:iCs/>
          <w:color w:val="000000"/>
          <w:sz w:val="20"/>
          <w:szCs w:val="20"/>
        </w:rPr>
        <w:t>ii</w:t>
      </w:r>
      <w:proofErr w:type="spellEnd"/>
      <w:r w:rsidRPr="00FD016C">
        <w:rPr>
          <w:rFonts w:ascii="Verdana" w:hAnsi="Verdana" w:cs="Arial"/>
          <w:b/>
          <w:iCs/>
          <w:color w:val="000000"/>
          <w:sz w:val="20"/>
          <w:szCs w:val="20"/>
        </w:rPr>
        <w:t>)</w:t>
      </w:r>
      <w:r w:rsidRPr="00FD016C">
        <w:rPr>
          <w:rFonts w:ascii="Verdana" w:hAnsi="Verdana" w:cs="Arial"/>
          <w:iCs/>
          <w:color w:val="000000"/>
          <w:sz w:val="20"/>
          <w:szCs w:val="20"/>
        </w:rPr>
        <w:t>    </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Alvarez &amp; </w:t>
      </w:r>
      <w:proofErr w:type="spellStart"/>
      <w:r w:rsidRPr="00FD016C">
        <w:rPr>
          <w:rFonts w:ascii="Verdana" w:hAnsi="Verdana" w:cs="Arial"/>
          <w:iCs/>
          <w:color w:val="000000"/>
          <w:sz w:val="20"/>
          <w:szCs w:val="20"/>
        </w:rPr>
        <w:t>Marsal</w:t>
      </w:r>
      <w:proofErr w:type="spellEnd"/>
      <w:r w:rsidRPr="00FD016C">
        <w:rPr>
          <w:rFonts w:ascii="Verdana" w:hAnsi="Verdana" w:cs="Arial"/>
          <w:iCs/>
          <w:color w:val="000000"/>
          <w:sz w:val="20"/>
          <w:szCs w:val="20"/>
        </w:rPr>
        <w:t xml:space="preserve"> - Tomando como</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 base</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 os </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relatórios</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 da</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 Deloitte,</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 foi contratada uma consultoria especializada na estruturação de empresas, com conhecimento na avaliação da construção e operação de usinas nucleares, a Alvarez &amp; </w:t>
      </w:r>
      <w:proofErr w:type="spellStart"/>
      <w:r w:rsidRPr="00FD016C">
        <w:rPr>
          <w:rFonts w:ascii="Verdana" w:hAnsi="Verdana" w:cs="Arial"/>
          <w:iCs/>
          <w:color w:val="000000"/>
          <w:sz w:val="20"/>
          <w:szCs w:val="20"/>
        </w:rPr>
        <w:t>Marsal</w:t>
      </w:r>
      <w:proofErr w:type="spellEnd"/>
      <w:r w:rsidRPr="00FD016C">
        <w:rPr>
          <w:rFonts w:ascii="Verdana" w:hAnsi="Verdana" w:cs="Arial"/>
          <w:iCs/>
          <w:color w:val="000000"/>
          <w:sz w:val="20"/>
          <w:szCs w:val="20"/>
        </w:rPr>
        <w:t>, para realizar os estudos econômico-financeiros necessários para viabilizar uma parceria que atenda questões operacionais e financeiras de acordo com a visão societária definida pela Companhia e assessorá-la no processo de retomada do empreendimento, incluindo assessoria no pleito de revisão tarifária de Angra 3 e a estruturação financeira e operacional com um parceiro, provavelmente internacional. Foram avaliados diversos cenários e modelos de negócio.</w:t>
      </w:r>
    </w:p>
    <w:p w14:paraId="50A9098C" w14:textId="77777777" w:rsidR="00804309" w:rsidRPr="00FD016C" w:rsidRDefault="00804309" w:rsidP="00804309">
      <w:pPr>
        <w:spacing w:line="240" w:lineRule="auto"/>
        <w:ind w:left="360"/>
        <w:jc w:val="both"/>
        <w:rPr>
          <w:rFonts w:ascii="Verdana" w:hAnsi="Verdana" w:cs="Arial"/>
          <w:color w:val="000000"/>
          <w:sz w:val="20"/>
          <w:szCs w:val="20"/>
        </w:rPr>
      </w:pPr>
      <w:r w:rsidRPr="00FD016C">
        <w:rPr>
          <w:rFonts w:ascii="Verdana" w:hAnsi="Verdana" w:cs="Arial"/>
          <w:iCs/>
          <w:color w:val="000000"/>
          <w:sz w:val="20"/>
          <w:szCs w:val="20"/>
        </w:rPr>
        <w:t> </w:t>
      </w:r>
    </w:p>
    <w:p w14:paraId="7FE032F2" w14:textId="7BD791C3" w:rsidR="00804309" w:rsidRPr="00FD016C" w:rsidRDefault="00804309" w:rsidP="00804309">
      <w:pPr>
        <w:spacing w:line="264" w:lineRule="atLeast"/>
        <w:ind w:left="1440" w:hanging="720"/>
        <w:jc w:val="both"/>
        <w:rPr>
          <w:rFonts w:ascii="Verdana" w:hAnsi="Verdana" w:cs="Arial"/>
          <w:color w:val="000000"/>
          <w:sz w:val="20"/>
          <w:szCs w:val="20"/>
        </w:rPr>
      </w:pPr>
      <w:r w:rsidRPr="00FD016C">
        <w:rPr>
          <w:rFonts w:ascii="Verdana" w:hAnsi="Verdana" w:cs="Arial"/>
          <w:b/>
          <w:iCs/>
          <w:color w:val="000000"/>
          <w:sz w:val="20"/>
          <w:szCs w:val="20"/>
        </w:rPr>
        <w:t>(</w:t>
      </w:r>
      <w:proofErr w:type="spellStart"/>
      <w:r w:rsidRPr="00FD016C">
        <w:rPr>
          <w:rFonts w:ascii="Verdana" w:hAnsi="Verdana" w:cs="Arial"/>
          <w:b/>
          <w:iCs/>
          <w:color w:val="000000"/>
          <w:sz w:val="20"/>
          <w:szCs w:val="20"/>
        </w:rPr>
        <w:t>iii</w:t>
      </w:r>
      <w:proofErr w:type="spellEnd"/>
      <w:r w:rsidRPr="00FD016C">
        <w:rPr>
          <w:rFonts w:ascii="Verdana" w:hAnsi="Verdana" w:cs="Arial"/>
          <w:b/>
          <w:iCs/>
          <w:color w:val="000000"/>
          <w:sz w:val="20"/>
          <w:szCs w:val="20"/>
        </w:rPr>
        <w:t>)</w:t>
      </w:r>
      <w:r w:rsidRPr="00FD016C">
        <w:rPr>
          <w:rFonts w:ascii="Verdana" w:hAnsi="Verdana" w:cs="Arial"/>
          <w:iCs/>
          <w:color w:val="000000"/>
          <w:sz w:val="20"/>
          <w:szCs w:val="20"/>
        </w:rPr>
        <w:t>    </w:t>
      </w:r>
      <w:proofErr w:type="spellStart"/>
      <w:r w:rsidR="008A67F0" w:rsidRPr="00FD016C">
        <w:rPr>
          <w:rFonts w:ascii="Verdana" w:hAnsi="Verdana" w:cs="Arial"/>
          <w:iCs/>
          <w:color w:val="000000"/>
          <w:sz w:val="20"/>
          <w:szCs w:val="20"/>
        </w:rPr>
        <w:t>V</w:t>
      </w:r>
      <w:r w:rsidRPr="00FD016C">
        <w:rPr>
          <w:rFonts w:ascii="Verdana" w:hAnsi="Verdana" w:cs="Arial"/>
          <w:iCs/>
          <w:color w:val="000000"/>
          <w:sz w:val="20"/>
          <w:szCs w:val="20"/>
        </w:rPr>
        <w:t>eirano</w:t>
      </w:r>
      <w:proofErr w:type="spellEnd"/>
      <w:r w:rsidRPr="00FD016C">
        <w:rPr>
          <w:rFonts w:ascii="Verdana" w:hAnsi="Verdana" w:cs="Arial"/>
          <w:iCs/>
          <w:color w:val="000000"/>
          <w:sz w:val="20"/>
          <w:szCs w:val="20"/>
        </w:rPr>
        <w:t xml:space="preserve"> Advogados </w:t>
      </w:r>
      <w:r w:rsidR="008A67F0" w:rsidRPr="00FD016C">
        <w:rPr>
          <w:rFonts w:ascii="Verdana" w:hAnsi="Verdana" w:cs="Arial"/>
          <w:iCs/>
          <w:color w:val="000000"/>
          <w:sz w:val="20"/>
          <w:szCs w:val="20"/>
        </w:rPr>
        <w:t>–</w:t>
      </w:r>
      <w:r w:rsidRPr="00FD016C">
        <w:rPr>
          <w:rFonts w:ascii="Verdana" w:hAnsi="Verdana" w:cs="Arial"/>
          <w:iCs/>
          <w:color w:val="000000"/>
          <w:sz w:val="20"/>
          <w:szCs w:val="20"/>
        </w:rPr>
        <w:t xml:space="preserve"> Para</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analisar a legalidade da</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possível</w:t>
      </w:r>
      <w:r w:rsidR="008A67F0" w:rsidRPr="00FD016C">
        <w:rPr>
          <w:rFonts w:ascii="Verdana" w:hAnsi="Verdana" w:cs="Arial"/>
          <w:iCs/>
          <w:color w:val="000000"/>
          <w:sz w:val="20"/>
          <w:szCs w:val="20"/>
        </w:rPr>
        <w:t xml:space="preserve"> </w:t>
      </w:r>
      <w:r w:rsidRPr="00FD016C">
        <w:rPr>
          <w:rFonts w:ascii="Verdana" w:hAnsi="Verdana" w:cs="Arial"/>
          <w:iCs/>
          <w:color w:val="000000"/>
          <w:sz w:val="20"/>
          <w:szCs w:val="20"/>
        </w:rPr>
        <w:t xml:space="preserve">estrutura societária do negócio e do ambiente regulatório dos cenários estudados pela Alvarez &amp; </w:t>
      </w:r>
      <w:proofErr w:type="spellStart"/>
      <w:r w:rsidRPr="00FD016C">
        <w:rPr>
          <w:rFonts w:ascii="Verdana" w:hAnsi="Verdana" w:cs="Arial"/>
          <w:iCs/>
          <w:color w:val="000000"/>
          <w:sz w:val="20"/>
          <w:szCs w:val="20"/>
        </w:rPr>
        <w:t>Marsal</w:t>
      </w:r>
      <w:proofErr w:type="spellEnd"/>
      <w:r w:rsidRPr="00FD016C">
        <w:rPr>
          <w:rFonts w:ascii="Verdana" w:hAnsi="Verdana" w:cs="Arial"/>
          <w:iCs/>
          <w:color w:val="000000"/>
          <w:sz w:val="20"/>
          <w:szCs w:val="20"/>
        </w:rPr>
        <w:t>, bem como do modelo de efetivação da parceri</w:t>
      </w:r>
      <w:r w:rsidR="008A67F0" w:rsidRPr="00FD016C">
        <w:rPr>
          <w:rFonts w:ascii="Verdana" w:hAnsi="Verdana" w:cs="Arial"/>
          <w:iCs/>
          <w:color w:val="000000"/>
          <w:sz w:val="20"/>
          <w:szCs w:val="20"/>
        </w:rPr>
        <w:t>a em avaliação, foi contratado a</w:t>
      </w:r>
      <w:r w:rsidRPr="00FD016C">
        <w:rPr>
          <w:rFonts w:ascii="Verdana" w:hAnsi="Verdana" w:cs="Arial"/>
          <w:iCs/>
          <w:color w:val="000000"/>
          <w:sz w:val="20"/>
          <w:szCs w:val="20"/>
        </w:rPr>
        <w:t xml:space="preserve"> </w:t>
      </w:r>
      <w:proofErr w:type="spellStart"/>
      <w:r w:rsidRPr="00FD016C">
        <w:rPr>
          <w:rFonts w:ascii="Verdana" w:hAnsi="Verdana" w:cs="Arial"/>
          <w:iCs/>
          <w:color w:val="000000"/>
          <w:sz w:val="20"/>
          <w:szCs w:val="20"/>
        </w:rPr>
        <w:t>Veirano</w:t>
      </w:r>
      <w:proofErr w:type="spellEnd"/>
      <w:r w:rsidRPr="00FD016C">
        <w:rPr>
          <w:rFonts w:ascii="Verdana" w:hAnsi="Verdana" w:cs="Arial"/>
          <w:iCs/>
          <w:color w:val="000000"/>
          <w:sz w:val="20"/>
          <w:szCs w:val="20"/>
        </w:rPr>
        <w:t xml:space="preserve"> Advogados, uma consultoria jurídica especializada em direito societário, com vasta experiência no setor elétrico.</w:t>
      </w:r>
    </w:p>
    <w:p w14:paraId="570F6E1E" w14:textId="77777777" w:rsidR="00804309" w:rsidRPr="00FD016C" w:rsidRDefault="00804309" w:rsidP="00804309">
      <w:pPr>
        <w:spacing w:line="264" w:lineRule="atLeast"/>
        <w:ind w:left="1440"/>
        <w:jc w:val="both"/>
        <w:rPr>
          <w:rFonts w:ascii="Verdana" w:hAnsi="Verdana" w:cs="Arial"/>
          <w:color w:val="000000"/>
          <w:sz w:val="20"/>
          <w:szCs w:val="20"/>
        </w:rPr>
      </w:pPr>
      <w:r w:rsidRPr="00FD016C">
        <w:rPr>
          <w:rFonts w:ascii="Verdana" w:hAnsi="Verdana" w:cs="Arial"/>
          <w:iCs/>
          <w:color w:val="000000"/>
          <w:sz w:val="20"/>
          <w:szCs w:val="20"/>
        </w:rPr>
        <w:t> </w:t>
      </w:r>
    </w:p>
    <w:p w14:paraId="060046A6" w14:textId="78EB5880" w:rsidR="00804309" w:rsidRPr="00FD016C" w:rsidRDefault="00804309" w:rsidP="00804309">
      <w:pPr>
        <w:spacing w:line="240" w:lineRule="auto"/>
        <w:jc w:val="both"/>
        <w:rPr>
          <w:rFonts w:ascii="Verdana" w:hAnsi="Verdana" w:cs="Arial"/>
          <w:sz w:val="20"/>
          <w:szCs w:val="20"/>
        </w:rPr>
      </w:pPr>
      <w:r w:rsidRPr="00BF0F2B">
        <w:rPr>
          <w:rFonts w:ascii="Verdana" w:hAnsi="Verdana" w:cs="Arial"/>
          <w:iCs/>
          <w:sz w:val="20"/>
          <w:szCs w:val="20"/>
        </w:rPr>
        <w:t xml:space="preserve">A conclusão das obras da Usina de Angra 3 em condições sustentáveis depende de uma nova estruturação financeira, dado o montante de investimentos </w:t>
      </w:r>
      <w:r w:rsidR="00082508">
        <w:rPr>
          <w:rFonts w:ascii="Verdana" w:hAnsi="Verdana" w:cs="Arial"/>
          <w:iCs/>
          <w:sz w:val="20"/>
          <w:szCs w:val="20"/>
        </w:rPr>
        <w:t xml:space="preserve">(custos diretos) </w:t>
      </w:r>
      <w:r w:rsidRPr="00BF0F2B">
        <w:rPr>
          <w:rFonts w:ascii="Verdana" w:hAnsi="Verdana" w:cs="Arial"/>
          <w:iCs/>
          <w:sz w:val="20"/>
          <w:szCs w:val="20"/>
        </w:rPr>
        <w:t>ainda a realizar, da ordem de R$ 1</w:t>
      </w:r>
      <w:r w:rsidR="0014012D" w:rsidRPr="00BF0F2B">
        <w:rPr>
          <w:rFonts w:ascii="Verdana" w:hAnsi="Verdana" w:cs="Arial"/>
          <w:iCs/>
          <w:sz w:val="20"/>
          <w:szCs w:val="20"/>
        </w:rPr>
        <w:t>8,</w:t>
      </w:r>
      <w:r w:rsidR="00082508">
        <w:rPr>
          <w:rFonts w:ascii="Verdana" w:hAnsi="Verdana" w:cs="Arial"/>
          <w:iCs/>
          <w:sz w:val="20"/>
          <w:szCs w:val="20"/>
        </w:rPr>
        <w:t>9</w:t>
      </w:r>
      <w:r w:rsidRPr="00BF0F2B">
        <w:rPr>
          <w:rFonts w:ascii="Verdana" w:hAnsi="Verdana" w:cs="Arial"/>
          <w:iCs/>
          <w:sz w:val="20"/>
          <w:szCs w:val="20"/>
        </w:rPr>
        <w:t xml:space="preserve"> bilhões</w:t>
      </w:r>
      <w:r w:rsidR="006212CE">
        <w:rPr>
          <w:rFonts w:ascii="Verdana" w:hAnsi="Verdana" w:cs="Arial"/>
          <w:iCs/>
          <w:sz w:val="20"/>
          <w:szCs w:val="20"/>
        </w:rPr>
        <w:t xml:space="preserve"> (não auditado)</w:t>
      </w:r>
      <w:r w:rsidRPr="00BF0F2B">
        <w:rPr>
          <w:rFonts w:ascii="Verdana" w:hAnsi="Verdana" w:cs="Arial"/>
          <w:iCs/>
          <w:sz w:val="20"/>
          <w:szCs w:val="20"/>
        </w:rPr>
        <w:t>.</w:t>
      </w:r>
    </w:p>
    <w:p w14:paraId="53A3084C"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057585E4" w14:textId="16DC6267" w:rsidR="00321671" w:rsidRPr="00FD016C" w:rsidRDefault="00804309" w:rsidP="00321671">
      <w:pPr>
        <w:jc w:val="both"/>
        <w:rPr>
          <w:rFonts w:ascii="Verdana" w:hAnsi="Verdana" w:cs="Arial"/>
          <w:iCs/>
          <w:sz w:val="20"/>
          <w:szCs w:val="20"/>
        </w:rPr>
      </w:pPr>
      <w:r w:rsidRPr="00FD016C">
        <w:rPr>
          <w:rFonts w:ascii="Verdana" w:hAnsi="Verdana" w:cs="Arial"/>
          <w:iCs/>
          <w:sz w:val="20"/>
          <w:szCs w:val="20"/>
        </w:rPr>
        <w:t>Atualmente, a ELETRONUCLEAR não possui garantias disponíveis para conseguir um novo empréstimo, visto que todos os seus ativos já estão comprometidos nos créditos existentes. Além disso, em outubro de 2017</w:t>
      </w:r>
      <w:r w:rsidR="008A67F0" w:rsidRPr="00FD016C">
        <w:rPr>
          <w:rFonts w:ascii="Verdana" w:hAnsi="Verdana" w:cs="Arial"/>
          <w:iCs/>
          <w:sz w:val="20"/>
          <w:szCs w:val="20"/>
        </w:rPr>
        <w:t>,</w:t>
      </w:r>
      <w:r w:rsidRPr="00FD016C">
        <w:rPr>
          <w:rFonts w:ascii="Verdana" w:hAnsi="Verdana" w:cs="Arial"/>
          <w:iCs/>
          <w:sz w:val="20"/>
          <w:szCs w:val="20"/>
        </w:rPr>
        <w:t xml:space="preserve"> expirou o </w:t>
      </w:r>
      <w:proofErr w:type="spellStart"/>
      <w:r w:rsidRPr="00FD016C">
        <w:rPr>
          <w:rFonts w:ascii="Verdana" w:hAnsi="Verdana" w:cs="Arial"/>
          <w:i/>
          <w:iCs/>
          <w:sz w:val="20"/>
          <w:szCs w:val="20"/>
        </w:rPr>
        <w:t>waiver</w:t>
      </w:r>
      <w:proofErr w:type="spellEnd"/>
      <w:r w:rsidRPr="00FD016C">
        <w:rPr>
          <w:rFonts w:ascii="Verdana" w:hAnsi="Verdana" w:cs="Arial"/>
          <w:iCs/>
          <w:sz w:val="20"/>
          <w:szCs w:val="20"/>
        </w:rPr>
        <w:t xml:space="preserve"> contratual do BNDES e em julho de 2018 terminou também o período de carência da CEF, passando a Companhia a ser obrigada a pagar também a parte relativa ao principal da dívida, além dos juros, comprometendo</w:t>
      </w:r>
      <w:r w:rsidR="008A67F0" w:rsidRPr="00FD016C">
        <w:rPr>
          <w:rFonts w:ascii="Verdana" w:hAnsi="Verdana" w:cs="Arial"/>
          <w:iCs/>
          <w:sz w:val="20"/>
          <w:szCs w:val="20"/>
        </w:rPr>
        <w:t>,</w:t>
      </w:r>
      <w:r w:rsidRPr="00FD016C">
        <w:rPr>
          <w:rFonts w:ascii="Verdana" w:hAnsi="Verdana" w:cs="Arial"/>
          <w:iCs/>
          <w:sz w:val="20"/>
          <w:szCs w:val="20"/>
        </w:rPr>
        <w:t xml:space="preserve"> fortemente</w:t>
      </w:r>
      <w:r w:rsidR="008A67F0" w:rsidRPr="00FD016C">
        <w:rPr>
          <w:rFonts w:ascii="Verdana" w:hAnsi="Verdana" w:cs="Arial"/>
          <w:iCs/>
          <w:sz w:val="20"/>
          <w:szCs w:val="20"/>
        </w:rPr>
        <w:t>,</w:t>
      </w:r>
      <w:r w:rsidRPr="00FD016C">
        <w:rPr>
          <w:rFonts w:ascii="Verdana" w:hAnsi="Verdana" w:cs="Arial"/>
          <w:iCs/>
          <w:sz w:val="20"/>
          <w:szCs w:val="20"/>
        </w:rPr>
        <w:t xml:space="preserve"> o </w:t>
      </w:r>
      <w:r w:rsidR="000F2963">
        <w:rPr>
          <w:rFonts w:ascii="Verdana" w:hAnsi="Verdana" w:cs="Arial"/>
          <w:iCs/>
          <w:sz w:val="20"/>
          <w:szCs w:val="20"/>
        </w:rPr>
        <w:t xml:space="preserve">seu </w:t>
      </w:r>
      <w:r w:rsidRPr="00FD016C">
        <w:rPr>
          <w:rFonts w:ascii="Verdana" w:hAnsi="Verdana" w:cs="Arial"/>
          <w:iCs/>
          <w:sz w:val="20"/>
          <w:szCs w:val="20"/>
        </w:rPr>
        <w:t xml:space="preserve">caixa. </w:t>
      </w:r>
      <w:r w:rsidRPr="00FD016C">
        <w:rPr>
          <w:rFonts w:ascii="Verdana" w:hAnsi="Verdana" w:cs="Arial"/>
          <w:sz w:val="20"/>
          <w:szCs w:val="20"/>
        </w:rPr>
        <w:t xml:space="preserve"> </w:t>
      </w:r>
      <w:r w:rsidR="00321671" w:rsidRPr="00FD016C">
        <w:rPr>
          <w:rFonts w:ascii="Verdana" w:hAnsi="Verdana" w:cs="Arial"/>
          <w:iCs/>
          <w:sz w:val="20"/>
          <w:szCs w:val="20"/>
        </w:rPr>
        <w:t>Os pagamentos do serviço da dívida relativos ao contrato de financiamento com o BNDES foram</w:t>
      </w:r>
      <w:r w:rsidRPr="00FD016C">
        <w:rPr>
          <w:rFonts w:ascii="Verdana" w:hAnsi="Verdana" w:cs="Arial"/>
          <w:sz w:val="20"/>
          <w:szCs w:val="20"/>
        </w:rPr>
        <w:t xml:space="preserve"> suspensos </w:t>
      </w:r>
      <w:r w:rsidR="00321671" w:rsidRPr="00FD016C">
        <w:rPr>
          <w:rFonts w:ascii="Verdana" w:hAnsi="Verdana" w:cs="Arial"/>
          <w:iCs/>
          <w:sz w:val="20"/>
          <w:szCs w:val="20"/>
        </w:rPr>
        <w:t xml:space="preserve">durante o período de </w:t>
      </w:r>
      <w:r w:rsidR="004B3D16" w:rsidRPr="00FD016C">
        <w:rPr>
          <w:rFonts w:ascii="Verdana" w:hAnsi="Verdana" w:cs="Arial"/>
          <w:iCs/>
          <w:sz w:val="20"/>
          <w:szCs w:val="20"/>
        </w:rPr>
        <w:t>maio</w:t>
      </w:r>
      <w:r w:rsidR="00321671" w:rsidRPr="00FD016C">
        <w:rPr>
          <w:rFonts w:ascii="Verdana" w:hAnsi="Verdana" w:cs="Arial"/>
          <w:iCs/>
          <w:sz w:val="20"/>
          <w:szCs w:val="20"/>
        </w:rPr>
        <w:t xml:space="preserve"> de 2020 a </w:t>
      </w:r>
      <w:r w:rsidR="00753D71" w:rsidRPr="00FD016C">
        <w:rPr>
          <w:rFonts w:ascii="Verdana" w:hAnsi="Verdana" w:cs="Arial"/>
          <w:iCs/>
          <w:sz w:val="20"/>
          <w:szCs w:val="20"/>
        </w:rPr>
        <w:t>o</w:t>
      </w:r>
      <w:r w:rsidR="00321671" w:rsidRPr="00FD016C">
        <w:rPr>
          <w:rFonts w:ascii="Verdana" w:hAnsi="Verdana" w:cs="Arial"/>
          <w:iCs/>
          <w:sz w:val="20"/>
          <w:szCs w:val="20"/>
        </w:rPr>
        <w:t>utubro de 2020, em função das medidas para mitigar os efeitos da pandemia d</w:t>
      </w:r>
      <w:r w:rsidR="00753D71" w:rsidRPr="00FD016C">
        <w:rPr>
          <w:rFonts w:ascii="Verdana" w:hAnsi="Verdana" w:cs="Arial"/>
          <w:iCs/>
          <w:sz w:val="20"/>
          <w:szCs w:val="20"/>
        </w:rPr>
        <w:t>a</w:t>
      </w:r>
      <w:r w:rsidR="00321671" w:rsidRPr="00FD016C">
        <w:rPr>
          <w:rFonts w:ascii="Verdana" w:hAnsi="Verdana" w:cs="Arial"/>
          <w:iCs/>
          <w:sz w:val="20"/>
          <w:szCs w:val="20"/>
        </w:rPr>
        <w:t xml:space="preserve"> COVID-19, com a retomada do</w:t>
      </w:r>
      <w:r w:rsidR="0047582C" w:rsidRPr="00FD016C">
        <w:rPr>
          <w:rFonts w:ascii="Verdana" w:hAnsi="Verdana" w:cs="Arial"/>
          <w:iCs/>
          <w:sz w:val="20"/>
          <w:szCs w:val="20"/>
        </w:rPr>
        <w:t>s</w:t>
      </w:r>
      <w:r w:rsidR="00321671" w:rsidRPr="00FD016C">
        <w:rPr>
          <w:rFonts w:ascii="Verdana" w:hAnsi="Verdana" w:cs="Arial"/>
          <w:iCs/>
          <w:sz w:val="20"/>
          <w:szCs w:val="20"/>
        </w:rPr>
        <w:t xml:space="preserve"> pagamentos das obrigações </w:t>
      </w:r>
      <w:r w:rsidR="004B3D16" w:rsidRPr="00FD016C">
        <w:rPr>
          <w:rFonts w:ascii="Verdana" w:hAnsi="Verdana" w:cs="Arial"/>
          <w:iCs/>
          <w:sz w:val="20"/>
          <w:szCs w:val="20"/>
        </w:rPr>
        <w:t>n</w:t>
      </w:r>
      <w:r w:rsidR="00321671" w:rsidRPr="00FD016C">
        <w:rPr>
          <w:rFonts w:ascii="Verdana" w:hAnsi="Verdana" w:cs="Arial"/>
          <w:iCs/>
          <w:sz w:val="20"/>
          <w:szCs w:val="20"/>
        </w:rPr>
        <w:t xml:space="preserve">o mês de </w:t>
      </w:r>
      <w:r w:rsidR="00753D71" w:rsidRPr="00FD016C">
        <w:rPr>
          <w:rFonts w:ascii="Verdana" w:hAnsi="Verdana" w:cs="Arial"/>
          <w:iCs/>
          <w:sz w:val="20"/>
          <w:szCs w:val="20"/>
        </w:rPr>
        <w:t>n</w:t>
      </w:r>
      <w:r w:rsidR="00321671" w:rsidRPr="00FD016C">
        <w:rPr>
          <w:rFonts w:ascii="Verdana" w:hAnsi="Verdana" w:cs="Arial"/>
          <w:iCs/>
          <w:sz w:val="20"/>
          <w:szCs w:val="20"/>
        </w:rPr>
        <w:t>ovembro</w:t>
      </w:r>
      <w:r w:rsidR="00DE4889" w:rsidRPr="00FD016C">
        <w:rPr>
          <w:rFonts w:ascii="Verdana" w:hAnsi="Verdana" w:cs="Arial"/>
          <w:iCs/>
          <w:sz w:val="20"/>
          <w:szCs w:val="20"/>
        </w:rPr>
        <w:t xml:space="preserve"> de 2020</w:t>
      </w:r>
      <w:r w:rsidRPr="00FD016C">
        <w:rPr>
          <w:rFonts w:ascii="Verdana" w:hAnsi="Verdana" w:cs="Arial"/>
          <w:iCs/>
          <w:sz w:val="20"/>
          <w:szCs w:val="20"/>
        </w:rPr>
        <w:t>.</w:t>
      </w:r>
      <w:r w:rsidR="00321671" w:rsidRPr="00FD016C">
        <w:rPr>
          <w:rFonts w:ascii="Verdana" w:hAnsi="Verdana" w:cs="Arial"/>
          <w:iCs/>
          <w:sz w:val="20"/>
          <w:szCs w:val="20"/>
        </w:rPr>
        <w:t xml:space="preserve"> </w:t>
      </w:r>
    </w:p>
    <w:p w14:paraId="1DFB25DE" w14:textId="77777777" w:rsidR="00321671" w:rsidRPr="00FD016C" w:rsidRDefault="00321671" w:rsidP="00321671">
      <w:pPr>
        <w:rPr>
          <w:rFonts w:ascii="Verdana" w:hAnsi="Verdana" w:cs="Arial"/>
          <w:iCs/>
          <w:sz w:val="20"/>
          <w:szCs w:val="20"/>
        </w:rPr>
      </w:pPr>
    </w:p>
    <w:p w14:paraId="1BC96C16" w14:textId="097DF0A5" w:rsidR="00804309" w:rsidRPr="00FD016C" w:rsidRDefault="00804309" w:rsidP="00C20029">
      <w:pPr>
        <w:spacing w:line="240" w:lineRule="auto"/>
        <w:jc w:val="both"/>
        <w:rPr>
          <w:rFonts w:ascii="Verdana" w:hAnsi="Verdana" w:cs="Arial"/>
          <w:sz w:val="20"/>
          <w:szCs w:val="20"/>
        </w:rPr>
      </w:pPr>
      <w:r w:rsidRPr="00FD016C">
        <w:rPr>
          <w:rFonts w:ascii="Verdana" w:hAnsi="Verdana" w:cs="Arial"/>
          <w:iCs/>
          <w:sz w:val="20"/>
          <w:szCs w:val="20"/>
        </w:rPr>
        <w:lastRenderedPageBreak/>
        <w:t>Uma das grandes questões que precisava ser sanada para que fosse possível prosseguir rumo à conclusão do empreendimento de Angra 3 era a revisão do valor, originalmente, definido para a tarifa de Angra 3, de R$ 237/</w:t>
      </w:r>
      <w:proofErr w:type="spellStart"/>
      <w:r w:rsidRPr="00FD016C">
        <w:rPr>
          <w:rFonts w:ascii="Verdana" w:hAnsi="Verdana" w:cs="Arial"/>
          <w:iCs/>
          <w:sz w:val="20"/>
          <w:szCs w:val="20"/>
        </w:rPr>
        <w:t>MWh</w:t>
      </w:r>
      <w:proofErr w:type="spellEnd"/>
      <w:r w:rsidRPr="00FD016C">
        <w:rPr>
          <w:rFonts w:ascii="Verdana" w:hAnsi="Verdana" w:cs="Arial"/>
          <w:iCs/>
          <w:sz w:val="20"/>
          <w:szCs w:val="20"/>
        </w:rPr>
        <w:t xml:space="preserve"> (vigente entre novembro de 2016 e outubro de 2017). Esse valor apresentava grande defasagem em relação ao necessário para tornar a operação da usina sustentável, bem como inviabilizava a renegociação com credores.</w:t>
      </w:r>
    </w:p>
    <w:p w14:paraId="19443806"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69260236" w14:textId="65271D06"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xml:space="preserve">Para tentar solucionar essa questão, em 05 de junho de 2018, aconteceu a 3ª Reunião Extraordinária do </w:t>
      </w:r>
      <w:r w:rsidR="008A67F0" w:rsidRPr="00FD016C">
        <w:rPr>
          <w:rFonts w:ascii="Verdana" w:hAnsi="Verdana" w:cs="Arial"/>
          <w:iCs/>
          <w:sz w:val="20"/>
          <w:szCs w:val="20"/>
        </w:rPr>
        <w:t xml:space="preserve">Conselho Nacional de Política Energética  - </w:t>
      </w:r>
      <w:r w:rsidRPr="00FD016C">
        <w:rPr>
          <w:rFonts w:ascii="Verdana" w:hAnsi="Verdana" w:cs="Arial"/>
          <w:iCs/>
          <w:sz w:val="20"/>
          <w:szCs w:val="20"/>
        </w:rPr>
        <w:t>CNPE, na qual foi determinada a formação de um Grupo de Trabalho -GT liderado pelo MME, com a participação dos Ministérios do Planejamento e da Fazenda, da Empresa de Pesquisa Energética - EPE, da Eletrobras, da ELETRONUCLEAR e do Gabinete de Segurança Institucional - GSI, visando elaborar, em 60 dias, um documento propondo e justificando a revisão da tarifa de Angra 3 e as medidas necessárias para conclusão do projeto. A versão final do documento foi concluída em setembro de 2018.</w:t>
      </w:r>
    </w:p>
    <w:p w14:paraId="722FCF1F"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2F29BB9E" w14:textId="28914A38"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xml:space="preserve">Em 23 de outubro de 2018, foi publicada no DOU a Resolução nº 14 do CNPE, que estabelece condições iniciais para a viabilização de Angra 3, confirmando as decisões da 4ª Reunião Extraordinária do CNPE, ocorrida no dia 09 de outubro de 2018, que apreciou as considerações do referido Grupo de Trabalho. Tal resolução determinou a aprovação do valor de referência para o preço de energia de Angra </w:t>
      </w:r>
      <w:r w:rsidR="008A67F0" w:rsidRPr="00FD016C">
        <w:rPr>
          <w:rFonts w:ascii="Verdana" w:hAnsi="Verdana" w:cs="Arial"/>
          <w:iCs/>
          <w:sz w:val="20"/>
          <w:szCs w:val="20"/>
        </w:rPr>
        <w:t>3, de R$ 480,00/</w:t>
      </w:r>
      <w:proofErr w:type="spellStart"/>
      <w:r w:rsidR="008A67F0" w:rsidRPr="00FD016C">
        <w:rPr>
          <w:rFonts w:ascii="Verdana" w:hAnsi="Verdana" w:cs="Arial"/>
          <w:iCs/>
          <w:sz w:val="20"/>
          <w:szCs w:val="20"/>
        </w:rPr>
        <w:t>MWh</w:t>
      </w:r>
      <w:proofErr w:type="spellEnd"/>
      <w:r w:rsidR="008A67F0" w:rsidRPr="00FD016C">
        <w:rPr>
          <w:rFonts w:ascii="Verdana" w:hAnsi="Verdana" w:cs="Arial"/>
          <w:iCs/>
          <w:sz w:val="20"/>
          <w:szCs w:val="20"/>
        </w:rPr>
        <w:t xml:space="preserve"> (base julho de </w:t>
      </w:r>
      <w:r w:rsidRPr="00FD016C">
        <w:rPr>
          <w:rFonts w:ascii="Verdana" w:hAnsi="Verdana" w:cs="Arial"/>
          <w:iCs/>
          <w:sz w:val="20"/>
          <w:szCs w:val="20"/>
        </w:rPr>
        <w:t>2018), conforme calculado pela Empresa de pesquisa Energética - EPE, bem como remeter ao Conselho do Programa de Parceria de Investimento a avaliação dos três modelos propostos pelo Grupo de Trabalho para a viabilização de Angra 3 por meio de participação de investidor privado (societária, não societária e sociedade de propósito específico - SPE) e definição do modelo de negócio e processo competitivo mais adequados.</w:t>
      </w:r>
    </w:p>
    <w:p w14:paraId="6F0F70B1"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3E631D67"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Essa revisão tarifária foi fundamental, pois, além de dar condições para a renegociação da dívida, restabeleceu a atratividade do projeto, fortalecendo o interesse dos eventuais parceiros.</w:t>
      </w:r>
    </w:p>
    <w:p w14:paraId="721203C9" w14:textId="67379999"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38282032" w14:textId="1FF5D6F2"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xml:space="preserve">Conforme orientação do Conselho de Programa de Parcerias de Investimentos - CPPI, a ELETRONUCLEAR realizou, em maio e junho de 2019, o processo de </w:t>
      </w:r>
      <w:r w:rsidRPr="00FD016C">
        <w:rPr>
          <w:rFonts w:ascii="Verdana" w:hAnsi="Verdana" w:cs="Arial"/>
          <w:i/>
          <w:iCs/>
          <w:sz w:val="20"/>
          <w:szCs w:val="20"/>
        </w:rPr>
        <w:t xml:space="preserve">Market </w:t>
      </w:r>
      <w:proofErr w:type="spellStart"/>
      <w:r w:rsidRPr="00FD016C">
        <w:rPr>
          <w:rFonts w:ascii="Verdana" w:hAnsi="Verdana" w:cs="Arial"/>
          <w:i/>
          <w:iCs/>
          <w:sz w:val="20"/>
          <w:szCs w:val="20"/>
        </w:rPr>
        <w:t>Sounding</w:t>
      </w:r>
      <w:proofErr w:type="spellEnd"/>
      <w:r w:rsidRPr="00FD016C">
        <w:rPr>
          <w:rFonts w:ascii="Verdana" w:hAnsi="Verdana" w:cs="Arial"/>
          <w:iCs/>
          <w:sz w:val="20"/>
          <w:szCs w:val="20"/>
        </w:rPr>
        <w:t xml:space="preserve"> junto aos potenciais parceiros, detentores e proprietários de tecnologia de usinas nucleares à água pressurizada (PWR), com experiência em construção e comissionamento de usinas nucleares e atuação internacional no setor nuclear. Após convites e confirmações de interesse em participar desta etapa, as empresas que participaram deste processo foram: </w:t>
      </w:r>
      <w:proofErr w:type="spellStart"/>
      <w:r w:rsidRPr="00FD016C">
        <w:rPr>
          <w:rFonts w:ascii="Verdana" w:hAnsi="Verdana" w:cs="Arial"/>
          <w:i/>
          <w:iCs/>
          <w:sz w:val="20"/>
          <w:szCs w:val="20"/>
        </w:rPr>
        <w:t>Électricité</w:t>
      </w:r>
      <w:proofErr w:type="spellEnd"/>
      <w:r w:rsidRPr="00FD016C">
        <w:rPr>
          <w:rFonts w:ascii="Verdana" w:hAnsi="Verdana" w:cs="Arial"/>
          <w:i/>
          <w:iCs/>
          <w:sz w:val="20"/>
          <w:szCs w:val="20"/>
        </w:rPr>
        <w:t xml:space="preserve"> de France</w:t>
      </w:r>
      <w:r w:rsidRPr="00FD016C">
        <w:rPr>
          <w:rFonts w:ascii="Verdana" w:hAnsi="Verdana" w:cs="Arial"/>
          <w:iCs/>
          <w:sz w:val="20"/>
          <w:szCs w:val="20"/>
        </w:rPr>
        <w:t xml:space="preserve"> - EDF e </w:t>
      </w:r>
      <w:proofErr w:type="spellStart"/>
      <w:r w:rsidRPr="00FD016C">
        <w:rPr>
          <w:rFonts w:ascii="Verdana" w:hAnsi="Verdana" w:cs="Arial"/>
          <w:iCs/>
          <w:sz w:val="20"/>
          <w:szCs w:val="20"/>
        </w:rPr>
        <w:t>Framatome</w:t>
      </w:r>
      <w:proofErr w:type="spellEnd"/>
      <w:r w:rsidRPr="00FD016C">
        <w:rPr>
          <w:rFonts w:ascii="Verdana" w:hAnsi="Verdana" w:cs="Arial"/>
          <w:iCs/>
          <w:sz w:val="20"/>
          <w:szCs w:val="20"/>
        </w:rPr>
        <w:t xml:space="preserve"> (ambas da França), </w:t>
      </w:r>
      <w:proofErr w:type="spellStart"/>
      <w:r w:rsidRPr="00FD016C">
        <w:rPr>
          <w:rFonts w:ascii="Verdana" w:hAnsi="Verdana" w:cs="Arial"/>
          <w:i/>
          <w:iCs/>
          <w:sz w:val="20"/>
          <w:szCs w:val="20"/>
        </w:rPr>
        <w:t>Rosatom</w:t>
      </w:r>
      <w:proofErr w:type="spellEnd"/>
      <w:r w:rsidR="00A5428F" w:rsidRPr="00FD016C">
        <w:rPr>
          <w:rFonts w:ascii="Verdana" w:hAnsi="Verdana" w:cs="Arial"/>
          <w:i/>
          <w:iCs/>
          <w:sz w:val="20"/>
          <w:szCs w:val="20"/>
        </w:rPr>
        <w:t xml:space="preserve"> </w:t>
      </w:r>
      <w:proofErr w:type="spellStart"/>
      <w:r w:rsidRPr="00FD016C">
        <w:rPr>
          <w:rFonts w:ascii="Verdana" w:hAnsi="Verdana" w:cs="Arial"/>
          <w:i/>
          <w:iCs/>
          <w:sz w:val="20"/>
          <w:szCs w:val="20"/>
        </w:rPr>
        <w:t>State</w:t>
      </w:r>
      <w:proofErr w:type="spellEnd"/>
      <w:r w:rsidR="00A5428F" w:rsidRPr="00FD016C">
        <w:rPr>
          <w:rFonts w:ascii="Verdana" w:hAnsi="Verdana" w:cs="Arial"/>
          <w:i/>
          <w:iCs/>
          <w:sz w:val="20"/>
          <w:szCs w:val="20"/>
        </w:rPr>
        <w:t xml:space="preserve"> </w:t>
      </w:r>
      <w:proofErr w:type="spellStart"/>
      <w:r w:rsidRPr="00FD016C">
        <w:rPr>
          <w:rFonts w:ascii="Verdana" w:hAnsi="Verdana" w:cs="Arial"/>
          <w:i/>
          <w:iCs/>
          <w:sz w:val="20"/>
          <w:szCs w:val="20"/>
        </w:rPr>
        <w:t>Atomic</w:t>
      </w:r>
      <w:proofErr w:type="spellEnd"/>
      <w:r w:rsidRPr="00FD016C">
        <w:rPr>
          <w:rFonts w:ascii="Verdana" w:hAnsi="Verdana" w:cs="Arial"/>
          <w:i/>
          <w:iCs/>
          <w:sz w:val="20"/>
          <w:szCs w:val="20"/>
        </w:rPr>
        <w:t xml:space="preserve"> Energy Corporation </w:t>
      </w:r>
      <w:r w:rsidRPr="00FD016C">
        <w:rPr>
          <w:rFonts w:ascii="Verdana" w:hAnsi="Verdana" w:cs="Arial"/>
          <w:iCs/>
          <w:sz w:val="20"/>
          <w:szCs w:val="20"/>
        </w:rPr>
        <w:t xml:space="preserve">(Rússia), </w:t>
      </w:r>
      <w:r w:rsidRPr="00FD016C">
        <w:rPr>
          <w:rFonts w:ascii="Verdana" w:hAnsi="Verdana" w:cs="Arial"/>
          <w:i/>
          <w:iCs/>
          <w:sz w:val="20"/>
          <w:szCs w:val="20"/>
        </w:rPr>
        <w:t>China Nacional Nuclear Corporation</w:t>
      </w:r>
      <w:r w:rsidRPr="00FD016C">
        <w:rPr>
          <w:rFonts w:ascii="Verdana" w:hAnsi="Verdana" w:cs="Arial"/>
          <w:iCs/>
          <w:sz w:val="20"/>
          <w:szCs w:val="20"/>
        </w:rPr>
        <w:t xml:space="preserve"> - CNNC e </w:t>
      </w:r>
      <w:proofErr w:type="spellStart"/>
      <w:r w:rsidRPr="00FD016C">
        <w:rPr>
          <w:rFonts w:ascii="Verdana" w:hAnsi="Verdana" w:cs="Arial"/>
          <w:i/>
          <w:iCs/>
          <w:sz w:val="20"/>
          <w:szCs w:val="20"/>
        </w:rPr>
        <w:t>State</w:t>
      </w:r>
      <w:proofErr w:type="spellEnd"/>
      <w:r w:rsidRPr="00FD016C">
        <w:rPr>
          <w:rFonts w:ascii="Verdana" w:hAnsi="Verdana" w:cs="Arial"/>
          <w:i/>
          <w:iCs/>
          <w:sz w:val="20"/>
          <w:szCs w:val="20"/>
        </w:rPr>
        <w:t xml:space="preserve"> Nuclear Power Technology </w:t>
      </w:r>
      <w:r w:rsidR="00A5428F" w:rsidRPr="00FD016C">
        <w:rPr>
          <w:rFonts w:ascii="Verdana" w:hAnsi="Verdana" w:cs="Arial"/>
          <w:iCs/>
          <w:sz w:val="20"/>
          <w:szCs w:val="20"/>
        </w:rPr>
        <w:t>-</w:t>
      </w:r>
      <w:r w:rsidR="00A5428F" w:rsidRPr="00FD016C">
        <w:rPr>
          <w:rFonts w:ascii="Verdana" w:hAnsi="Verdana" w:cs="Arial"/>
          <w:i/>
          <w:iCs/>
          <w:sz w:val="20"/>
          <w:szCs w:val="20"/>
        </w:rPr>
        <w:t xml:space="preserve"> </w:t>
      </w:r>
      <w:r w:rsidRPr="00FD016C">
        <w:rPr>
          <w:rFonts w:ascii="Verdana" w:hAnsi="Verdana" w:cs="Arial"/>
          <w:i/>
          <w:iCs/>
          <w:sz w:val="20"/>
          <w:szCs w:val="20"/>
        </w:rPr>
        <w:t>SNPTC</w:t>
      </w:r>
      <w:r w:rsidRPr="00FD016C">
        <w:rPr>
          <w:rFonts w:ascii="Verdana" w:hAnsi="Verdana" w:cs="Arial"/>
          <w:iCs/>
          <w:sz w:val="20"/>
          <w:szCs w:val="20"/>
        </w:rPr>
        <w:t xml:space="preserve"> (ambas chinesas), </w:t>
      </w:r>
      <w:proofErr w:type="spellStart"/>
      <w:r w:rsidRPr="00FD016C">
        <w:rPr>
          <w:rFonts w:ascii="Verdana" w:hAnsi="Verdana" w:cs="Arial"/>
          <w:i/>
          <w:iCs/>
          <w:sz w:val="20"/>
          <w:szCs w:val="20"/>
        </w:rPr>
        <w:t>Korea</w:t>
      </w:r>
      <w:proofErr w:type="spellEnd"/>
      <w:r w:rsidRPr="00FD016C">
        <w:rPr>
          <w:rFonts w:ascii="Verdana" w:hAnsi="Verdana" w:cs="Arial"/>
          <w:i/>
          <w:iCs/>
          <w:sz w:val="20"/>
          <w:szCs w:val="20"/>
        </w:rPr>
        <w:t xml:space="preserve"> Electric Power Corporation</w:t>
      </w:r>
      <w:r w:rsidRPr="00FD016C">
        <w:rPr>
          <w:rFonts w:ascii="Verdana" w:hAnsi="Verdana" w:cs="Arial"/>
          <w:iCs/>
          <w:sz w:val="20"/>
          <w:szCs w:val="20"/>
        </w:rPr>
        <w:t xml:space="preserve"> - KEPCO (Coréia) e </w:t>
      </w:r>
      <w:proofErr w:type="spellStart"/>
      <w:r w:rsidRPr="00FD016C">
        <w:rPr>
          <w:rFonts w:ascii="Verdana" w:hAnsi="Verdana" w:cs="Arial"/>
          <w:i/>
          <w:iCs/>
          <w:sz w:val="20"/>
          <w:szCs w:val="20"/>
        </w:rPr>
        <w:t>Westinghouse</w:t>
      </w:r>
      <w:proofErr w:type="spellEnd"/>
      <w:r w:rsidRPr="00FD016C">
        <w:rPr>
          <w:rFonts w:ascii="Verdana" w:hAnsi="Verdana" w:cs="Arial"/>
          <w:iCs/>
          <w:sz w:val="20"/>
          <w:szCs w:val="20"/>
        </w:rPr>
        <w:t xml:space="preserve"> (EUA). Os potenciais parceiros enviaram seus questionamentos sobre o documento recebido e suas considerações sobre os modelos propostos, que foram apresentadas durante reuniões individuais com cada potencial parceiro interessado na viabilização de Angra 3. O relatório com os resultados do processo foi encaminhado à Eletrobras, MME e CPPI em julho de 2019. É importante ressaltar que grande parte dessas empresas já visitaram o sítio e estabeleceram Memorandos de Entendimento com a ELETRONUCLEAR para troca de informações sobre o Projeto.</w:t>
      </w:r>
    </w:p>
    <w:p w14:paraId="7667E079" w14:textId="04980F7F" w:rsidR="00804309" w:rsidRPr="00FD016C" w:rsidRDefault="00804309" w:rsidP="00804309">
      <w:pPr>
        <w:spacing w:line="240" w:lineRule="auto"/>
        <w:jc w:val="both"/>
        <w:rPr>
          <w:rFonts w:ascii="Verdana" w:hAnsi="Verdana" w:cs="Arial"/>
          <w:iCs/>
          <w:sz w:val="20"/>
          <w:szCs w:val="20"/>
        </w:rPr>
      </w:pPr>
      <w:r w:rsidRPr="00FD016C">
        <w:rPr>
          <w:rFonts w:ascii="Verdana" w:hAnsi="Verdana" w:cs="Arial"/>
          <w:iCs/>
          <w:sz w:val="20"/>
          <w:szCs w:val="20"/>
        </w:rPr>
        <w:t> </w:t>
      </w:r>
    </w:p>
    <w:p w14:paraId="0A1B78A6" w14:textId="19936313"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Em 16 de julho de 2019, foi publicado o Decreto Presidencial nº 9915/2019 que qualificou Angra 3 no Programa de Parceria de Investimentos</w:t>
      </w:r>
      <w:r w:rsidR="008A67F0" w:rsidRPr="00FD016C">
        <w:rPr>
          <w:rFonts w:ascii="Verdana" w:hAnsi="Verdana" w:cs="Arial"/>
          <w:iCs/>
          <w:sz w:val="20"/>
          <w:szCs w:val="20"/>
        </w:rPr>
        <w:t xml:space="preserve"> - </w:t>
      </w:r>
      <w:r w:rsidRPr="00FD016C">
        <w:rPr>
          <w:rFonts w:ascii="Verdana" w:hAnsi="Verdana" w:cs="Arial"/>
          <w:iCs/>
          <w:sz w:val="20"/>
          <w:szCs w:val="20"/>
        </w:rPr>
        <w:t xml:space="preserve">PPI. O mesmo decreto criou um Comitê Interministerial para conduzir o processo de definição do modelo de negócio a ser efetivamente adotado. O Comitê é formado por representantes do Ministério de Minas e Energia, Ministério da Economia, do PPI e do Gabinete de Segurança Institucional da Presidência da República. O parágrafo único do </w:t>
      </w:r>
      <w:r w:rsidR="008A67F0" w:rsidRPr="00FD016C">
        <w:rPr>
          <w:rFonts w:ascii="Verdana" w:hAnsi="Verdana" w:cs="Arial"/>
          <w:iCs/>
          <w:sz w:val="20"/>
          <w:szCs w:val="20"/>
        </w:rPr>
        <w:t>a</w:t>
      </w:r>
      <w:r w:rsidRPr="00FD016C">
        <w:rPr>
          <w:rFonts w:ascii="Verdana" w:hAnsi="Verdana" w:cs="Arial"/>
          <w:iCs/>
          <w:sz w:val="20"/>
          <w:szCs w:val="20"/>
        </w:rPr>
        <w:t>rtigo 2º do aludido decreto presidencial prevê que a ELETRONUCLEAR contrate estudos independentes para suportar a decisão final do CPPI, na seleção do modelo.</w:t>
      </w:r>
    </w:p>
    <w:p w14:paraId="5AF020FD"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492E7BF3"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xml:space="preserve">Em 25 de outubro de 2019, foi assinado o contrato com o BNDES para a estruturação do modelo </w:t>
      </w:r>
      <w:r w:rsidRPr="00FD016C">
        <w:rPr>
          <w:rFonts w:ascii="Verdana" w:hAnsi="Verdana" w:cs="Arial"/>
          <w:iCs/>
          <w:sz w:val="20"/>
          <w:szCs w:val="20"/>
        </w:rPr>
        <w:lastRenderedPageBreak/>
        <w:t xml:space="preserve">jurídico, econômico e operacional junto à iniciativa privada para a construção, manutenção e exploração de Angra 3. O escopo do trabalho inclui a avaliação independente do trabalho de modelagem realizado pela ELETRONUCLEAR anteriormente, conjuntamente com a Alvarez &amp; </w:t>
      </w:r>
      <w:proofErr w:type="spellStart"/>
      <w:r w:rsidRPr="00FD016C">
        <w:rPr>
          <w:rFonts w:ascii="Verdana" w:hAnsi="Verdana" w:cs="Arial"/>
          <w:iCs/>
          <w:sz w:val="20"/>
          <w:szCs w:val="20"/>
        </w:rPr>
        <w:t>Marsal</w:t>
      </w:r>
      <w:proofErr w:type="spellEnd"/>
      <w:r w:rsidRPr="00FD016C">
        <w:rPr>
          <w:rFonts w:ascii="Verdana" w:hAnsi="Verdana" w:cs="Arial"/>
          <w:iCs/>
          <w:sz w:val="20"/>
          <w:szCs w:val="20"/>
        </w:rPr>
        <w:t>, e recomendação sobre modelo de negócios mais adequado a ser adotado para a conclusão de Angra 3, bem como estruturação, condução e conclusão do processo de seleção de um parceiro e dos atos contratuais decorrentes.</w:t>
      </w:r>
    </w:p>
    <w:p w14:paraId="175604A7"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Cs/>
          <w:sz w:val="20"/>
          <w:szCs w:val="20"/>
        </w:rPr>
        <w:t> </w:t>
      </w:r>
    </w:p>
    <w:p w14:paraId="0445A90B" w14:textId="77777777" w:rsidR="00DC40C1" w:rsidRPr="00FD016C" w:rsidRDefault="00DC40C1" w:rsidP="00DC40C1">
      <w:pPr>
        <w:jc w:val="both"/>
        <w:rPr>
          <w:rFonts w:ascii="Verdana" w:hAnsi="Verdana" w:cs="Arial"/>
          <w:iCs/>
          <w:sz w:val="20"/>
          <w:szCs w:val="20"/>
        </w:rPr>
      </w:pPr>
      <w:r w:rsidRPr="00FD016C">
        <w:rPr>
          <w:rFonts w:ascii="Verdana" w:hAnsi="Verdana" w:cs="Arial"/>
          <w:iCs/>
          <w:sz w:val="20"/>
          <w:szCs w:val="20"/>
        </w:rPr>
        <w:t xml:space="preserve">A minuta do relatório com os resultados da fase 1, com a indicação do modelo, foi entregue em janeiro de 2020. </w:t>
      </w:r>
    </w:p>
    <w:p w14:paraId="7F72B7CD" w14:textId="77777777" w:rsidR="00DC40C1" w:rsidRPr="00FD016C" w:rsidRDefault="00DC40C1" w:rsidP="00DC40C1">
      <w:pPr>
        <w:jc w:val="both"/>
        <w:rPr>
          <w:rFonts w:ascii="Verdana" w:hAnsi="Verdana" w:cs="Arial"/>
          <w:iCs/>
          <w:sz w:val="20"/>
          <w:szCs w:val="20"/>
        </w:rPr>
      </w:pPr>
    </w:p>
    <w:p w14:paraId="6F022523" w14:textId="2625C791" w:rsidR="00DC40C1" w:rsidRPr="00FD016C" w:rsidRDefault="00DC40C1" w:rsidP="00DC40C1">
      <w:pPr>
        <w:jc w:val="both"/>
        <w:rPr>
          <w:rFonts w:ascii="Verdana" w:hAnsi="Verdana" w:cs="Arial"/>
          <w:iCs/>
          <w:sz w:val="20"/>
          <w:szCs w:val="20"/>
        </w:rPr>
      </w:pPr>
      <w:r w:rsidRPr="00FD016C">
        <w:rPr>
          <w:rFonts w:ascii="Verdana" w:hAnsi="Verdana" w:cs="Arial"/>
          <w:iCs/>
          <w:sz w:val="20"/>
          <w:szCs w:val="20"/>
        </w:rPr>
        <w:t>Em 10</w:t>
      </w:r>
      <w:r w:rsidR="008A67F0" w:rsidRPr="00FD016C">
        <w:rPr>
          <w:rFonts w:ascii="Verdana" w:hAnsi="Verdana" w:cs="Arial"/>
          <w:iCs/>
          <w:sz w:val="20"/>
          <w:szCs w:val="20"/>
        </w:rPr>
        <w:t xml:space="preserve"> de junho de 2020</w:t>
      </w:r>
      <w:r w:rsidRPr="00FD016C">
        <w:rPr>
          <w:rFonts w:ascii="Verdana" w:hAnsi="Verdana" w:cs="Arial"/>
          <w:iCs/>
          <w:sz w:val="20"/>
          <w:szCs w:val="20"/>
        </w:rPr>
        <w:t xml:space="preserve">, após validação do Comitê Interministerial, o modelo alternativo proposto no relatório final da primeira fase do trabalho realizado pelo BNDES, para a viabilização da retomada do empreendimento de Angra 3, foi aprovado em reunião do Conselho do Programa de Parcerias de Investimentos </w:t>
      </w:r>
      <w:r w:rsidR="0036649A" w:rsidRPr="00FD016C">
        <w:rPr>
          <w:rFonts w:ascii="Verdana" w:hAnsi="Verdana" w:cs="Arial"/>
          <w:iCs/>
          <w:sz w:val="20"/>
          <w:szCs w:val="20"/>
        </w:rPr>
        <w:t xml:space="preserve">- </w:t>
      </w:r>
      <w:r w:rsidRPr="00FD016C">
        <w:rPr>
          <w:rFonts w:ascii="Verdana" w:hAnsi="Verdana" w:cs="Arial"/>
          <w:iCs/>
          <w:sz w:val="20"/>
          <w:szCs w:val="20"/>
        </w:rPr>
        <w:t>CPPI, dando início à segunda fase do contrato no qual está prevista a estruturação do modelo proposto. O documento recomenda a contratação de uma empresa especializada por contrato de EPC</w:t>
      </w:r>
      <w:r w:rsidR="0036649A" w:rsidRPr="00FD016C">
        <w:rPr>
          <w:rFonts w:ascii="Verdana" w:hAnsi="Verdana" w:cs="Arial"/>
          <w:iCs/>
          <w:sz w:val="20"/>
          <w:szCs w:val="20"/>
        </w:rPr>
        <w:t xml:space="preserve"> -</w:t>
      </w:r>
      <w:r w:rsidRPr="00FD016C">
        <w:rPr>
          <w:rFonts w:ascii="Verdana" w:hAnsi="Verdana" w:cs="Arial"/>
          <w:iCs/>
          <w:sz w:val="20"/>
          <w:szCs w:val="20"/>
        </w:rPr>
        <w:t xml:space="preserve"> o que significa engenharia</w:t>
      </w:r>
      <w:r w:rsidR="0036649A" w:rsidRPr="00FD016C">
        <w:rPr>
          <w:rFonts w:ascii="Verdana" w:hAnsi="Verdana" w:cs="Arial"/>
          <w:iCs/>
          <w:sz w:val="20"/>
          <w:szCs w:val="20"/>
        </w:rPr>
        <w:t xml:space="preserve">, </w:t>
      </w:r>
      <w:r w:rsidRPr="00FD016C">
        <w:rPr>
          <w:rFonts w:ascii="Verdana" w:hAnsi="Verdana" w:cs="Arial"/>
          <w:iCs/>
          <w:sz w:val="20"/>
          <w:szCs w:val="20"/>
        </w:rPr>
        <w:t>gestão de compras e construção, na tradução do inglês</w:t>
      </w:r>
      <w:r w:rsidR="0036649A" w:rsidRPr="00FD016C">
        <w:rPr>
          <w:rFonts w:ascii="Verdana" w:hAnsi="Verdana" w:cs="Arial"/>
          <w:iCs/>
          <w:sz w:val="20"/>
          <w:szCs w:val="20"/>
        </w:rPr>
        <w:t xml:space="preserve"> - </w:t>
      </w:r>
      <w:r w:rsidRPr="00FD016C">
        <w:rPr>
          <w:rFonts w:ascii="Verdana" w:hAnsi="Verdana" w:cs="Arial"/>
          <w:iCs/>
          <w:sz w:val="20"/>
          <w:szCs w:val="20"/>
        </w:rPr>
        <w:t>para terminar a obra, com base em avaliação independente feita pelo BNDES. Após a entrega do modelo proposto de retomada, o banco iniciou a fase seguinte, com o detalhamento do modelo selecionado. Nessa reunião</w:t>
      </w:r>
      <w:r w:rsidR="0036649A" w:rsidRPr="00FD016C">
        <w:rPr>
          <w:rFonts w:ascii="Verdana" w:hAnsi="Verdana" w:cs="Arial"/>
          <w:iCs/>
          <w:sz w:val="20"/>
          <w:szCs w:val="20"/>
        </w:rPr>
        <w:t>,</w:t>
      </w:r>
      <w:r w:rsidRPr="00FD016C">
        <w:rPr>
          <w:rFonts w:ascii="Verdana" w:hAnsi="Verdana" w:cs="Arial"/>
          <w:iCs/>
          <w:sz w:val="20"/>
          <w:szCs w:val="20"/>
        </w:rPr>
        <w:t xml:space="preserve"> o CPPI também decidiu que, uma vez que a equalização do empreendimento não carece necessariamente de uma parceria nos moldes do programa do PPI, o projeto seja encaminhado ao Conselho Nacional de Política Energética </w:t>
      </w:r>
      <w:r w:rsidR="0036649A" w:rsidRPr="00FD016C">
        <w:rPr>
          <w:rFonts w:ascii="Verdana" w:hAnsi="Verdana" w:cs="Arial"/>
          <w:iCs/>
          <w:sz w:val="20"/>
          <w:szCs w:val="20"/>
        </w:rPr>
        <w:t xml:space="preserve">- </w:t>
      </w:r>
      <w:r w:rsidRPr="00FD016C">
        <w:rPr>
          <w:rFonts w:ascii="Verdana" w:hAnsi="Verdana" w:cs="Arial"/>
          <w:iCs/>
          <w:sz w:val="20"/>
          <w:szCs w:val="20"/>
        </w:rPr>
        <w:t>CNPE que fará o acompanhamento do trabalho elaborado pelo BNDES.</w:t>
      </w:r>
      <w:bookmarkEnd w:id="0"/>
    </w:p>
    <w:p w14:paraId="40579EAF" w14:textId="77777777" w:rsidR="00DC40C1" w:rsidRPr="00FD016C" w:rsidRDefault="00DC40C1" w:rsidP="00DC40C1">
      <w:pPr>
        <w:jc w:val="both"/>
        <w:rPr>
          <w:rFonts w:ascii="Verdana" w:hAnsi="Verdana" w:cs="Arial"/>
          <w:iCs/>
          <w:sz w:val="20"/>
          <w:szCs w:val="20"/>
        </w:rPr>
      </w:pPr>
    </w:p>
    <w:p w14:paraId="13BA9E73" w14:textId="7F62BB46" w:rsidR="00DC40C1" w:rsidRDefault="00DC40C1" w:rsidP="00DC40C1">
      <w:pPr>
        <w:jc w:val="both"/>
        <w:rPr>
          <w:rFonts w:ascii="Verdana" w:hAnsi="Verdana" w:cs="Arial"/>
          <w:iCs/>
          <w:sz w:val="20"/>
          <w:szCs w:val="20"/>
        </w:rPr>
      </w:pPr>
      <w:bookmarkStart w:id="1" w:name="_Hlk66659174"/>
      <w:r w:rsidRPr="00FD016C">
        <w:rPr>
          <w:rFonts w:ascii="Verdana" w:hAnsi="Verdana" w:cs="Arial"/>
          <w:iCs/>
          <w:sz w:val="20"/>
          <w:szCs w:val="20"/>
        </w:rPr>
        <w:t xml:space="preserve">Apesar da decisão final pela contratação de uma empresa especialista para conclusão de Angra 3, o CPPI abriu espaço para a entrada de um sócio no empreendimento, afirmando que essa seria uma escolha estratégica da ELETRONUCLEAR. Caso a </w:t>
      </w:r>
      <w:r w:rsidR="004B3D16" w:rsidRPr="00FD016C">
        <w:rPr>
          <w:rFonts w:ascii="Verdana" w:hAnsi="Verdana" w:cs="Arial"/>
          <w:iCs/>
          <w:sz w:val="20"/>
          <w:szCs w:val="20"/>
        </w:rPr>
        <w:t xml:space="preserve">Companhia </w:t>
      </w:r>
      <w:r w:rsidRPr="00FD016C">
        <w:rPr>
          <w:rFonts w:ascii="Verdana" w:hAnsi="Verdana" w:cs="Arial"/>
          <w:iCs/>
          <w:sz w:val="20"/>
          <w:szCs w:val="20"/>
        </w:rPr>
        <w:t>resolva efetivamente selecionar um parceiro, este teria participação minoritária pois a exploração da energia nuclear no Brasil é monopólio da União, segundo a Constituição. Grandes empresas da área nuclear já demonstraram interesse na conclusão de Angra 3.</w:t>
      </w:r>
    </w:p>
    <w:p w14:paraId="28023DE2" w14:textId="36B24A33" w:rsidR="00083CE8" w:rsidRPr="00FD016C" w:rsidRDefault="00DC3717" w:rsidP="00DC40C1">
      <w:pPr>
        <w:jc w:val="both"/>
        <w:rPr>
          <w:rFonts w:ascii="Verdana" w:hAnsi="Verdana" w:cs="Arial"/>
          <w:iCs/>
          <w:sz w:val="20"/>
          <w:szCs w:val="20"/>
        </w:rPr>
      </w:pPr>
      <w:r w:rsidRPr="00974C6A">
        <w:rPr>
          <w:rFonts w:ascii="Verdana" w:hAnsi="Verdana" w:cs="Calibri"/>
          <w:color w:val="000000"/>
          <w:sz w:val="20"/>
          <w:szCs w:val="20"/>
          <w:bdr w:val="none" w:sz="0" w:space="0" w:color="auto" w:frame="1"/>
        </w:rPr>
        <w:t xml:space="preserve">Os trabalhos conduzidos pelo BNDES, atualmente em sua fase 2, concentram-se atualmente na realização da </w:t>
      </w:r>
      <w:proofErr w:type="spellStart"/>
      <w:r w:rsidRPr="00974C6A">
        <w:rPr>
          <w:rFonts w:ascii="Verdana" w:hAnsi="Verdana" w:cs="Calibri"/>
          <w:color w:val="000000"/>
          <w:sz w:val="20"/>
          <w:szCs w:val="20"/>
          <w:bdr w:val="none" w:sz="0" w:space="0" w:color="auto" w:frame="1"/>
        </w:rPr>
        <w:t>Due</w:t>
      </w:r>
      <w:proofErr w:type="spellEnd"/>
      <w:r w:rsidRPr="00974C6A">
        <w:rPr>
          <w:rFonts w:ascii="Verdana" w:hAnsi="Verdana" w:cs="Calibri"/>
          <w:color w:val="000000"/>
          <w:sz w:val="20"/>
          <w:szCs w:val="20"/>
          <w:bdr w:val="none" w:sz="0" w:space="0" w:color="auto" w:frame="1"/>
        </w:rPr>
        <w:t xml:space="preserve"> </w:t>
      </w:r>
      <w:proofErr w:type="spellStart"/>
      <w:r w:rsidRPr="00974C6A">
        <w:rPr>
          <w:rFonts w:ascii="Verdana" w:hAnsi="Verdana" w:cs="Calibri"/>
          <w:color w:val="000000"/>
          <w:sz w:val="20"/>
          <w:szCs w:val="20"/>
          <w:bdr w:val="none" w:sz="0" w:space="0" w:color="auto" w:frame="1"/>
        </w:rPr>
        <w:t>Diligence</w:t>
      </w:r>
      <w:proofErr w:type="spellEnd"/>
      <w:r w:rsidRPr="00974C6A">
        <w:rPr>
          <w:rFonts w:ascii="Verdana" w:hAnsi="Verdana" w:cs="Calibri"/>
          <w:color w:val="000000"/>
          <w:sz w:val="20"/>
          <w:szCs w:val="20"/>
          <w:bdr w:val="none" w:sz="0" w:space="0" w:color="auto" w:frame="1"/>
        </w:rPr>
        <w:t xml:space="preserve"> Técnico-Operacional pelo consórcio formado pelas empresas Tractebel Brasil, Tractebel Bélgica e Empresários Agrupados (Espanha), contratadas pelo BNDES. Os trabalhos tiveram início em julho de 2021 e prosseguem em ritmo satisfatório, sendo a entrega da versão preliminar prevista para o início de dezembro. Adicionalmente, os seguintes serviços técnicos especializados necessários à estruturação do modelo estão em fase de contratação pelo BNDES: </w:t>
      </w:r>
      <w:proofErr w:type="spellStart"/>
      <w:r w:rsidRPr="00974C6A">
        <w:rPr>
          <w:rFonts w:ascii="Verdana" w:hAnsi="Verdana" w:cs="Calibri"/>
          <w:color w:val="000000"/>
          <w:sz w:val="20"/>
          <w:szCs w:val="20"/>
          <w:bdr w:val="none" w:sz="0" w:space="0" w:color="auto" w:frame="1"/>
        </w:rPr>
        <w:t>Due</w:t>
      </w:r>
      <w:proofErr w:type="spellEnd"/>
      <w:r w:rsidRPr="00974C6A">
        <w:rPr>
          <w:rFonts w:ascii="Verdana" w:hAnsi="Verdana" w:cs="Calibri"/>
          <w:color w:val="000000"/>
          <w:sz w:val="20"/>
          <w:szCs w:val="20"/>
          <w:bdr w:val="none" w:sz="0" w:space="0" w:color="auto" w:frame="1"/>
        </w:rPr>
        <w:t xml:space="preserve"> </w:t>
      </w:r>
      <w:proofErr w:type="spellStart"/>
      <w:r w:rsidRPr="00974C6A">
        <w:rPr>
          <w:rFonts w:ascii="Verdana" w:hAnsi="Verdana" w:cs="Calibri"/>
          <w:color w:val="000000"/>
          <w:sz w:val="20"/>
          <w:szCs w:val="20"/>
          <w:bdr w:val="none" w:sz="0" w:space="0" w:color="auto" w:frame="1"/>
        </w:rPr>
        <w:t>Diligence</w:t>
      </w:r>
      <w:proofErr w:type="spellEnd"/>
      <w:r w:rsidRPr="00974C6A">
        <w:rPr>
          <w:rFonts w:ascii="Verdana" w:hAnsi="Verdana" w:cs="Calibri"/>
          <w:color w:val="000000"/>
          <w:sz w:val="20"/>
          <w:szCs w:val="20"/>
          <w:bdr w:val="none" w:sz="0" w:space="0" w:color="auto" w:frame="1"/>
        </w:rPr>
        <w:t xml:space="preserve"> Jurídica; </w:t>
      </w:r>
      <w:proofErr w:type="spellStart"/>
      <w:r w:rsidRPr="00974C6A">
        <w:rPr>
          <w:rFonts w:ascii="Verdana" w:hAnsi="Verdana" w:cs="Calibri"/>
          <w:color w:val="000000"/>
          <w:sz w:val="20"/>
          <w:szCs w:val="20"/>
          <w:bdr w:val="none" w:sz="0" w:space="0" w:color="auto" w:frame="1"/>
        </w:rPr>
        <w:t>Due</w:t>
      </w:r>
      <w:proofErr w:type="spellEnd"/>
      <w:r w:rsidRPr="00974C6A">
        <w:rPr>
          <w:rFonts w:ascii="Verdana" w:hAnsi="Verdana" w:cs="Calibri"/>
          <w:color w:val="000000"/>
          <w:sz w:val="20"/>
          <w:szCs w:val="20"/>
          <w:bdr w:val="none" w:sz="0" w:space="0" w:color="auto" w:frame="1"/>
        </w:rPr>
        <w:t xml:space="preserve"> </w:t>
      </w:r>
      <w:proofErr w:type="spellStart"/>
      <w:r w:rsidRPr="00974C6A">
        <w:rPr>
          <w:rFonts w:ascii="Verdana" w:hAnsi="Verdana" w:cs="Calibri"/>
          <w:color w:val="000000"/>
          <w:sz w:val="20"/>
          <w:szCs w:val="20"/>
          <w:bdr w:val="none" w:sz="0" w:space="0" w:color="auto" w:frame="1"/>
        </w:rPr>
        <w:t>Diligence</w:t>
      </w:r>
      <w:proofErr w:type="spellEnd"/>
      <w:r w:rsidRPr="00974C6A">
        <w:rPr>
          <w:rFonts w:ascii="Verdana" w:hAnsi="Verdana" w:cs="Calibri"/>
          <w:color w:val="000000"/>
          <w:sz w:val="20"/>
          <w:szCs w:val="20"/>
          <w:bdr w:val="none" w:sz="0" w:space="0" w:color="auto" w:frame="1"/>
        </w:rPr>
        <w:t xml:space="preserve"> Contábil-Patrimonial; Avaliação ambiental; Avaliação do licenciamento </w:t>
      </w:r>
      <w:proofErr w:type="gramStart"/>
      <w:r w:rsidRPr="00974C6A">
        <w:rPr>
          <w:rFonts w:ascii="Verdana" w:hAnsi="Verdana" w:cs="Calibri"/>
          <w:color w:val="000000"/>
          <w:sz w:val="20"/>
          <w:szCs w:val="20"/>
          <w:bdr w:val="none" w:sz="0" w:space="0" w:color="auto" w:frame="1"/>
        </w:rPr>
        <w:t>nuclear;  Avaliação</w:t>
      </w:r>
      <w:proofErr w:type="gramEnd"/>
      <w:r w:rsidRPr="00974C6A">
        <w:rPr>
          <w:rFonts w:ascii="Verdana" w:hAnsi="Verdana" w:cs="Calibri"/>
          <w:color w:val="000000"/>
          <w:sz w:val="20"/>
          <w:szCs w:val="20"/>
          <w:bdr w:val="none" w:sz="0" w:space="0" w:color="auto" w:frame="1"/>
        </w:rPr>
        <w:t xml:space="preserve"> de Recursos Humanos e Avaliação previdenciária; Modelagem da reestruturação; Assessoria Jurídica; Assessoria de Comunicação; Outros Serviços Especializados</w:t>
      </w:r>
      <w:r w:rsidR="005C794F">
        <w:rPr>
          <w:rFonts w:ascii="Verdana" w:hAnsi="Verdana" w:cs="Calibri"/>
          <w:color w:val="000000"/>
          <w:sz w:val="20"/>
          <w:szCs w:val="20"/>
          <w:bdr w:val="none" w:sz="0" w:space="0" w:color="auto" w:frame="1"/>
        </w:rPr>
        <w:t>.</w:t>
      </w:r>
    </w:p>
    <w:p w14:paraId="795D4BE2" w14:textId="77777777" w:rsidR="00DC40C1" w:rsidRPr="00FD016C" w:rsidRDefault="00DC40C1" w:rsidP="00DC40C1">
      <w:pPr>
        <w:jc w:val="both"/>
        <w:rPr>
          <w:rFonts w:ascii="Verdana" w:hAnsi="Verdana" w:cs="Arial"/>
          <w:iCs/>
          <w:sz w:val="20"/>
          <w:szCs w:val="20"/>
        </w:rPr>
      </w:pPr>
    </w:p>
    <w:p w14:paraId="4C60EA22" w14:textId="77777777" w:rsidR="004B3094" w:rsidRPr="00FD016C" w:rsidRDefault="004B3094" w:rsidP="00DC40C1">
      <w:pPr>
        <w:jc w:val="both"/>
        <w:rPr>
          <w:rFonts w:ascii="Verdana" w:hAnsi="Verdana" w:cs="Arial"/>
          <w:iCs/>
          <w:sz w:val="20"/>
          <w:szCs w:val="20"/>
        </w:rPr>
      </w:pPr>
    </w:p>
    <w:p w14:paraId="5F9E7A25" w14:textId="77777777" w:rsidR="004B3094" w:rsidRPr="00FD016C" w:rsidRDefault="004B3094" w:rsidP="00DC40C1">
      <w:pPr>
        <w:jc w:val="both"/>
        <w:rPr>
          <w:rFonts w:ascii="Verdana" w:hAnsi="Verdana" w:cs="Arial"/>
          <w:iCs/>
          <w:sz w:val="20"/>
          <w:szCs w:val="20"/>
        </w:rPr>
      </w:pPr>
    </w:p>
    <w:p w14:paraId="5DC0C7C3" w14:textId="77777777" w:rsidR="004B3094" w:rsidRPr="00FD016C" w:rsidRDefault="004B3094" w:rsidP="00DC40C1">
      <w:pPr>
        <w:jc w:val="both"/>
        <w:rPr>
          <w:rFonts w:ascii="Verdana" w:hAnsi="Verdana" w:cs="Arial"/>
          <w:iCs/>
          <w:sz w:val="20"/>
          <w:szCs w:val="20"/>
        </w:rPr>
      </w:pPr>
    </w:p>
    <w:p w14:paraId="47BC7A60" w14:textId="77777777" w:rsidR="004B3094" w:rsidRPr="00FD016C" w:rsidRDefault="004B3094" w:rsidP="00DC40C1">
      <w:pPr>
        <w:jc w:val="both"/>
        <w:rPr>
          <w:rFonts w:ascii="Verdana" w:hAnsi="Verdana" w:cs="Arial"/>
          <w:iCs/>
          <w:sz w:val="20"/>
          <w:szCs w:val="20"/>
        </w:rPr>
      </w:pPr>
    </w:p>
    <w:p w14:paraId="24AF9C5A" w14:textId="77777777" w:rsidR="004B3094" w:rsidRPr="00FD016C" w:rsidRDefault="004B3094" w:rsidP="00DC40C1">
      <w:pPr>
        <w:jc w:val="both"/>
        <w:rPr>
          <w:rFonts w:ascii="Verdana" w:hAnsi="Verdana" w:cs="Arial"/>
          <w:iCs/>
          <w:sz w:val="20"/>
          <w:szCs w:val="20"/>
        </w:rPr>
      </w:pPr>
    </w:p>
    <w:p w14:paraId="000DFC9F" w14:textId="77777777" w:rsidR="004B3094" w:rsidRPr="00FD016C" w:rsidRDefault="004B3094" w:rsidP="00DC40C1">
      <w:pPr>
        <w:jc w:val="both"/>
        <w:rPr>
          <w:rFonts w:ascii="Verdana" w:hAnsi="Verdana" w:cs="Arial"/>
          <w:iCs/>
          <w:sz w:val="20"/>
          <w:szCs w:val="20"/>
        </w:rPr>
      </w:pPr>
    </w:p>
    <w:p w14:paraId="33A0FDA9" w14:textId="77777777" w:rsidR="004B3094" w:rsidRDefault="004B3094" w:rsidP="00DC40C1">
      <w:pPr>
        <w:jc w:val="both"/>
        <w:rPr>
          <w:rFonts w:ascii="Verdana" w:hAnsi="Verdana" w:cs="Arial"/>
          <w:iCs/>
          <w:sz w:val="20"/>
          <w:szCs w:val="20"/>
        </w:rPr>
      </w:pPr>
    </w:p>
    <w:p w14:paraId="01925A6E" w14:textId="77777777" w:rsidR="0074042B" w:rsidRPr="00FD016C" w:rsidRDefault="0074042B" w:rsidP="00DC40C1">
      <w:pPr>
        <w:jc w:val="both"/>
        <w:rPr>
          <w:rFonts w:ascii="Verdana" w:hAnsi="Verdana" w:cs="Arial"/>
          <w:iCs/>
          <w:sz w:val="20"/>
          <w:szCs w:val="20"/>
        </w:rPr>
      </w:pPr>
    </w:p>
    <w:p w14:paraId="42300214" w14:textId="77777777" w:rsidR="004B3094" w:rsidRPr="00FD016C" w:rsidRDefault="004B3094" w:rsidP="00DC40C1">
      <w:pPr>
        <w:jc w:val="both"/>
        <w:rPr>
          <w:rFonts w:ascii="Verdana" w:hAnsi="Verdana" w:cs="Arial"/>
          <w:iCs/>
          <w:sz w:val="20"/>
          <w:szCs w:val="20"/>
        </w:rPr>
      </w:pPr>
    </w:p>
    <w:bookmarkEnd w:id="1"/>
    <w:p w14:paraId="0464988D" w14:textId="32D231DC" w:rsidR="00B94A26" w:rsidRPr="00FD016C" w:rsidRDefault="00DC40C1" w:rsidP="00DC40C1">
      <w:pPr>
        <w:jc w:val="both"/>
        <w:rPr>
          <w:rFonts w:ascii="Verdana" w:hAnsi="Verdana" w:cs="Arial"/>
          <w:iCs/>
          <w:sz w:val="20"/>
          <w:szCs w:val="20"/>
        </w:rPr>
      </w:pPr>
      <w:r w:rsidRPr="00FD016C">
        <w:rPr>
          <w:rFonts w:ascii="Verdana" w:hAnsi="Verdana" w:cs="Arial"/>
          <w:iCs/>
          <w:sz w:val="20"/>
          <w:szCs w:val="20"/>
        </w:rPr>
        <w:lastRenderedPageBreak/>
        <w:t>O quadro abaixo apresenta o fluxo de ações para a viabilização da retomada e conclusão do empreendimento</w:t>
      </w:r>
      <w:r w:rsidR="004B3094" w:rsidRPr="00FD016C">
        <w:rPr>
          <w:rFonts w:ascii="Verdana" w:hAnsi="Verdana" w:cs="Arial"/>
          <w:iCs/>
          <w:sz w:val="20"/>
          <w:szCs w:val="20"/>
        </w:rPr>
        <w:t>:</w:t>
      </w:r>
    </w:p>
    <w:p w14:paraId="005C5709" w14:textId="77777777" w:rsidR="00B94A26" w:rsidRPr="00FD016C" w:rsidRDefault="00B94A26" w:rsidP="00804309">
      <w:pPr>
        <w:jc w:val="both"/>
        <w:rPr>
          <w:rFonts w:ascii="Verdana" w:hAnsi="Verdana" w:cs="Arial"/>
          <w:sz w:val="20"/>
          <w:szCs w:val="20"/>
        </w:rPr>
      </w:pPr>
    </w:p>
    <w:p w14:paraId="435770E0"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noProof/>
          <w:sz w:val="20"/>
          <w:szCs w:val="20"/>
        </w:rPr>
        <w:drawing>
          <wp:inline distT="0" distB="0" distL="0" distR="0" wp14:anchorId="32BE15F4" wp14:editId="415CF65A">
            <wp:extent cx="5400040" cy="277174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771745"/>
                    </a:xfrm>
                    <a:prstGeom prst="rect">
                      <a:avLst/>
                    </a:prstGeom>
                    <a:noFill/>
                  </pic:spPr>
                </pic:pic>
              </a:graphicData>
            </a:graphic>
          </wp:inline>
        </w:drawing>
      </w:r>
    </w:p>
    <w:p w14:paraId="0C9206FD" w14:textId="77777777" w:rsidR="00804309" w:rsidRPr="00FD016C" w:rsidRDefault="00804309" w:rsidP="00804309">
      <w:pPr>
        <w:spacing w:line="240" w:lineRule="auto"/>
        <w:jc w:val="both"/>
        <w:rPr>
          <w:rFonts w:ascii="Verdana" w:hAnsi="Verdana" w:cs="Arial"/>
          <w:sz w:val="20"/>
          <w:szCs w:val="20"/>
        </w:rPr>
      </w:pPr>
      <w:r w:rsidRPr="00FD016C">
        <w:rPr>
          <w:rFonts w:ascii="Verdana" w:hAnsi="Verdana" w:cs="Arial"/>
          <w:i/>
          <w:iCs/>
          <w:sz w:val="20"/>
          <w:szCs w:val="20"/>
        </w:rPr>
        <w:t> </w:t>
      </w:r>
    </w:p>
    <w:p w14:paraId="36E00725" w14:textId="54CA17F6" w:rsidR="00313DC2" w:rsidRPr="00FD016C" w:rsidRDefault="00313DC2" w:rsidP="00C17ACA">
      <w:pPr>
        <w:jc w:val="both"/>
        <w:rPr>
          <w:rFonts w:ascii="Verdana" w:hAnsi="Verdana"/>
          <w:sz w:val="20"/>
          <w:szCs w:val="20"/>
          <w:lang w:eastAsia="en-GB"/>
        </w:rPr>
      </w:pPr>
      <w:bookmarkStart w:id="2" w:name="_Hlk66659182"/>
      <w:r w:rsidRPr="00FD016C">
        <w:rPr>
          <w:rFonts w:ascii="Verdana" w:hAnsi="Verdana"/>
          <w:sz w:val="20"/>
          <w:szCs w:val="20"/>
          <w:lang w:eastAsia="en-GB"/>
        </w:rPr>
        <w:t>Em paralelo ao trabalho desenvolvido pelo BNDES, após as respectivas apresentações do relatório para o Conselho da Eletrobras e da ELETRONUCLEAR, foi solicitado um estudo adicional sobre riscos e alternativas caso a implementação do modelo proposto sofra atrasos em função de fatos não gerenciáveis pela empresa. </w:t>
      </w:r>
    </w:p>
    <w:p w14:paraId="2872BE82" w14:textId="77777777" w:rsidR="00C17ACA" w:rsidRPr="00FD016C" w:rsidRDefault="00C17ACA" w:rsidP="00C17ACA">
      <w:pPr>
        <w:jc w:val="both"/>
        <w:rPr>
          <w:rFonts w:ascii="Verdana" w:hAnsi="Verdana"/>
          <w:sz w:val="20"/>
          <w:szCs w:val="20"/>
          <w:lang w:eastAsia="en-GB"/>
        </w:rPr>
      </w:pPr>
    </w:p>
    <w:p w14:paraId="4B7EF214"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xml:space="preserve">Em 17 de agosto de 2020, na esteira da aprovação pelo CPPI, em junho de 2020, do relatório do comitê interministerial sobre o modelo de negócios para concluir Angra 3, a Eletrobras aprovou o Plano de Aceleração da Linha Crítica do empreendimento, com a previsão de aporte na ELETRONUCLEAR, por meio de Adiantamentos para Futuro Aumento de Capital – AFAC, de cerca de R$ 1.052.181 no ano de </w:t>
      </w:r>
      <w:r w:rsidRPr="00620AC3">
        <w:rPr>
          <w:rFonts w:ascii="Verdana" w:hAnsi="Verdana"/>
          <w:sz w:val="20"/>
          <w:szCs w:val="20"/>
          <w:lang w:eastAsia="en-GB"/>
        </w:rPr>
        <w:t xml:space="preserve">2020 e de </w:t>
      </w:r>
      <w:r w:rsidRPr="00493042">
        <w:rPr>
          <w:rFonts w:ascii="Verdana" w:hAnsi="Verdana"/>
          <w:sz w:val="20"/>
          <w:szCs w:val="20"/>
          <w:lang w:eastAsia="en-GB"/>
        </w:rPr>
        <w:t xml:space="preserve">aproximadamente R$ 2.447.464 </w:t>
      </w:r>
      <w:r w:rsidRPr="00620AC3">
        <w:rPr>
          <w:rFonts w:ascii="Verdana" w:hAnsi="Verdana"/>
          <w:sz w:val="20"/>
          <w:szCs w:val="20"/>
          <w:lang w:eastAsia="en-GB"/>
        </w:rPr>
        <w:t>em 2021, para viabilizar a retomada das obras de construção de Angra 3. O montante total do AFAC</w:t>
      </w:r>
      <w:r w:rsidRPr="00FD016C">
        <w:rPr>
          <w:rFonts w:ascii="Verdana" w:hAnsi="Verdana"/>
          <w:sz w:val="20"/>
          <w:szCs w:val="20"/>
          <w:lang w:eastAsia="en-GB"/>
        </w:rPr>
        <w:t xml:space="preserve"> consta no Plano Diretor de Negócios e Gestão – PDNG (2020-2024) da Eletrobras.</w:t>
      </w:r>
    </w:p>
    <w:p w14:paraId="55034DE1" w14:textId="77777777" w:rsidR="00C17ACA" w:rsidRPr="00FD016C" w:rsidRDefault="00C17ACA" w:rsidP="00C17ACA">
      <w:pPr>
        <w:jc w:val="both"/>
        <w:rPr>
          <w:rFonts w:ascii="Verdana" w:hAnsi="Verdana"/>
          <w:sz w:val="20"/>
          <w:szCs w:val="20"/>
          <w:lang w:eastAsia="en-GB"/>
        </w:rPr>
      </w:pPr>
    </w:p>
    <w:p w14:paraId="58364AC8" w14:textId="629EABEF"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Os aportes iniciais aprovados no âmbito do Programa de Aceleração da Linha Crítica serão realizados pela Eletrobras na ELETRONUCLEAR por meio de Adiantamento para Futuro Aumento de Capital conforme o contrato ECF-3387, formalizado entre as partes em 05 de agosto de 2020</w:t>
      </w:r>
      <w:r w:rsidR="0074042B">
        <w:rPr>
          <w:rFonts w:ascii="Verdana" w:hAnsi="Verdana"/>
          <w:sz w:val="20"/>
          <w:szCs w:val="20"/>
          <w:lang w:eastAsia="en-GB"/>
        </w:rPr>
        <w:t xml:space="preserve"> (nota</w:t>
      </w:r>
      <w:r w:rsidR="00073F60">
        <w:rPr>
          <w:rFonts w:ascii="Verdana" w:hAnsi="Verdana"/>
          <w:sz w:val="20"/>
          <w:szCs w:val="20"/>
          <w:lang w:eastAsia="en-GB"/>
        </w:rPr>
        <w:t xml:space="preserve"> 25)</w:t>
      </w:r>
      <w:r w:rsidRPr="00FD016C">
        <w:rPr>
          <w:rFonts w:ascii="Verdana" w:hAnsi="Verdana"/>
          <w:sz w:val="20"/>
          <w:szCs w:val="20"/>
          <w:lang w:eastAsia="en-GB"/>
        </w:rPr>
        <w:t xml:space="preserve">. </w:t>
      </w:r>
    </w:p>
    <w:p w14:paraId="35DFB1E0"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w:t>
      </w:r>
    </w:p>
    <w:p w14:paraId="61B7A255" w14:textId="68C68052"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xml:space="preserve">O principal objetivo do plano de aceleração é preservar a data de entrada em operação da usina, prevista para novembro de </w:t>
      </w:r>
      <w:r w:rsidR="003E6E80" w:rsidRPr="00403302">
        <w:rPr>
          <w:rFonts w:ascii="Verdana" w:hAnsi="Verdana"/>
          <w:sz w:val="20"/>
          <w:szCs w:val="20"/>
          <w:lang w:eastAsia="en-GB"/>
        </w:rPr>
        <w:t>202</w:t>
      </w:r>
      <w:r w:rsidR="003E6E80">
        <w:rPr>
          <w:rFonts w:ascii="Verdana" w:hAnsi="Verdana"/>
          <w:sz w:val="20"/>
          <w:szCs w:val="20"/>
          <w:lang w:eastAsia="en-GB"/>
        </w:rPr>
        <w:t>7</w:t>
      </w:r>
      <w:r w:rsidRPr="00403302">
        <w:rPr>
          <w:rFonts w:ascii="Verdana" w:hAnsi="Verdana"/>
          <w:sz w:val="20"/>
          <w:szCs w:val="20"/>
          <w:lang w:eastAsia="en-GB"/>
        </w:rPr>
        <w:t>. O</w:t>
      </w:r>
      <w:r w:rsidRPr="00FD016C">
        <w:rPr>
          <w:rFonts w:ascii="Verdana" w:hAnsi="Verdana"/>
          <w:sz w:val="20"/>
          <w:szCs w:val="20"/>
          <w:lang w:eastAsia="en-GB"/>
        </w:rPr>
        <w:t xml:space="preserve"> Plano de Aceleração ocorrerá paralelamente à execução da fase 2 do detalhamento do modelo selecionado pelo CPPI para conclusão de Angra 3 e não concorre com a solução para o projeto completo que vem sendo trabalhada pelo BNDES. Trata-se de uma ação corporativa com vistas a preservar o valor do empreendimento, sendo, portanto, complementar àquela.</w:t>
      </w:r>
    </w:p>
    <w:p w14:paraId="5CDB8D6A"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w:t>
      </w:r>
    </w:p>
    <w:p w14:paraId="6DCD02FB"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Essa decisão foi suportada por diversos estudos, dentre os quais destacamos uma análise que demonstrou que esses investimentos não trazem quaisquer empecilhos ao eventual processo de capitalização da Eletrobras.</w:t>
      </w:r>
    </w:p>
    <w:p w14:paraId="7ACF91FE" w14:textId="77777777" w:rsidR="00C17ACA" w:rsidRPr="00FD016C" w:rsidRDefault="00C17ACA" w:rsidP="00C17ACA">
      <w:pPr>
        <w:jc w:val="both"/>
        <w:rPr>
          <w:rFonts w:ascii="Verdana" w:hAnsi="Verdana"/>
          <w:sz w:val="20"/>
          <w:szCs w:val="20"/>
          <w:lang w:eastAsia="en-GB"/>
        </w:rPr>
      </w:pPr>
    </w:p>
    <w:p w14:paraId="6CF85177"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lastRenderedPageBreak/>
        <w:t>Entre as principais medidas que constam no Plano de Aceleração da Linha Crítica está a conclusão da superestrutura de concreto do edifício do reator de Angra 3 e o avanço de parte importante da montagem eletromecânica. Para viabilizar esse plano é necessária a contratação de uma empresa que será responsável por finalizar os projetos de engenharia e uma empreiteira para realizar as obras civis e a montagem eletromecânica.</w:t>
      </w:r>
    </w:p>
    <w:p w14:paraId="0D5A2CDB"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w:t>
      </w:r>
    </w:p>
    <w:p w14:paraId="57779351"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xml:space="preserve">Somam-se à lista de atividades para o retorno efetivo do projeto de Angra 3 a retomada de alguns contratos de fornecimento para o empreendimento que estavam suspensos ou paralisados, além do início do processo de licitação para contratação de novos fornecedores para atendimento das necessidades do empreendimento. Para tal foi firmado contrato com o escritório </w:t>
      </w:r>
      <w:proofErr w:type="spellStart"/>
      <w:r w:rsidRPr="00FD016C">
        <w:rPr>
          <w:rFonts w:ascii="Verdana" w:hAnsi="Verdana"/>
          <w:sz w:val="20"/>
          <w:szCs w:val="20"/>
          <w:lang w:eastAsia="en-GB"/>
        </w:rPr>
        <w:t>Veirano</w:t>
      </w:r>
      <w:proofErr w:type="spellEnd"/>
      <w:r w:rsidRPr="00FD016C">
        <w:rPr>
          <w:rFonts w:ascii="Verdana" w:hAnsi="Verdana"/>
          <w:sz w:val="20"/>
          <w:szCs w:val="20"/>
          <w:lang w:eastAsia="en-GB"/>
        </w:rPr>
        <w:t xml:space="preserve"> Advogados, que está auxiliando a Companhia no processo de retomada dos contratos de fornecimento de Angra 3. Como consequência disso, contatos foram feitos com os fornecedores desses contratos, tendo-se iniciado o processo de renegociação caso a caso.</w:t>
      </w:r>
    </w:p>
    <w:p w14:paraId="215B6863"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w:t>
      </w:r>
    </w:p>
    <w:p w14:paraId="4AC06F43" w14:textId="77777777"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 xml:space="preserve">Em janeiro de 2021, houve aprovação do </w:t>
      </w:r>
      <w:proofErr w:type="spellStart"/>
      <w:r w:rsidRPr="00FD016C">
        <w:rPr>
          <w:rFonts w:ascii="Verdana" w:hAnsi="Verdana"/>
          <w:sz w:val="20"/>
          <w:szCs w:val="20"/>
          <w:lang w:eastAsia="en-GB"/>
        </w:rPr>
        <w:t>descontingenciamento</w:t>
      </w:r>
      <w:proofErr w:type="spellEnd"/>
      <w:r w:rsidRPr="00FD016C">
        <w:rPr>
          <w:rFonts w:ascii="Verdana" w:hAnsi="Verdana"/>
          <w:sz w:val="20"/>
          <w:szCs w:val="20"/>
          <w:lang w:eastAsia="en-GB"/>
        </w:rPr>
        <w:t xml:space="preserve"> dos recursos necessários para a ELETRONUCLEAR publicar o edital de contratação da obra civil de Angra 3. Em 25 de fevereiro de 2021, a ELETRONUCLEAR publicou no DOU, o edital para contratação da empresa que retomará a obra civil de Angra 3 e realizará parte da montagem eletromecânica.  </w:t>
      </w:r>
    </w:p>
    <w:p w14:paraId="0820B4A3" w14:textId="77777777" w:rsidR="00C17ACA" w:rsidRPr="00FD016C" w:rsidRDefault="00C17ACA" w:rsidP="00C17ACA">
      <w:pPr>
        <w:jc w:val="both"/>
        <w:rPr>
          <w:rFonts w:ascii="Verdana" w:hAnsi="Verdana"/>
          <w:sz w:val="20"/>
          <w:szCs w:val="20"/>
          <w:lang w:eastAsia="en-GB"/>
        </w:rPr>
      </w:pPr>
    </w:p>
    <w:p w14:paraId="53793A40" w14:textId="69BE9253" w:rsidR="00313DC2" w:rsidRPr="00FD016C" w:rsidRDefault="00313DC2" w:rsidP="00C17ACA">
      <w:pPr>
        <w:jc w:val="both"/>
        <w:rPr>
          <w:rFonts w:ascii="Verdana" w:hAnsi="Verdana"/>
          <w:sz w:val="20"/>
          <w:szCs w:val="20"/>
          <w:lang w:eastAsia="en-GB"/>
        </w:rPr>
      </w:pPr>
      <w:r w:rsidRPr="00FD016C">
        <w:rPr>
          <w:rFonts w:ascii="Verdana" w:hAnsi="Verdana"/>
          <w:sz w:val="20"/>
          <w:szCs w:val="20"/>
          <w:lang w:eastAsia="en-GB"/>
        </w:rPr>
        <w:t>Em 29 de junho de 2021</w:t>
      </w:r>
      <w:r w:rsidR="00C17ACA" w:rsidRPr="00FD016C">
        <w:rPr>
          <w:rFonts w:ascii="Verdana" w:hAnsi="Verdana"/>
          <w:sz w:val="20"/>
          <w:szCs w:val="20"/>
          <w:lang w:eastAsia="en-GB"/>
        </w:rPr>
        <w:t>,</w:t>
      </w:r>
      <w:r w:rsidRPr="00FD016C">
        <w:rPr>
          <w:rFonts w:ascii="Verdana" w:hAnsi="Verdana"/>
          <w:sz w:val="20"/>
          <w:szCs w:val="20"/>
          <w:lang w:eastAsia="en-GB"/>
        </w:rPr>
        <w:t xml:space="preserve"> foi realizada sessão pública para abertura das propostas da licitação para contratação da empresa responsável pela execução dos serviços de obras civis e de parte, no âmbito do Plano de Aceleração do Caminho Crítico. O licitante melhor classificado apresentou os documentos de habilitação para serem analisados. </w:t>
      </w:r>
    </w:p>
    <w:p w14:paraId="4F00746F" w14:textId="77777777" w:rsidR="00C17ACA" w:rsidRPr="00FD016C" w:rsidRDefault="00C17ACA" w:rsidP="00C17ACA">
      <w:pPr>
        <w:jc w:val="both"/>
        <w:rPr>
          <w:rFonts w:ascii="Verdana" w:hAnsi="Verdana"/>
          <w:sz w:val="20"/>
          <w:szCs w:val="20"/>
          <w:lang w:eastAsia="en-GB"/>
        </w:rPr>
      </w:pPr>
    </w:p>
    <w:p w14:paraId="6CBC8C14" w14:textId="111181D4" w:rsidR="00313DC2" w:rsidRPr="00FD016C" w:rsidRDefault="00313DC2" w:rsidP="00C17ACA">
      <w:pPr>
        <w:jc w:val="both"/>
        <w:rPr>
          <w:rFonts w:ascii="Verdana" w:hAnsi="Verdana"/>
          <w:color w:val="000000"/>
          <w:sz w:val="20"/>
          <w:szCs w:val="20"/>
          <w:bdr w:val="none" w:sz="0" w:space="0" w:color="auto" w:frame="1"/>
        </w:rPr>
      </w:pPr>
      <w:r w:rsidRPr="00FD016C">
        <w:rPr>
          <w:rFonts w:ascii="Verdana" w:hAnsi="Verdana"/>
          <w:sz w:val="20"/>
          <w:szCs w:val="20"/>
          <w:lang w:eastAsia="en-GB"/>
        </w:rPr>
        <w:t xml:space="preserve">Após análise e aprovação da documentação do licitante, o resultado foi divulgado em sessão pública realizada em 23 de julho de 2021 quando a ELETRONUCLEAR declarou o consórcio composto por Ferreira Guedes, Matricial e </w:t>
      </w:r>
      <w:proofErr w:type="spellStart"/>
      <w:r w:rsidRPr="00FD016C">
        <w:rPr>
          <w:rFonts w:ascii="Verdana" w:hAnsi="Verdana"/>
          <w:sz w:val="20"/>
          <w:szCs w:val="20"/>
          <w:lang w:eastAsia="en-GB"/>
        </w:rPr>
        <w:t>ADtranz</w:t>
      </w:r>
      <w:proofErr w:type="spellEnd"/>
      <w:r w:rsidRPr="00FD016C">
        <w:rPr>
          <w:rFonts w:ascii="Verdana" w:hAnsi="Verdana"/>
          <w:sz w:val="20"/>
          <w:szCs w:val="20"/>
          <w:lang w:eastAsia="en-GB"/>
        </w:rPr>
        <w:t xml:space="preserve"> vencedor da licitação.</w:t>
      </w:r>
      <w:r w:rsidRPr="00FD016C">
        <w:rPr>
          <w:rFonts w:ascii="Verdana" w:hAnsi="Verdana"/>
          <w:color w:val="000000"/>
          <w:sz w:val="20"/>
          <w:szCs w:val="20"/>
        </w:rPr>
        <w:t xml:space="preserve"> O lance vencedor significou deságio de aproximadamente 16% em relação ao valor de referência. Após o fim da fase recursal da licitação, as empresas vencedoras</w:t>
      </w:r>
      <w:r w:rsidRPr="00FD016C">
        <w:rPr>
          <w:rFonts w:ascii="Verdana" w:hAnsi="Verdana"/>
          <w:sz w:val="20"/>
          <w:szCs w:val="20"/>
          <w:lang w:eastAsia="en-GB"/>
        </w:rPr>
        <w:t> foram</w:t>
      </w:r>
      <w:r w:rsidRPr="00FD016C">
        <w:rPr>
          <w:rFonts w:ascii="Verdana" w:hAnsi="Verdana"/>
          <w:color w:val="0070C0"/>
          <w:sz w:val="20"/>
          <w:szCs w:val="20"/>
          <w:bdr w:val="none" w:sz="0" w:space="0" w:color="auto" w:frame="1"/>
        </w:rPr>
        <w:t> </w:t>
      </w:r>
      <w:r w:rsidRPr="00FD016C">
        <w:rPr>
          <w:rFonts w:ascii="Verdana" w:hAnsi="Verdana"/>
          <w:color w:val="000000"/>
          <w:sz w:val="20"/>
          <w:szCs w:val="20"/>
          <w:bdr w:val="none" w:sz="0" w:space="0" w:color="auto" w:frame="1"/>
        </w:rPr>
        <w:t xml:space="preserve">submetidas a uma avaliação </w:t>
      </w:r>
      <w:r w:rsidRPr="00337469">
        <w:rPr>
          <w:rFonts w:ascii="Verdana" w:hAnsi="Verdana"/>
          <w:color w:val="000000"/>
          <w:sz w:val="20"/>
          <w:szCs w:val="20"/>
          <w:bdr w:val="none" w:sz="0" w:space="0" w:color="auto" w:frame="1"/>
        </w:rPr>
        <w:t>de </w:t>
      </w:r>
      <w:proofErr w:type="spellStart"/>
      <w:r w:rsidRPr="00337469">
        <w:rPr>
          <w:rFonts w:ascii="Verdana" w:hAnsi="Verdana"/>
          <w:i/>
          <w:iCs/>
          <w:color w:val="000000"/>
          <w:sz w:val="20"/>
          <w:szCs w:val="20"/>
          <w:bdr w:val="none" w:sz="0" w:space="0" w:color="auto" w:frame="1"/>
        </w:rPr>
        <w:t>compliance</w:t>
      </w:r>
      <w:proofErr w:type="spellEnd"/>
      <w:r w:rsidRPr="00337469">
        <w:rPr>
          <w:rFonts w:ascii="Verdana" w:hAnsi="Verdana"/>
          <w:color w:val="000000"/>
          <w:sz w:val="20"/>
          <w:szCs w:val="20"/>
          <w:bdr w:val="none" w:sz="0" w:space="0" w:color="auto" w:frame="1"/>
        </w:rPr>
        <w:t>, antes de o processo ser encaminhado para homologação</w:t>
      </w:r>
    </w:p>
    <w:p w14:paraId="60289EEE" w14:textId="77777777" w:rsidR="00C17ACA" w:rsidRPr="00FD016C" w:rsidRDefault="00C17ACA" w:rsidP="00C17ACA">
      <w:pPr>
        <w:jc w:val="both"/>
        <w:rPr>
          <w:rFonts w:ascii="Calibri" w:hAnsi="Calibri"/>
          <w:color w:val="000000"/>
          <w:sz w:val="22"/>
          <w:szCs w:val="22"/>
        </w:rPr>
      </w:pPr>
    </w:p>
    <w:p w14:paraId="1856CB83" w14:textId="53CF9AEC" w:rsidR="00313DC2" w:rsidRPr="00FD016C" w:rsidRDefault="00313DC2" w:rsidP="00C17ACA">
      <w:pPr>
        <w:jc w:val="both"/>
        <w:rPr>
          <w:rFonts w:ascii="Segoe UI" w:hAnsi="Segoe UI" w:cs="Segoe UI"/>
          <w:color w:val="0070C0"/>
          <w:sz w:val="20"/>
          <w:szCs w:val="20"/>
        </w:rPr>
      </w:pPr>
      <w:r w:rsidRPr="00FD016C">
        <w:rPr>
          <w:rFonts w:ascii="Verdana" w:hAnsi="Verdana"/>
          <w:sz w:val="20"/>
          <w:szCs w:val="20"/>
          <w:lang w:eastAsia="en-GB"/>
        </w:rPr>
        <w:t>A assinatura do contrato depende da aprovação do Conselho de Administração da Eletrobras, considerando os estudos e o avanço das discussões entre o MME, ME e BNDES a respeito da tarifa de equilíbrio do Projeto. Para dar suporte ao Conselho de Administração da Eletrobras na decisão de aprovar a assinatura do contrato, a ELETRONUCLEAR realizou um estudo atualizado da tarifa de equilíbrio de Angra 3, incluindo cenários e análise de sensibilidade. Para realização do estudo mencionado, foi firmado em setembro</w:t>
      </w:r>
      <w:r w:rsidR="001D51AC">
        <w:rPr>
          <w:rFonts w:ascii="Verdana" w:hAnsi="Verdana"/>
          <w:sz w:val="20"/>
          <w:szCs w:val="20"/>
          <w:lang w:eastAsia="en-GB"/>
        </w:rPr>
        <w:t xml:space="preserve"> </w:t>
      </w:r>
      <w:r w:rsidR="00E75CD4">
        <w:rPr>
          <w:rFonts w:ascii="Verdana" w:hAnsi="Verdana"/>
          <w:sz w:val="20"/>
          <w:szCs w:val="20"/>
          <w:lang w:eastAsia="en-GB"/>
        </w:rPr>
        <w:t xml:space="preserve">de </w:t>
      </w:r>
      <w:r w:rsidR="001D51AC">
        <w:rPr>
          <w:rFonts w:ascii="Verdana" w:hAnsi="Verdana"/>
          <w:sz w:val="20"/>
          <w:szCs w:val="20"/>
          <w:lang w:eastAsia="en-GB"/>
        </w:rPr>
        <w:t>2021</w:t>
      </w:r>
      <w:r w:rsidRPr="00FD016C">
        <w:rPr>
          <w:rFonts w:ascii="Verdana" w:hAnsi="Verdana"/>
          <w:sz w:val="20"/>
          <w:szCs w:val="20"/>
          <w:lang w:eastAsia="en-GB"/>
        </w:rPr>
        <w:t xml:space="preserve"> um aditamento contratual específico com a consultora Alvarez &amp; </w:t>
      </w:r>
      <w:proofErr w:type="spellStart"/>
      <w:r w:rsidRPr="00FD016C">
        <w:rPr>
          <w:rFonts w:ascii="Verdana" w:hAnsi="Verdana"/>
          <w:sz w:val="20"/>
          <w:szCs w:val="20"/>
          <w:lang w:eastAsia="en-GB"/>
        </w:rPr>
        <w:t>Marsal</w:t>
      </w:r>
      <w:proofErr w:type="spellEnd"/>
      <w:r w:rsidRPr="00FD016C">
        <w:rPr>
          <w:rFonts w:ascii="Verdana" w:hAnsi="Verdana"/>
          <w:sz w:val="20"/>
          <w:szCs w:val="20"/>
          <w:lang w:eastAsia="en-GB"/>
        </w:rPr>
        <w:t xml:space="preserve"> que apresentou os resultados para a ELETRONUCLEAR e sua holding.</w:t>
      </w:r>
      <w:r w:rsidRPr="00FD016C">
        <w:rPr>
          <w:rFonts w:ascii="Segoe UI" w:hAnsi="Segoe UI" w:cs="Segoe UI"/>
          <w:color w:val="0070C0"/>
          <w:sz w:val="20"/>
          <w:szCs w:val="20"/>
        </w:rPr>
        <w:t> </w:t>
      </w:r>
    </w:p>
    <w:p w14:paraId="18E1BB71" w14:textId="77777777" w:rsidR="00C17ACA" w:rsidRPr="00FD016C" w:rsidRDefault="00C17ACA" w:rsidP="00C17ACA">
      <w:pPr>
        <w:jc w:val="both"/>
        <w:rPr>
          <w:rFonts w:ascii="Segoe UI" w:hAnsi="Segoe UI" w:cs="Segoe UI"/>
          <w:color w:val="0070C0"/>
          <w:sz w:val="20"/>
          <w:szCs w:val="20"/>
        </w:rPr>
      </w:pPr>
    </w:p>
    <w:p w14:paraId="3E95881F" w14:textId="55A4A933" w:rsidR="00EF0FFA" w:rsidRPr="00FD016C" w:rsidRDefault="00804309" w:rsidP="00EF0FFA">
      <w:pPr>
        <w:jc w:val="both"/>
        <w:rPr>
          <w:rFonts w:ascii="Verdana" w:hAnsi="Verdana" w:cs="Arial"/>
          <w:iCs/>
          <w:sz w:val="20"/>
          <w:szCs w:val="20"/>
        </w:rPr>
      </w:pPr>
      <w:bookmarkStart w:id="3" w:name="_Hlk66659268"/>
      <w:bookmarkEnd w:id="2"/>
      <w:r w:rsidRPr="00FD016C">
        <w:rPr>
          <w:rFonts w:ascii="Verdana" w:hAnsi="Verdana" w:cs="Arial"/>
          <w:iCs/>
          <w:sz w:val="20"/>
          <w:szCs w:val="20"/>
        </w:rPr>
        <w:t xml:space="preserve">Em que pesem as necessidades para a viabilidade de conclusão do empreendimento “Angra 3” estejam endereçadas no mais alto nível da administração governamental, por meio de esforços conjuntos do poder executivo e coordenados pelo Ministério de Minas e Energia - MME, a Companhia tem, juntamente </w:t>
      </w:r>
      <w:r w:rsidR="00CA521E" w:rsidRPr="00FD016C">
        <w:rPr>
          <w:rFonts w:ascii="Verdana" w:hAnsi="Verdana" w:cs="Arial"/>
          <w:iCs/>
          <w:sz w:val="20"/>
          <w:szCs w:val="20"/>
        </w:rPr>
        <w:t xml:space="preserve">com </w:t>
      </w:r>
      <w:r w:rsidRPr="00FD016C">
        <w:rPr>
          <w:rFonts w:ascii="Verdana" w:hAnsi="Verdana" w:cs="Arial"/>
          <w:iCs/>
          <w:sz w:val="20"/>
          <w:szCs w:val="20"/>
        </w:rPr>
        <w:t xml:space="preserve">a sua </w:t>
      </w:r>
      <w:r w:rsidRPr="00FD016C">
        <w:rPr>
          <w:rFonts w:ascii="Verdana" w:hAnsi="Verdana" w:cs="Arial"/>
          <w:i/>
          <w:iCs/>
          <w:sz w:val="20"/>
          <w:szCs w:val="20"/>
        </w:rPr>
        <w:t>holding</w:t>
      </w:r>
      <w:r w:rsidRPr="00FD016C">
        <w:rPr>
          <w:rFonts w:ascii="Verdana" w:hAnsi="Verdana" w:cs="Arial"/>
          <w:iCs/>
          <w:sz w:val="20"/>
          <w:szCs w:val="20"/>
        </w:rPr>
        <w:t xml:space="preserve"> Eletrobras, buscado alternativas para mitigar os riscos de liquidez de curto prazo, sendo estas alternativas alcançadas por meio de alívios no seu fluxo de caixa, sob a forma de manutenção de suspen</w:t>
      </w:r>
      <w:r w:rsidR="00CA521E" w:rsidRPr="00FD016C">
        <w:rPr>
          <w:rFonts w:ascii="Verdana" w:hAnsi="Verdana" w:cs="Arial"/>
          <w:iCs/>
          <w:sz w:val="20"/>
          <w:szCs w:val="20"/>
        </w:rPr>
        <w:t>s</w:t>
      </w:r>
      <w:r w:rsidRPr="00FD016C">
        <w:rPr>
          <w:rFonts w:ascii="Verdana" w:hAnsi="Verdana" w:cs="Arial"/>
          <w:iCs/>
          <w:sz w:val="20"/>
          <w:szCs w:val="20"/>
        </w:rPr>
        <w:t xml:space="preserve">ões de pagamentos de amortizações em contratos de financiamentos junto à própria Eletrobras, bem como na obtenção de novos aportes de sua </w:t>
      </w:r>
      <w:r w:rsidRPr="00FD016C">
        <w:rPr>
          <w:rFonts w:ascii="Verdana" w:hAnsi="Verdana" w:cs="Arial"/>
          <w:i/>
          <w:iCs/>
          <w:sz w:val="20"/>
          <w:szCs w:val="20"/>
        </w:rPr>
        <w:t>holding</w:t>
      </w:r>
      <w:r w:rsidRPr="00FD016C">
        <w:rPr>
          <w:rFonts w:ascii="Verdana" w:hAnsi="Verdana" w:cs="Arial"/>
          <w:iCs/>
          <w:sz w:val="20"/>
          <w:szCs w:val="20"/>
        </w:rPr>
        <w:t xml:space="preserve"> c</w:t>
      </w:r>
      <w:r w:rsidR="00371E0C" w:rsidRPr="00FD016C">
        <w:rPr>
          <w:rFonts w:ascii="Verdana" w:hAnsi="Verdana" w:cs="Arial"/>
          <w:iCs/>
          <w:sz w:val="20"/>
          <w:szCs w:val="20"/>
        </w:rPr>
        <w:t>onforme observado na</w:t>
      </w:r>
      <w:r w:rsidR="00010B53" w:rsidRPr="00FD016C">
        <w:rPr>
          <w:rFonts w:ascii="Verdana" w:hAnsi="Verdana" w:cs="Arial"/>
          <w:iCs/>
          <w:sz w:val="20"/>
          <w:szCs w:val="20"/>
        </w:rPr>
        <w:t xml:space="preserve"> nota 25</w:t>
      </w:r>
      <w:r w:rsidRPr="00FD016C">
        <w:rPr>
          <w:rFonts w:ascii="Verdana" w:hAnsi="Verdana" w:cs="Arial"/>
          <w:iCs/>
          <w:sz w:val="20"/>
          <w:szCs w:val="20"/>
        </w:rPr>
        <w:t>.</w:t>
      </w:r>
      <w:r w:rsidR="00EF0FFA" w:rsidRPr="00FD016C">
        <w:rPr>
          <w:rFonts w:ascii="Verdana" w:hAnsi="Verdana" w:cs="Arial"/>
          <w:iCs/>
          <w:sz w:val="20"/>
          <w:szCs w:val="20"/>
        </w:rPr>
        <w:t xml:space="preserve"> </w:t>
      </w:r>
    </w:p>
    <w:bookmarkEnd w:id="3"/>
    <w:p w14:paraId="0993DE0A" w14:textId="77777777" w:rsidR="00EF0FFA" w:rsidRPr="00FD016C" w:rsidRDefault="00EF0FFA" w:rsidP="00EF0FFA">
      <w:pPr>
        <w:jc w:val="both"/>
        <w:rPr>
          <w:rFonts w:ascii="Verdana" w:hAnsi="Verdana" w:cs="Arial"/>
          <w:iCs/>
          <w:sz w:val="20"/>
          <w:szCs w:val="20"/>
        </w:rPr>
      </w:pPr>
    </w:p>
    <w:p w14:paraId="08B9D1C5" w14:textId="71D21393" w:rsidR="00EF0FFA" w:rsidRPr="00FD016C" w:rsidRDefault="00EF0FFA" w:rsidP="00EF0FFA">
      <w:pPr>
        <w:jc w:val="both"/>
        <w:rPr>
          <w:rFonts w:ascii="Verdana" w:hAnsi="Verdana" w:cs="Arial"/>
          <w:iCs/>
          <w:sz w:val="20"/>
          <w:szCs w:val="20"/>
        </w:rPr>
      </w:pPr>
      <w:bookmarkStart w:id="4" w:name="_Hlk66659279"/>
      <w:r w:rsidRPr="00FD016C">
        <w:rPr>
          <w:rFonts w:ascii="Verdana" w:hAnsi="Verdana" w:cs="Arial"/>
          <w:iCs/>
          <w:sz w:val="20"/>
          <w:szCs w:val="20"/>
        </w:rPr>
        <w:lastRenderedPageBreak/>
        <w:t>Do ponto de vista legal e jurídico, em 01</w:t>
      </w:r>
      <w:r w:rsidR="009D166E" w:rsidRPr="00FD016C">
        <w:rPr>
          <w:rFonts w:ascii="Verdana" w:hAnsi="Verdana" w:cs="Arial"/>
          <w:iCs/>
          <w:sz w:val="20"/>
          <w:szCs w:val="20"/>
        </w:rPr>
        <w:t xml:space="preserve"> de setembro de 2020,</w:t>
      </w:r>
      <w:r w:rsidRPr="00FD016C">
        <w:rPr>
          <w:rFonts w:ascii="Verdana" w:hAnsi="Verdana" w:cs="Arial"/>
          <w:iCs/>
          <w:sz w:val="20"/>
          <w:szCs w:val="20"/>
        </w:rPr>
        <w:t xml:space="preserve"> foi editada a Medida Provisória nº 998</w:t>
      </w:r>
      <w:r w:rsidR="009D166E" w:rsidRPr="00FD016C">
        <w:rPr>
          <w:rFonts w:ascii="Verdana" w:hAnsi="Verdana" w:cs="Arial"/>
          <w:iCs/>
          <w:sz w:val="20"/>
          <w:szCs w:val="20"/>
        </w:rPr>
        <w:t xml:space="preserve"> de 2020</w:t>
      </w:r>
      <w:r w:rsidRPr="00FD016C">
        <w:rPr>
          <w:rFonts w:ascii="Verdana" w:hAnsi="Verdana" w:cs="Arial"/>
          <w:iCs/>
          <w:sz w:val="20"/>
          <w:szCs w:val="20"/>
        </w:rPr>
        <w:t xml:space="preserve"> (DOU de </w:t>
      </w:r>
      <w:r w:rsidR="009D166E" w:rsidRPr="00FD016C">
        <w:rPr>
          <w:rFonts w:ascii="Verdana" w:hAnsi="Verdana" w:cs="Arial"/>
          <w:iCs/>
          <w:sz w:val="20"/>
          <w:szCs w:val="20"/>
        </w:rPr>
        <w:t xml:space="preserve"> 02 de setembro de 2020</w:t>
      </w:r>
      <w:r w:rsidRPr="00FD016C">
        <w:rPr>
          <w:rFonts w:ascii="Verdana" w:hAnsi="Verdana" w:cs="Arial"/>
          <w:iCs/>
          <w:sz w:val="20"/>
          <w:szCs w:val="20"/>
        </w:rPr>
        <w:t>), que trazia diversos aspectos relevantes do Setor Elétrico Brasileiro e um artigo dedicado especificamente ao projeto de Angra 3, estabelecendo novos parâmetros para outorga da usina, além da autorização para celebração de um novo Contrato de Energia de Reserva</w:t>
      </w:r>
      <w:r w:rsidR="00CA521E" w:rsidRPr="00FD016C">
        <w:rPr>
          <w:rFonts w:ascii="Verdana" w:hAnsi="Verdana" w:cs="Arial"/>
          <w:iCs/>
          <w:sz w:val="20"/>
          <w:szCs w:val="20"/>
        </w:rPr>
        <w:t xml:space="preserve"> -</w:t>
      </w:r>
      <w:r w:rsidRPr="00FD016C">
        <w:rPr>
          <w:rFonts w:ascii="Verdana" w:hAnsi="Verdana" w:cs="Arial"/>
          <w:iCs/>
          <w:sz w:val="20"/>
          <w:szCs w:val="20"/>
        </w:rPr>
        <w:t xml:space="preserve"> CER e, principalmente, definindo que o preço de venda da energia deverá garantir a viabilidade econômic</w:t>
      </w:r>
      <w:r w:rsidR="005740C3" w:rsidRPr="00FD016C">
        <w:rPr>
          <w:rFonts w:ascii="Verdana" w:hAnsi="Verdana" w:cs="Arial"/>
          <w:iCs/>
          <w:sz w:val="20"/>
          <w:szCs w:val="20"/>
        </w:rPr>
        <w:t>o</w:t>
      </w:r>
      <w:r w:rsidRPr="00FD016C">
        <w:rPr>
          <w:rFonts w:ascii="Verdana" w:hAnsi="Verdana" w:cs="Arial"/>
          <w:iCs/>
          <w:sz w:val="20"/>
          <w:szCs w:val="20"/>
        </w:rPr>
        <w:t>-financeir</w:t>
      </w:r>
      <w:r w:rsidR="005740C3" w:rsidRPr="00FD016C">
        <w:rPr>
          <w:rFonts w:ascii="Verdana" w:hAnsi="Verdana" w:cs="Arial"/>
          <w:iCs/>
          <w:sz w:val="20"/>
          <w:szCs w:val="20"/>
        </w:rPr>
        <w:t>a</w:t>
      </w:r>
      <w:r w:rsidRPr="00FD016C">
        <w:rPr>
          <w:rFonts w:ascii="Verdana" w:hAnsi="Verdana" w:cs="Arial"/>
          <w:iCs/>
          <w:sz w:val="20"/>
          <w:szCs w:val="20"/>
        </w:rPr>
        <w:t xml:space="preserve"> do projeto. A referida MP foi aprovada na Câmara dos Deputados em 17</w:t>
      </w:r>
      <w:r w:rsidR="009D166E" w:rsidRPr="00FD016C">
        <w:rPr>
          <w:rFonts w:ascii="Verdana" w:hAnsi="Verdana" w:cs="Arial"/>
          <w:iCs/>
          <w:sz w:val="20"/>
          <w:szCs w:val="20"/>
        </w:rPr>
        <w:t xml:space="preserve"> de dezembro de </w:t>
      </w:r>
      <w:r w:rsidRPr="00FD016C">
        <w:rPr>
          <w:rFonts w:ascii="Verdana" w:hAnsi="Verdana" w:cs="Arial"/>
          <w:iCs/>
          <w:sz w:val="20"/>
          <w:szCs w:val="20"/>
        </w:rPr>
        <w:t xml:space="preserve">2020 na forma de Projeto de Conversão de Lei – PLC nº 42/2020 e depois pelo Senado Federal em </w:t>
      </w:r>
      <w:r w:rsidR="009D166E" w:rsidRPr="00FD016C">
        <w:rPr>
          <w:rFonts w:ascii="Verdana" w:hAnsi="Verdana" w:cs="Arial"/>
          <w:iCs/>
          <w:sz w:val="20"/>
          <w:szCs w:val="20"/>
        </w:rPr>
        <w:t>04 de fevereiro de 2021</w:t>
      </w:r>
      <w:r w:rsidRPr="00FD016C">
        <w:rPr>
          <w:rFonts w:ascii="Verdana" w:hAnsi="Verdana" w:cs="Arial"/>
          <w:iCs/>
          <w:sz w:val="20"/>
          <w:szCs w:val="20"/>
        </w:rPr>
        <w:t xml:space="preserve">. </w:t>
      </w:r>
    </w:p>
    <w:p w14:paraId="5BB12584" w14:textId="77777777" w:rsidR="00EF0FFA" w:rsidRPr="00FD016C" w:rsidRDefault="00EF0FFA" w:rsidP="00EF0FFA">
      <w:pPr>
        <w:jc w:val="both"/>
        <w:rPr>
          <w:rFonts w:ascii="Verdana" w:hAnsi="Verdana" w:cs="Arial"/>
          <w:iCs/>
          <w:sz w:val="20"/>
          <w:szCs w:val="20"/>
        </w:rPr>
      </w:pPr>
    </w:p>
    <w:p w14:paraId="35F92693" w14:textId="1116931A" w:rsidR="00EF0FFA" w:rsidRPr="00FD016C" w:rsidRDefault="00EF0FFA" w:rsidP="00EF0FFA">
      <w:pPr>
        <w:jc w:val="both"/>
        <w:rPr>
          <w:rFonts w:ascii="Verdana" w:hAnsi="Verdana" w:cs="Arial"/>
          <w:iCs/>
          <w:sz w:val="20"/>
          <w:szCs w:val="20"/>
        </w:rPr>
      </w:pPr>
      <w:r w:rsidRPr="00FD016C">
        <w:rPr>
          <w:rFonts w:ascii="Verdana" w:hAnsi="Verdana" w:cs="Arial"/>
          <w:iCs/>
          <w:sz w:val="20"/>
          <w:szCs w:val="20"/>
        </w:rPr>
        <w:t>Em 01</w:t>
      </w:r>
      <w:r w:rsidR="009D166E" w:rsidRPr="00FD016C">
        <w:rPr>
          <w:rFonts w:ascii="Verdana" w:hAnsi="Verdana" w:cs="Arial"/>
          <w:iCs/>
          <w:sz w:val="20"/>
          <w:szCs w:val="20"/>
        </w:rPr>
        <w:t xml:space="preserve"> de março de 2021</w:t>
      </w:r>
      <w:r w:rsidR="005740C3" w:rsidRPr="00FD016C">
        <w:rPr>
          <w:rFonts w:ascii="Verdana" w:hAnsi="Verdana" w:cs="Arial"/>
          <w:iCs/>
          <w:sz w:val="20"/>
          <w:szCs w:val="20"/>
        </w:rPr>
        <w:t>,</w:t>
      </w:r>
      <w:r w:rsidRPr="00FD016C">
        <w:rPr>
          <w:rFonts w:ascii="Verdana" w:hAnsi="Verdana" w:cs="Arial"/>
          <w:iCs/>
          <w:sz w:val="20"/>
          <w:szCs w:val="20"/>
        </w:rPr>
        <w:t xml:space="preserve"> o texto da MP 99</w:t>
      </w:r>
      <w:r w:rsidR="003D1D44" w:rsidRPr="00FD016C">
        <w:rPr>
          <w:rFonts w:ascii="Verdana" w:hAnsi="Verdana" w:cs="Arial"/>
          <w:iCs/>
          <w:sz w:val="20"/>
          <w:szCs w:val="20"/>
        </w:rPr>
        <w:t>8</w:t>
      </w:r>
      <w:r w:rsidRPr="00FD016C">
        <w:rPr>
          <w:rFonts w:ascii="Verdana" w:hAnsi="Verdana" w:cs="Arial"/>
          <w:iCs/>
          <w:sz w:val="20"/>
          <w:szCs w:val="20"/>
        </w:rPr>
        <w:t>/20 foi sancionado p</w:t>
      </w:r>
      <w:r w:rsidR="00FE69D9" w:rsidRPr="00FD016C">
        <w:rPr>
          <w:rFonts w:ascii="Verdana" w:hAnsi="Verdana" w:cs="Arial"/>
          <w:iCs/>
          <w:sz w:val="20"/>
          <w:szCs w:val="20"/>
        </w:rPr>
        <w:t>elo Sr. Presidente da República</w:t>
      </w:r>
      <w:r w:rsidR="008D5EFB" w:rsidRPr="00FD016C">
        <w:rPr>
          <w:rFonts w:ascii="Verdana" w:hAnsi="Verdana" w:cs="Arial"/>
          <w:iCs/>
          <w:sz w:val="20"/>
          <w:szCs w:val="20"/>
        </w:rPr>
        <w:t xml:space="preserve"> e convertida na </w:t>
      </w:r>
      <w:r w:rsidRPr="00FD016C">
        <w:rPr>
          <w:rFonts w:ascii="Verdana" w:hAnsi="Verdana" w:cs="Arial"/>
          <w:iCs/>
          <w:sz w:val="20"/>
          <w:szCs w:val="20"/>
        </w:rPr>
        <w:t>Lei 14.120/2021. A Lei estabelece um marco legal para diversas questões relacionadas ao empreendimento, dando segurança jurídica para que a ELETRONUCLEAR possa investir na retomada da usina.</w:t>
      </w:r>
    </w:p>
    <w:p w14:paraId="3249A547" w14:textId="77777777" w:rsidR="00EF0FFA" w:rsidRPr="00FD016C" w:rsidRDefault="00EF0FFA" w:rsidP="00EF0FFA">
      <w:pPr>
        <w:jc w:val="both"/>
        <w:rPr>
          <w:rFonts w:ascii="Verdana" w:hAnsi="Verdana" w:cs="Arial"/>
          <w:iCs/>
          <w:sz w:val="20"/>
          <w:szCs w:val="20"/>
        </w:rPr>
      </w:pPr>
    </w:p>
    <w:p w14:paraId="4E566065" w14:textId="521B5476" w:rsidR="00EF0FFA" w:rsidRPr="00FD016C" w:rsidRDefault="00EF0FFA" w:rsidP="00EF0FFA">
      <w:pPr>
        <w:jc w:val="both"/>
        <w:rPr>
          <w:rFonts w:ascii="Verdana" w:hAnsi="Verdana" w:cs="Arial"/>
          <w:iCs/>
          <w:sz w:val="20"/>
          <w:szCs w:val="20"/>
        </w:rPr>
      </w:pPr>
      <w:r w:rsidRPr="00FD016C">
        <w:rPr>
          <w:rFonts w:ascii="Verdana" w:hAnsi="Verdana" w:cs="Arial"/>
          <w:iCs/>
          <w:sz w:val="20"/>
          <w:szCs w:val="20"/>
        </w:rPr>
        <w:t xml:space="preserve">Uma das mais importantes é a rescisão do contrato de energia de reserva existente, sem prejuízo às partes envolvidas, além da </w:t>
      </w:r>
      <w:proofErr w:type="spellStart"/>
      <w:r w:rsidRPr="00FD016C">
        <w:rPr>
          <w:rFonts w:ascii="Verdana" w:hAnsi="Verdana" w:cs="Arial"/>
          <w:iCs/>
          <w:sz w:val="20"/>
          <w:szCs w:val="20"/>
        </w:rPr>
        <w:t>pactuação</w:t>
      </w:r>
      <w:proofErr w:type="spellEnd"/>
      <w:r w:rsidRPr="00FD016C">
        <w:rPr>
          <w:rFonts w:ascii="Verdana" w:hAnsi="Verdana" w:cs="Arial"/>
          <w:iCs/>
          <w:sz w:val="20"/>
          <w:szCs w:val="20"/>
        </w:rPr>
        <w:t xml:space="preserve"> de um novo contrato, com preço da energia que atenda à rentabilidade do empreendimento e à modicidade tarifária. Neste sentido, salienta-se que a Resolução 14, de 9 de outubro de 2018, que define o preço de </w:t>
      </w:r>
      <w:bookmarkStart w:id="5" w:name="_Hlk66659288"/>
      <w:bookmarkEnd w:id="4"/>
      <w:r w:rsidRPr="00FD016C">
        <w:rPr>
          <w:rFonts w:ascii="Verdana" w:hAnsi="Verdana" w:cs="Arial"/>
          <w:iCs/>
          <w:sz w:val="20"/>
          <w:szCs w:val="20"/>
        </w:rPr>
        <w:t>referência para Angra 3, continua vigente e que os estudos em andamento do BNDES</w:t>
      </w:r>
      <w:r w:rsidR="001C382B">
        <w:rPr>
          <w:rFonts w:ascii="Verdana" w:hAnsi="Verdana" w:cs="Arial"/>
          <w:iCs/>
          <w:sz w:val="20"/>
          <w:szCs w:val="20"/>
        </w:rPr>
        <w:t>,</w:t>
      </w:r>
      <w:r w:rsidR="001C382B" w:rsidRPr="001C382B">
        <w:rPr>
          <w:rFonts w:ascii="Verdana" w:hAnsi="Verdana" w:cs="Calibri"/>
          <w:color w:val="201F1E"/>
          <w:sz w:val="20"/>
          <w:szCs w:val="20"/>
          <w:bdr w:val="none" w:sz="0" w:space="0" w:color="auto" w:frame="1"/>
        </w:rPr>
        <w:t xml:space="preserve"> </w:t>
      </w:r>
      <w:r w:rsidR="001C382B">
        <w:rPr>
          <w:rFonts w:ascii="Verdana" w:hAnsi="Verdana" w:cs="Calibri"/>
          <w:color w:val="201F1E"/>
          <w:sz w:val="20"/>
          <w:szCs w:val="20"/>
          <w:bdr w:val="none" w:sz="0" w:space="0" w:color="auto" w:frame="1"/>
        </w:rPr>
        <w:t xml:space="preserve">que conta com uma </w:t>
      </w:r>
      <w:proofErr w:type="spellStart"/>
      <w:r w:rsidR="001C382B">
        <w:rPr>
          <w:rFonts w:ascii="Verdana" w:hAnsi="Verdana" w:cs="Calibri"/>
          <w:color w:val="201F1E"/>
          <w:sz w:val="20"/>
          <w:szCs w:val="20"/>
          <w:bdr w:val="none" w:sz="0" w:space="0" w:color="auto" w:frame="1"/>
        </w:rPr>
        <w:t>due</w:t>
      </w:r>
      <w:proofErr w:type="spellEnd"/>
      <w:r w:rsidR="001C382B">
        <w:rPr>
          <w:rFonts w:ascii="Verdana" w:hAnsi="Verdana" w:cs="Calibri"/>
          <w:color w:val="201F1E"/>
          <w:sz w:val="20"/>
          <w:szCs w:val="20"/>
          <w:bdr w:val="none" w:sz="0" w:space="0" w:color="auto" w:frame="1"/>
        </w:rPr>
        <w:t xml:space="preserve"> </w:t>
      </w:r>
      <w:proofErr w:type="spellStart"/>
      <w:r w:rsidR="001C382B">
        <w:rPr>
          <w:rFonts w:ascii="Verdana" w:hAnsi="Verdana" w:cs="Calibri"/>
          <w:color w:val="201F1E"/>
          <w:sz w:val="20"/>
          <w:szCs w:val="20"/>
          <w:bdr w:val="none" w:sz="0" w:space="0" w:color="auto" w:frame="1"/>
        </w:rPr>
        <w:t>diligence</w:t>
      </w:r>
      <w:proofErr w:type="spellEnd"/>
      <w:r w:rsidR="001C382B">
        <w:rPr>
          <w:rFonts w:ascii="Verdana" w:hAnsi="Verdana" w:cs="Calibri"/>
          <w:color w:val="201F1E"/>
          <w:sz w:val="20"/>
          <w:szCs w:val="20"/>
          <w:bdr w:val="none" w:sz="0" w:space="0" w:color="auto" w:frame="1"/>
        </w:rPr>
        <w:t xml:space="preserve"> técnico-operacional realizada pelo consórcio </w:t>
      </w:r>
      <w:r w:rsidR="001C382B" w:rsidRPr="007852E1">
        <w:rPr>
          <w:rFonts w:ascii="Verdana" w:hAnsi="Verdana" w:cs="Calibri"/>
          <w:color w:val="201F1E"/>
          <w:sz w:val="20"/>
          <w:szCs w:val="20"/>
          <w:bdr w:val="none" w:sz="0" w:space="0" w:color="auto" w:frame="1"/>
        </w:rPr>
        <w:t>composto pelas empresas Tractebel Brasil,</w:t>
      </w:r>
      <w:r w:rsidR="001C382B">
        <w:rPr>
          <w:rFonts w:ascii="Verdana" w:hAnsi="Verdana" w:cs="Calibri"/>
          <w:color w:val="201F1E"/>
          <w:sz w:val="20"/>
          <w:szCs w:val="20"/>
          <w:bdr w:val="none" w:sz="0" w:space="0" w:color="auto" w:frame="1"/>
        </w:rPr>
        <w:t xml:space="preserve"> </w:t>
      </w:r>
      <w:r w:rsidR="001C382B" w:rsidRPr="007852E1">
        <w:rPr>
          <w:rFonts w:ascii="Verdana" w:hAnsi="Verdana" w:cs="Calibri"/>
          <w:color w:val="201F1E"/>
          <w:sz w:val="20"/>
          <w:szCs w:val="20"/>
          <w:bdr w:val="none" w:sz="0" w:space="0" w:color="auto" w:frame="1"/>
        </w:rPr>
        <w:t>Tractebel Bélgica e Empresários Agrupados (Espanha), contratado</w:t>
      </w:r>
      <w:r w:rsidR="001C382B">
        <w:rPr>
          <w:rFonts w:ascii="Verdana" w:hAnsi="Verdana" w:cs="Calibri"/>
          <w:color w:val="201F1E"/>
          <w:sz w:val="20"/>
          <w:szCs w:val="20"/>
          <w:bdr w:val="none" w:sz="0" w:space="0" w:color="auto" w:frame="1"/>
        </w:rPr>
        <w:t>s</w:t>
      </w:r>
      <w:r w:rsidR="001C382B" w:rsidRPr="007852E1">
        <w:rPr>
          <w:rFonts w:ascii="Verdana" w:hAnsi="Verdana" w:cs="Calibri"/>
          <w:color w:val="201F1E"/>
          <w:sz w:val="20"/>
          <w:szCs w:val="20"/>
          <w:bdr w:val="none" w:sz="0" w:space="0" w:color="auto" w:frame="1"/>
        </w:rPr>
        <w:t xml:space="preserve"> pelo </w:t>
      </w:r>
      <w:r w:rsidR="001C382B">
        <w:rPr>
          <w:rFonts w:ascii="Verdana" w:hAnsi="Verdana" w:cs="Calibri"/>
          <w:color w:val="201F1E"/>
          <w:sz w:val="20"/>
          <w:szCs w:val="20"/>
          <w:bdr w:val="none" w:sz="0" w:space="0" w:color="auto" w:frame="1"/>
        </w:rPr>
        <w:t>banco de fomento,</w:t>
      </w:r>
      <w:r w:rsidRPr="00FD016C">
        <w:rPr>
          <w:rFonts w:ascii="Verdana" w:hAnsi="Verdana" w:cs="Arial"/>
          <w:iCs/>
          <w:sz w:val="20"/>
          <w:szCs w:val="20"/>
        </w:rPr>
        <w:t xml:space="preserve"> conterão informações mais atualizadas com a realidade da </w:t>
      </w:r>
      <w:r w:rsidR="002618A3" w:rsidRPr="00FD016C">
        <w:rPr>
          <w:rFonts w:ascii="Verdana" w:hAnsi="Verdana" w:cs="Arial"/>
          <w:iCs/>
          <w:sz w:val="20"/>
          <w:szCs w:val="20"/>
        </w:rPr>
        <w:t>u</w:t>
      </w:r>
      <w:r w:rsidRPr="00FD016C">
        <w:rPr>
          <w:rFonts w:ascii="Verdana" w:hAnsi="Verdana" w:cs="Arial"/>
          <w:iCs/>
          <w:sz w:val="20"/>
          <w:szCs w:val="20"/>
        </w:rPr>
        <w:t>sina, como</w:t>
      </w:r>
      <w:r w:rsidR="002618A3" w:rsidRPr="00FD016C">
        <w:rPr>
          <w:rFonts w:ascii="Verdana" w:hAnsi="Verdana" w:cs="Arial"/>
          <w:iCs/>
          <w:sz w:val="20"/>
          <w:szCs w:val="20"/>
        </w:rPr>
        <w:t>,</w:t>
      </w:r>
      <w:r w:rsidRPr="00FD016C">
        <w:rPr>
          <w:rFonts w:ascii="Verdana" w:hAnsi="Verdana" w:cs="Arial"/>
          <w:iCs/>
          <w:sz w:val="20"/>
          <w:szCs w:val="20"/>
        </w:rPr>
        <w:t xml:space="preserve"> por exemplo, a realização de avaliação das condições da obra civil e equipamentos e a atualização do orçamento da obra</w:t>
      </w:r>
      <w:r w:rsidR="009D166E" w:rsidRPr="00FD016C">
        <w:rPr>
          <w:rFonts w:ascii="Verdana" w:hAnsi="Verdana" w:cs="Arial"/>
          <w:iCs/>
          <w:sz w:val="20"/>
          <w:szCs w:val="20"/>
        </w:rPr>
        <w:t xml:space="preserve"> </w:t>
      </w:r>
      <w:r w:rsidRPr="00FD016C">
        <w:rPr>
          <w:rFonts w:ascii="Verdana" w:hAnsi="Verdana" w:cs="Arial"/>
          <w:iCs/>
          <w:sz w:val="20"/>
          <w:szCs w:val="20"/>
        </w:rPr>
        <w:t xml:space="preserve">conforme os impactos gerados </w:t>
      </w:r>
      <w:r w:rsidR="002618A3" w:rsidRPr="00FD016C">
        <w:rPr>
          <w:rFonts w:ascii="Verdana" w:hAnsi="Verdana" w:cs="Arial"/>
          <w:iCs/>
          <w:sz w:val="20"/>
          <w:szCs w:val="20"/>
        </w:rPr>
        <w:t xml:space="preserve">em decorrência  </w:t>
      </w:r>
      <w:r w:rsidRPr="00FD016C">
        <w:rPr>
          <w:rFonts w:ascii="Verdana" w:hAnsi="Verdana" w:cs="Arial"/>
          <w:iCs/>
          <w:sz w:val="20"/>
          <w:szCs w:val="20"/>
        </w:rPr>
        <w:t xml:space="preserve">do fim do </w:t>
      </w:r>
      <w:r w:rsidR="000568D2" w:rsidRPr="00FD016C">
        <w:rPr>
          <w:rFonts w:ascii="Verdana" w:hAnsi="Verdana" w:cs="Arial"/>
          <w:iCs/>
          <w:sz w:val="20"/>
          <w:szCs w:val="20"/>
        </w:rPr>
        <w:t xml:space="preserve"> Regime Especial de Incentivos para o Desenvolvimento de  Usinas Nucleares - </w:t>
      </w:r>
      <w:r w:rsidRPr="00FD016C">
        <w:rPr>
          <w:rFonts w:ascii="Verdana" w:hAnsi="Verdana" w:cs="Arial"/>
          <w:iCs/>
          <w:sz w:val="20"/>
          <w:szCs w:val="20"/>
        </w:rPr>
        <w:t>RENUCLEAR, da forte apreciação do Euro em relação ao Real e da inclusão da estimativa de aquisição de elementos combustíveis que foram utilizados em Angra 2. Haverá</w:t>
      </w:r>
      <w:r w:rsidR="002618A3" w:rsidRPr="00FD016C">
        <w:rPr>
          <w:rFonts w:ascii="Verdana" w:hAnsi="Verdana" w:cs="Arial"/>
          <w:iCs/>
          <w:sz w:val="20"/>
          <w:szCs w:val="20"/>
        </w:rPr>
        <w:t>,</w:t>
      </w:r>
      <w:r w:rsidRPr="00FD016C">
        <w:rPr>
          <w:rFonts w:ascii="Verdana" w:hAnsi="Verdana" w:cs="Arial"/>
          <w:iCs/>
          <w:sz w:val="20"/>
          <w:szCs w:val="20"/>
        </w:rPr>
        <w:t xml:space="preserve"> ainda</w:t>
      </w:r>
      <w:r w:rsidR="002618A3" w:rsidRPr="00FD016C">
        <w:rPr>
          <w:rFonts w:ascii="Verdana" w:hAnsi="Verdana" w:cs="Arial"/>
          <w:iCs/>
          <w:sz w:val="20"/>
          <w:szCs w:val="20"/>
        </w:rPr>
        <w:t>,</w:t>
      </w:r>
      <w:r w:rsidRPr="00FD016C">
        <w:rPr>
          <w:rFonts w:ascii="Verdana" w:hAnsi="Verdana" w:cs="Arial"/>
          <w:iCs/>
          <w:sz w:val="20"/>
          <w:szCs w:val="20"/>
        </w:rPr>
        <w:t xml:space="preserve"> conforme previsto no texto sancionado, a apropriação para o preço de energia dos possíveis ganhos que venham a ocorrer durante o processo competitivo de contratações de fornecedores para a conclusão do empreendimento.</w:t>
      </w:r>
    </w:p>
    <w:p w14:paraId="62BCE718" w14:textId="77777777" w:rsidR="00EF0FFA" w:rsidRPr="00FD016C" w:rsidRDefault="00EF0FFA" w:rsidP="00EF0FFA">
      <w:pPr>
        <w:jc w:val="both"/>
        <w:rPr>
          <w:rFonts w:ascii="Verdana" w:hAnsi="Verdana" w:cs="Arial"/>
          <w:iCs/>
          <w:sz w:val="20"/>
          <w:szCs w:val="20"/>
        </w:rPr>
      </w:pPr>
    </w:p>
    <w:p w14:paraId="03FA6CD9" w14:textId="58BA74C4" w:rsidR="00EF0FFA" w:rsidRDefault="00EF0FFA" w:rsidP="00EF0FFA">
      <w:pPr>
        <w:jc w:val="both"/>
        <w:rPr>
          <w:rFonts w:ascii="Verdana" w:hAnsi="Verdana" w:cs="Arial"/>
          <w:iCs/>
          <w:sz w:val="20"/>
          <w:szCs w:val="20"/>
        </w:rPr>
      </w:pPr>
      <w:r w:rsidRPr="00FD016C">
        <w:rPr>
          <w:rFonts w:ascii="Verdana" w:hAnsi="Verdana" w:cs="Arial"/>
          <w:iCs/>
          <w:sz w:val="20"/>
          <w:szCs w:val="20"/>
        </w:rPr>
        <w:t>Ainda conforme a lei sancionada, o prazo de suprimento do novo contrato de energia de reserva será de 40 anos, a partir do início da operação comercial e caberá ao CNPE autorizar a celebração desse novo instrumento contratual e dar outorga – ou seja, a permissão de operação da usina, que terá um prazo de 50 anos, prorrogáveis por mais 20</w:t>
      </w:r>
      <w:r w:rsidR="0008649C" w:rsidRPr="00FD016C">
        <w:rPr>
          <w:rFonts w:ascii="Verdana" w:hAnsi="Verdana" w:cs="Arial"/>
          <w:iCs/>
          <w:sz w:val="20"/>
          <w:szCs w:val="20"/>
        </w:rPr>
        <w:t xml:space="preserve"> anos</w:t>
      </w:r>
      <w:r w:rsidRPr="00FD016C">
        <w:rPr>
          <w:rFonts w:ascii="Verdana" w:hAnsi="Verdana" w:cs="Arial"/>
          <w:iCs/>
          <w:sz w:val="20"/>
          <w:szCs w:val="20"/>
        </w:rPr>
        <w:t xml:space="preserve">. </w:t>
      </w:r>
    </w:p>
    <w:p w14:paraId="665AFB87" w14:textId="52A5B801" w:rsidR="003628A3" w:rsidRPr="00EE5A20" w:rsidRDefault="003628A3" w:rsidP="003628A3">
      <w:pPr>
        <w:pStyle w:val="xmsonormal"/>
        <w:shd w:val="clear" w:color="auto" w:fill="FFFFFF"/>
        <w:spacing w:after="0"/>
        <w:jc w:val="both"/>
        <w:rPr>
          <w:rFonts w:ascii="Verdana" w:hAnsi="Verdana" w:cs="Calibri"/>
          <w:color w:val="000000"/>
          <w:sz w:val="20"/>
          <w:szCs w:val="20"/>
        </w:rPr>
      </w:pPr>
      <w:r w:rsidRPr="00EE5A20">
        <w:rPr>
          <w:rFonts w:ascii="Verdana" w:hAnsi="Verdana" w:cs="Calibri"/>
          <w:color w:val="000000"/>
          <w:sz w:val="20"/>
          <w:szCs w:val="20"/>
        </w:rPr>
        <w:t>Em 20 de outubro de 2021, foi publicado no Diário Oficial da União (DOU) a Resolução CPPI nº 203, de 19 de outubro de 2021, que aprovou as condições para o pr</w:t>
      </w:r>
      <w:r w:rsidR="00FF26B5" w:rsidRPr="00FE0D05">
        <w:rPr>
          <w:rFonts w:ascii="Verdana" w:hAnsi="Verdana" w:cs="Calibri"/>
          <w:color w:val="000000"/>
          <w:sz w:val="20"/>
          <w:szCs w:val="20"/>
        </w:rPr>
        <w:t>ocesso de desestatização da Ele</w:t>
      </w:r>
      <w:r w:rsidRPr="00EE5A20">
        <w:rPr>
          <w:rFonts w:ascii="Verdana" w:hAnsi="Verdana" w:cs="Calibri"/>
          <w:color w:val="000000"/>
          <w:sz w:val="20"/>
          <w:szCs w:val="20"/>
        </w:rPr>
        <w:t>t</w:t>
      </w:r>
      <w:r w:rsidR="00FF26B5" w:rsidRPr="00FE0D05">
        <w:rPr>
          <w:rFonts w:ascii="Verdana" w:hAnsi="Verdana" w:cs="Calibri"/>
          <w:color w:val="000000"/>
          <w:sz w:val="20"/>
          <w:szCs w:val="20"/>
        </w:rPr>
        <w:t>r</w:t>
      </w:r>
      <w:r w:rsidRPr="00EE5A20">
        <w:rPr>
          <w:rFonts w:ascii="Verdana" w:hAnsi="Verdana" w:cs="Calibri"/>
          <w:color w:val="000000"/>
          <w:sz w:val="20"/>
          <w:szCs w:val="20"/>
        </w:rPr>
        <w:t xml:space="preserve">obras e que em seu item XII do artigo 11º  define que a Eletrobras e a </w:t>
      </w:r>
      <w:proofErr w:type="spellStart"/>
      <w:r w:rsidRPr="00EE5A20">
        <w:rPr>
          <w:rFonts w:ascii="Verdana" w:hAnsi="Verdana" w:cs="Calibri"/>
          <w:color w:val="000000"/>
          <w:sz w:val="20"/>
          <w:szCs w:val="20"/>
        </w:rPr>
        <w:t>ENBPar</w:t>
      </w:r>
      <w:proofErr w:type="spellEnd"/>
      <w:r w:rsidRPr="00EE5A20">
        <w:rPr>
          <w:rFonts w:ascii="Verdana" w:hAnsi="Verdana" w:cs="Calibri"/>
          <w:color w:val="000000"/>
          <w:sz w:val="20"/>
          <w:szCs w:val="20"/>
        </w:rPr>
        <w:t>, que será a nova holding da Eletronuclear, devem celebrar acordo de investimento prevendo a participação das partes na obtenção de novas captações de financiamento para o projeto de Angra 3, seja como repassadoras de mútuo ou como garantidoras na proporção de suas participações acionárias na Eletronuclear</w:t>
      </w:r>
      <w:r w:rsidR="00AB7EF3" w:rsidRPr="00FE0D05">
        <w:rPr>
          <w:rFonts w:ascii="Verdana" w:hAnsi="Verdana" w:cs="Calibri"/>
          <w:color w:val="000000"/>
          <w:sz w:val="20"/>
          <w:szCs w:val="20"/>
        </w:rPr>
        <w:t xml:space="preserve"> (NOTA 39)</w:t>
      </w:r>
      <w:r w:rsidRPr="00EE5A20">
        <w:rPr>
          <w:rFonts w:ascii="Verdana" w:hAnsi="Verdana" w:cs="Calibri"/>
          <w:color w:val="000000"/>
          <w:sz w:val="20"/>
          <w:szCs w:val="20"/>
        </w:rPr>
        <w:t xml:space="preserve">. </w:t>
      </w:r>
    </w:p>
    <w:p w14:paraId="19E731F2" w14:textId="5573C7B0" w:rsidR="00AC60BE" w:rsidRPr="00FD016C" w:rsidRDefault="003628A3" w:rsidP="00AC60BE">
      <w:pPr>
        <w:pStyle w:val="xmsonormal"/>
        <w:shd w:val="clear" w:color="auto" w:fill="FFFFFF"/>
        <w:spacing w:after="0"/>
        <w:jc w:val="both"/>
        <w:rPr>
          <w:rFonts w:ascii="Verdana" w:hAnsi="Verdana" w:cs="Arial"/>
          <w:iCs/>
          <w:sz w:val="20"/>
          <w:szCs w:val="20"/>
        </w:rPr>
      </w:pPr>
      <w:r w:rsidRPr="00EE5A20">
        <w:rPr>
          <w:rFonts w:ascii="Verdana" w:hAnsi="Verdana" w:cs="Calibri"/>
          <w:color w:val="000000"/>
          <w:sz w:val="20"/>
          <w:szCs w:val="20"/>
        </w:rPr>
        <w:t xml:space="preserve">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w:t>
      </w:r>
      <w:proofErr w:type="spellStart"/>
      <w:r w:rsidRPr="00EE5A20">
        <w:rPr>
          <w:rFonts w:ascii="Verdana" w:hAnsi="Verdana" w:cs="Calibri"/>
          <w:color w:val="000000"/>
          <w:sz w:val="20"/>
          <w:szCs w:val="20"/>
        </w:rPr>
        <w:t>financiabilidade</w:t>
      </w:r>
      <w:proofErr w:type="spellEnd"/>
      <w:r w:rsidRPr="00EE5A20">
        <w:rPr>
          <w:rFonts w:ascii="Verdana" w:hAnsi="Verdana" w:cs="Calibri"/>
          <w:color w:val="000000"/>
          <w:sz w:val="20"/>
          <w:szCs w:val="20"/>
        </w:rPr>
        <w:t xml:space="preserv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w:t>
      </w:r>
      <w:r w:rsidRPr="00EE5A20">
        <w:rPr>
          <w:rFonts w:ascii="Verdana" w:hAnsi="Verdana" w:cs="Calibri"/>
          <w:color w:val="000000"/>
          <w:sz w:val="20"/>
          <w:szCs w:val="20"/>
        </w:rPr>
        <w:lastRenderedPageBreak/>
        <w:t xml:space="preserve">pagamento das dívidas novas e </w:t>
      </w:r>
      <w:r w:rsidR="00FF26B5" w:rsidRPr="00FF26B5">
        <w:rPr>
          <w:rFonts w:ascii="Verdana" w:hAnsi="Verdana" w:cs="Calibri"/>
          <w:color w:val="000000"/>
          <w:sz w:val="20"/>
          <w:szCs w:val="20"/>
        </w:rPr>
        <w:t>pré-existentes</w:t>
      </w:r>
      <w:r w:rsidRPr="00EE5A20">
        <w:rPr>
          <w:rFonts w:ascii="Verdana" w:hAnsi="Verdana" w:cs="Calibri"/>
          <w:color w:val="000000"/>
          <w:sz w:val="20"/>
          <w:szCs w:val="20"/>
        </w:rPr>
        <w:t>. Além disso, a resolução confirma que as reduções 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ouvida em relação ao impacto ao consumidor previamente à aprovação do preço</w:t>
      </w:r>
      <w:r w:rsidR="00AB7EF3">
        <w:rPr>
          <w:rFonts w:ascii="Verdana" w:hAnsi="Verdana" w:cs="Calibri"/>
          <w:color w:val="000000"/>
          <w:sz w:val="20"/>
          <w:szCs w:val="20"/>
        </w:rPr>
        <w:t xml:space="preserve"> (</w:t>
      </w:r>
      <w:r w:rsidR="00AC60BE">
        <w:rPr>
          <w:rFonts w:ascii="Verdana" w:hAnsi="Verdana" w:cs="Calibri"/>
          <w:color w:val="000000"/>
          <w:sz w:val="20"/>
          <w:szCs w:val="20"/>
        </w:rPr>
        <w:t>nota</w:t>
      </w:r>
      <w:r w:rsidR="00AB7EF3">
        <w:rPr>
          <w:rFonts w:ascii="Verdana" w:hAnsi="Verdana" w:cs="Calibri"/>
          <w:color w:val="000000"/>
          <w:sz w:val="20"/>
          <w:szCs w:val="20"/>
        </w:rPr>
        <w:t xml:space="preserve"> 39)</w:t>
      </w:r>
      <w:r w:rsidRPr="00EE5A20">
        <w:rPr>
          <w:rFonts w:ascii="Verdana" w:hAnsi="Verdana" w:cs="Calibri"/>
          <w:color w:val="000000"/>
          <w:sz w:val="20"/>
          <w:szCs w:val="20"/>
        </w:rPr>
        <w:t>.</w:t>
      </w:r>
      <w:bookmarkEnd w:id="5"/>
    </w:p>
    <w:p w14:paraId="31E4A68F" w14:textId="76EA8016" w:rsidR="0032123A" w:rsidRPr="00FD016C" w:rsidRDefault="0032123A" w:rsidP="005144E2">
      <w:pPr>
        <w:widowControl/>
        <w:jc w:val="both"/>
        <w:rPr>
          <w:rFonts w:ascii="Verdana" w:hAnsi="Verdana" w:cs="Arial"/>
          <w:sz w:val="20"/>
          <w:szCs w:val="20"/>
        </w:rPr>
      </w:pPr>
    </w:p>
    <w:p w14:paraId="4C532674" w14:textId="77777777"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4.2 -</w:t>
      </w:r>
      <w:r w:rsidRPr="00FD016C">
        <w:rPr>
          <w:rFonts w:ascii="Verdana" w:hAnsi="Verdana" w:cs="Arial"/>
          <w:b/>
          <w:color w:val="0070C0"/>
        </w:rPr>
        <w:tab/>
        <w:t>Gestão de capital</w:t>
      </w:r>
    </w:p>
    <w:p w14:paraId="2CF6FFCA" w14:textId="77777777" w:rsidR="003F4719" w:rsidRPr="00FD016C" w:rsidRDefault="003F4719" w:rsidP="005144E2">
      <w:pPr>
        <w:widowControl/>
        <w:jc w:val="both"/>
        <w:rPr>
          <w:rFonts w:ascii="Verdana" w:hAnsi="Verdana" w:cs="Arial"/>
          <w:sz w:val="20"/>
          <w:szCs w:val="20"/>
        </w:rPr>
      </w:pPr>
    </w:p>
    <w:p w14:paraId="1ABFC572"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Os objetivos da Companhia ao administrar seu capital são os de salvaguardar a capacidade de continuidade, para oferecer retorno aos acionistas e benefícios às outras partes interessadas, além de manter uma estrutura de capital ideal para reduzir esse custo.</w:t>
      </w:r>
    </w:p>
    <w:p w14:paraId="4A0670D1" w14:textId="77777777" w:rsidR="003F4719" w:rsidRPr="00FD016C" w:rsidRDefault="003F4719" w:rsidP="005144E2">
      <w:pPr>
        <w:widowControl/>
        <w:jc w:val="both"/>
        <w:rPr>
          <w:rFonts w:ascii="Verdana" w:hAnsi="Verdana" w:cs="Arial"/>
          <w:sz w:val="20"/>
          <w:szCs w:val="20"/>
        </w:rPr>
      </w:pPr>
    </w:p>
    <w:p w14:paraId="7422E9EC" w14:textId="77777777" w:rsidR="003F4719" w:rsidRPr="00FD016C" w:rsidRDefault="00C10686" w:rsidP="005144E2">
      <w:pPr>
        <w:widowControl/>
        <w:jc w:val="both"/>
        <w:rPr>
          <w:rFonts w:ascii="Verdana" w:hAnsi="Verdana" w:cs="Arial"/>
          <w:sz w:val="20"/>
          <w:szCs w:val="20"/>
        </w:rPr>
      </w:pPr>
      <w:r w:rsidRPr="00FD016C">
        <w:rPr>
          <w:rFonts w:ascii="Verdana" w:hAnsi="Verdana" w:cs="Arial"/>
          <w:sz w:val="20"/>
          <w:szCs w:val="20"/>
        </w:rPr>
        <w:t>A</w:t>
      </w:r>
      <w:r w:rsidR="003F4719" w:rsidRPr="00FD016C">
        <w:rPr>
          <w:rFonts w:ascii="Verdana" w:hAnsi="Verdana" w:cs="Arial"/>
          <w:sz w:val="20"/>
          <w:szCs w:val="20"/>
        </w:rPr>
        <w:t xml:space="preserve"> ELETRONUCLEAR monitora o capital com base no índice de alavancagem financeira. Esse índice corresponde à dívida líquida dividida pelo capital total. </w:t>
      </w:r>
    </w:p>
    <w:p w14:paraId="7A75076E" w14:textId="77777777" w:rsidR="004A28B1" w:rsidRPr="00FD016C" w:rsidRDefault="004A28B1" w:rsidP="005144E2">
      <w:pPr>
        <w:widowControl/>
        <w:jc w:val="both"/>
        <w:rPr>
          <w:rFonts w:ascii="Verdana" w:hAnsi="Verdana" w:cs="Arial"/>
          <w:sz w:val="20"/>
          <w:szCs w:val="20"/>
        </w:rPr>
      </w:pPr>
    </w:p>
    <w:p w14:paraId="76AAFB2C" w14:textId="6EB0BF9B"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A dívida líquida, por sua vez, corresponde ao total de empréstimos (incluindo empréstimos de curto e longo prazo conforme demonstrado no balanço patrimonial), subtraído do montante de caixa e equivalentes de caixa e títulos e valores mobiliários de curto prazo.</w:t>
      </w:r>
    </w:p>
    <w:p w14:paraId="1872BCB3" w14:textId="77777777" w:rsidR="003C4F3B" w:rsidRPr="00FD016C" w:rsidRDefault="003C4F3B" w:rsidP="005144E2">
      <w:pPr>
        <w:widowControl/>
        <w:jc w:val="both"/>
        <w:rPr>
          <w:rFonts w:ascii="Verdana" w:hAnsi="Verdana" w:cs="Arial"/>
          <w:sz w:val="20"/>
          <w:szCs w:val="20"/>
        </w:rPr>
      </w:pPr>
    </w:p>
    <w:p w14:paraId="04BDE04B" w14:textId="0DB3A203"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 capital total é apurado através da soma do patrimônio líquido conforme demonstrado no balanço patrimonial, com a dívida líquida.</w:t>
      </w:r>
    </w:p>
    <w:p w14:paraId="5503A557" w14:textId="70CA9220" w:rsidR="002618A3" w:rsidRPr="00FD016C" w:rsidRDefault="002618A3" w:rsidP="005144E2">
      <w:pPr>
        <w:widowControl/>
        <w:jc w:val="both"/>
        <w:rPr>
          <w:rFonts w:ascii="Verdana" w:hAnsi="Verdana" w:cs="Arial"/>
          <w:sz w:val="20"/>
          <w:szCs w:val="20"/>
        </w:rPr>
      </w:pPr>
    </w:p>
    <w:p w14:paraId="09232D0B"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Os índices de alavancagem financeira podem ser assim sumari</w:t>
      </w:r>
      <w:r w:rsidR="00826D41" w:rsidRPr="00FD016C">
        <w:rPr>
          <w:rFonts w:ascii="Verdana" w:hAnsi="Verdana" w:cs="Arial"/>
          <w:sz w:val="20"/>
          <w:szCs w:val="20"/>
        </w:rPr>
        <w:t>z</w:t>
      </w:r>
      <w:r w:rsidRPr="00FD016C">
        <w:rPr>
          <w:rFonts w:ascii="Verdana" w:hAnsi="Verdana" w:cs="Arial"/>
          <w:sz w:val="20"/>
          <w:szCs w:val="20"/>
        </w:rPr>
        <w:t>ados:</w:t>
      </w:r>
    </w:p>
    <w:p w14:paraId="65306A34" w14:textId="77777777" w:rsidR="00556D61" w:rsidRPr="00FD016C" w:rsidRDefault="00556D61" w:rsidP="005144E2">
      <w:pPr>
        <w:widowControl/>
        <w:jc w:val="both"/>
        <w:rPr>
          <w:rFonts w:ascii="Verdana" w:hAnsi="Verdana" w:cs="Arial"/>
          <w:sz w:val="20"/>
          <w:szCs w:val="20"/>
        </w:rPr>
      </w:pPr>
    </w:p>
    <w:p w14:paraId="6F14D30E" w14:textId="40D9236A" w:rsidR="00823161" w:rsidRPr="00FD016C" w:rsidRDefault="00556D61" w:rsidP="005144E2">
      <w:pPr>
        <w:widowControl/>
        <w:jc w:val="both"/>
        <w:rPr>
          <w:rFonts w:ascii="Verdana" w:hAnsi="Verdana" w:cs="Arial"/>
          <w:sz w:val="20"/>
          <w:szCs w:val="20"/>
        </w:rPr>
      </w:pPr>
      <w:r w:rsidRPr="00FD016C">
        <w:rPr>
          <w:noProof/>
        </w:rPr>
        <w:drawing>
          <wp:inline distT="0" distB="0" distL="0" distR="0" wp14:anchorId="4760D844" wp14:editId="1218148D">
            <wp:extent cx="5915025" cy="2171700"/>
            <wp:effectExtent l="0" t="0" r="9525"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5025" cy="2171700"/>
                    </a:xfrm>
                    <a:prstGeom prst="rect">
                      <a:avLst/>
                    </a:prstGeom>
                    <a:noFill/>
                    <a:ln>
                      <a:noFill/>
                    </a:ln>
                  </pic:spPr>
                </pic:pic>
              </a:graphicData>
            </a:graphic>
          </wp:inline>
        </w:drawing>
      </w:r>
    </w:p>
    <w:p w14:paraId="2F6E0BA5" w14:textId="677DB410" w:rsidR="002D3B3B" w:rsidRPr="00FD016C" w:rsidRDefault="002D3B3B" w:rsidP="005144E2">
      <w:pPr>
        <w:widowControl/>
        <w:jc w:val="both"/>
        <w:rPr>
          <w:rFonts w:ascii="Verdana" w:hAnsi="Verdana" w:cs="Arial"/>
          <w:b/>
          <w:sz w:val="20"/>
          <w:szCs w:val="20"/>
        </w:rPr>
      </w:pPr>
    </w:p>
    <w:p w14:paraId="47FD0188" w14:textId="1B02993B" w:rsidR="000438F7" w:rsidRPr="00FD016C" w:rsidRDefault="000438F7" w:rsidP="005144E2">
      <w:pPr>
        <w:widowControl/>
        <w:jc w:val="both"/>
        <w:rPr>
          <w:rFonts w:ascii="Verdana" w:hAnsi="Verdana" w:cs="Arial"/>
          <w:b/>
          <w:sz w:val="20"/>
          <w:szCs w:val="20"/>
        </w:rPr>
      </w:pPr>
    </w:p>
    <w:p w14:paraId="67D413DF" w14:textId="77777777"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4.</w:t>
      </w:r>
      <w:r w:rsidR="001838D2" w:rsidRPr="00FD016C">
        <w:rPr>
          <w:rFonts w:ascii="Verdana" w:hAnsi="Verdana" w:cs="Arial"/>
          <w:b/>
          <w:color w:val="0070C0"/>
        </w:rPr>
        <w:t>3</w:t>
      </w:r>
      <w:r w:rsidRPr="00FD016C">
        <w:rPr>
          <w:rFonts w:ascii="Verdana" w:hAnsi="Verdana" w:cs="Arial"/>
          <w:b/>
          <w:color w:val="0070C0"/>
        </w:rPr>
        <w:t xml:space="preserve"> -</w:t>
      </w:r>
      <w:r w:rsidRPr="00FD016C">
        <w:rPr>
          <w:rFonts w:ascii="Verdana" w:hAnsi="Verdana" w:cs="Arial"/>
          <w:b/>
          <w:color w:val="0070C0"/>
        </w:rPr>
        <w:tab/>
        <w:t>Estimativa do valor justo</w:t>
      </w:r>
    </w:p>
    <w:p w14:paraId="4E0B41F4" w14:textId="77777777" w:rsidR="003F4719" w:rsidRPr="00FD016C" w:rsidRDefault="003F4719" w:rsidP="005144E2">
      <w:pPr>
        <w:widowControl/>
        <w:jc w:val="both"/>
        <w:rPr>
          <w:rFonts w:ascii="Verdana" w:hAnsi="Verdana" w:cs="Arial"/>
          <w:b/>
          <w:sz w:val="20"/>
          <w:szCs w:val="20"/>
        </w:rPr>
      </w:pPr>
    </w:p>
    <w:p w14:paraId="20EE15B8"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Pressupõe-se que os saldos das contas a receber de clientes e contas a pagar aos fornecedores pelo valor contábil, menos a perda (</w:t>
      </w:r>
      <w:proofErr w:type="spellStart"/>
      <w:r w:rsidRPr="00FD016C">
        <w:rPr>
          <w:rFonts w:ascii="Verdana" w:hAnsi="Verdana" w:cs="Arial"/>
          <w:i/>
          <w:sz w:val="20"/>
          <w:szCs w:val="20"/>
        </w:rPr>
        <w:t>impairment</w:t>
      </w:r>
      <w:proofErr w:type="spellEnd"/>
      <w:r w:rsidRPr="00FD016C">
        <w:rPr>
          <w:rFonts w:ascii="Verdana" w:hAnsi="Verdana" w:cs="Arial"/>
          <w:sz w:val="20"/>
          <w:szCs w:val="20"/>
        </w:rPr>
        <w:t xml:space="preserve">), estejam próximos de seus valores justos. </w:t>
      </w:r>
    </w:p>
    <w:p w14:paraId="4F0F5407" w14:textId="77777777" w:rsidR="00004091" w:rsidRPr="00FD016C" w:rsidRDefault="00004091" w:rsidP="005144E2">
      <w:pPr>
        <w:widowControl/>
        <w:jc w:val="both"/>
        <w:rPr>
          <w:rFonts w:ascii="Verdana" w:hAnsi="Verdana" w:cs="Arial"/>
          <w:sz w:val="20"/>
          <w:szCs w:val="20"/>
        </w:rPr>
      </w:pPr>
    </w:p>
    <w:p w14:paraId="3688CDB2" w14:textId="77777777" w:rsidR="00F24CA9" w:rsidRDefault="00F24CA9" w:rsidP="005144E2">
      <w:pPr>
        <w:widowControl/>
        <w:jc w:val="both"/>
        <w:rPr>
          <w:rFonts w:ascii="Verdana" w:hAnsi="Verdana" w:cs="Arial"/>
          <w:sz w:val="20"/>
          <w:szCs w:val="20"/>
        </w:rPr>
      </w:pPr>
    </w:p>
    <w:p w14:paraId="55C07C4F" w14:textId="77777777" w:rsidR="00AC60BE" w:rsidRDefault="00AC60BE" w:rsidP="005144E2">
      <w:pPr>
        <w:widowControl/>
        <w:jc w:val="both"/>
        <w:rPr>
          <w:rFonts w:ascii="Verdana" w:hAnsi="Verdana" w:cs="Arial"/>
          <w:sz w:val="20"/>
          <w:szCs w:val="20"/>
        </w:rPr>
      </w:pPr>
    </w:p>
    <w:p w14:paraId="546DC694" w14:textId="77777777" w:rsidR="00AC60BE" w:rsidRDefault="00AC60BE" w:rsidP="005144E2">
      <w:pPr>
        <w:widowControl/>
        <w:jc w:val="both"/>
        <w:rPr>
          <w:rFonts w:ascii="Verdana" w:hAnsi="Verdana" w:cs="Arial"/>
          <w:sz w:val="20"/>
          <w:szCs w:val="20"/>
        </w:rPr>
      </w:pPr>
    </w:p>
    <w:p w14:paraId="1267FA7A" w14:textId="77777777" w:rsidR="00AC60BE" w:rsidRPr="00FD016C" w:rsidRDefault="00AC60BE" w:rsidP="005144E2">
      <w:pPr>
        <w:widowControl/>
        <w:jc w:val="both"/>
        <w:rPr>
          <w:rFonts w:ascii="Verdana" w:hAnsi="Verdana" w:cs="Arial"/>
          <w:sz w:val="20"/>
          <w:szCs w:val="20"/>
        </w:rPr>
      </w:pPr>
    </w:p>
    <w:p w14:paraId="4045D2AD" w14:textId="77777777" w:rsidR="003F4719" w:rsidRPr="00FD016C" w:rsidRDefault="003F4719" w:rsidP="005144E2">
      <w:pPr>
        <w:widowControl/>
        <w:autoSpaceDE w:val="0"/>
        <w:autoSpaceDN w:val="0"/>
        <w:adjustRightInd w:val="0"/>
        <w:jc w:val="both"/>
        <w:rPr>
          <w:rFonts w:ascii="Verdana" w:hAnsi="Verdana" w:cs="Arial"/>
          <w:b/>
          <w:color w:val="0070C0"/>
          <w:u w:val="single"/>
        </w:rPr>
      </w:pPr>
      <w:r w:rsidRPr="00FD016C">
        <w:rPr>
          <w:rFonts w:ascii="Verdana" w:hAnsi="Verdana" w:cs="Arial"/>
          <w:b/>
          <w:color w:val="0070C0"/>
          <w:u w:val="single"/>
        </w:rPr>
        <w:lastRenderedPageBreak/>
        <w:t>Valor justo hierárquico</w:t>
      </w:r>
    </w:p>
    <w:p w14:paraId="51AFFF87" w14:textId="77777777" w:rsidR="00960E5A" w:rsidRPr="00FD016C" w:rsidRDefault="00960E5A" w:rsidP="005144E2">
      <w:pPr>
        <w:widowControl/>
        <w:autoSpaceDE w:val="0"/>
        <w:autoSpaceDN w:val="0"/>
        <w:adjustRightInd w:val="0"/>
        <w:jc w:val="both"/>
        <w:rPr>
          <w:rFonts w:ascii="Verdana" w:hAnsi="Verdana" w:cs="Arial"/>
          <w:b/>
          <w:sz w:val="20"/>
          <w:szCs w:val="20"/>
        </w:rPr>
      </w:pPr>
    </w:p>
    <w:p w14:paraId="67EABF39" w14:textId="77777777" w:rsidR="003F4719" w:rsidRPr="00FD016C" w:rsidRDefault="003F4719" w:rsidP="005144E2">
      <w:pPr>
        <w:widowControl/>
        <w:autoSpaceDE w:val="0"/>
        <w:autoSpaceDN w:val="0"/>
        <w:adjustRightInd w:val="0"/>
        <w:jc w:val="both"/>
        <w:rPr>
          <w:rFonts w:ascii="Verdana" w:hAnsi="Verdana" w:cs="Arial"/>
          <w:sz w:val="20"/>
          <w:szCs w:val="20"/>
        </w:rPr>
      </w:pPr>
      <w:r w:rsidRPr="00FD016C">
        <w:rPr>
          <w:rFonts w:ascii="Verdana" w:hAnsi="Verdana" w:cs="Arial"/>
          <w:sz w:val="20"/>
          <w:szCs w:val="20"/>
        </w:rPr>
        <w:t>Existem três níveis para classificação do Valor Justo referente a instrumentos financeiros, sendo que a hierarquia fornece prioridade para preços cotados não ajustados em mercado ativo referente a ativos ou passivos financeiros. A classificação dos Níveis Hierárquicos pode ser apresentada conforme exposto a seguir:</w:t>
      </w:r>
    </w:p>
    <w:p w14:paraId="33B6DE1A" w14:textId="77777777" w:rsidR="003F4719" w:rsidRPr="00FD016C" w:rsidRDefault="003F4719" w:rsidP="002618A3">
      <w:pPr>
        <w:widowControl/>
        <w:autoSpaceDE w:val="0"/>
        <w:autoSpaceDN w:val="0"/>
        <w:adjustRightInd w:val="0"/>
        <w:ind w:left="1701" w:hanging="567"/>
        <w:jc w:val="both"/>
        <w:rPr>
          <w:rFonts w:ascii="Verdana" w:hAnsi="Verdana" w:cs="Arial"/>
          <w:sz w:val="20"/>
          <w:szCs w:val="20"/>
        </w:rPr>
      </w:pPr>
    </w:p>
    <w:p w14:paraId="0973509C" w14:textId="77777777" w:rsidR="003F4719" w:rsidRPr="00FD016C"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D016C">
        <w:rPr>
          <w:rFonts w:ascii="Verdana" w:hAnsi="Verdana" w:cs="Arial"/>
          <w:sz w:val="20"/>
          <w:szCs w:val="20"/>
        </w:rPr>
        <w:t>Nível 1: Dados provenientes de mercado ativo (preço cotado não ajustado) de forma que seja possível acessar diariamente, inclusive na data da mensuração do valor justo.</w:t>
      </w:r>
    </w:p>
    <w:p w14:paraId="543CD0B1" w14:textId="77777777" w:rsidR="002618A3" w:rsidRPr="00FD016C" w:rsidRDefault="002618A3" w:rsidP="002618A3">
      <w:pPr>
        <w:widowControl/>
        <w:autoSpaceDE w:val="0"/>
        <w:autoSpaceDN w:val="0"/>
        <w:adjustRightInd w:val="0"/>
        <w:ind w:left="1701" w:hanging="567"/>
        <w:jc w:val="both"/>
        <w:rPr>
          <w:rFonts w:ascii="Verdana" w:hAnsi="Verdana" w:cs="Arial"/>
          <w:sz w:val="20"/>
          <w:szCs w:val="20"/>
        </w:rPr>
      </w:pPr>
    </w:p>
    <w:p w14:paraId="27E816E3" w14:textId="77777777" w:rsidR="003F4719" w:rsidRPr="00FD016C"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D016C">
        <w:rPr>
          <w:rFonts w:ascii="Verdana" w:hAnsi="Verdana" w:cs="Arial"/>
          <w:sz w:val="20"/>
          <w:szCs w:val="20"/>
        </w:rPr>
        <w:t>Nível 2: Dados diferentes dos provenientes de mercado ativo (preço cotado não ajustado) incluídos no Nível 1, extraídos de modelo de precificação, baseado em dados observáveis de mercado.</w:t>
      </w:r>
    </w:p>
    <w:p w14:paraId="3F4062FE" w14:textId="77777777" w:rsidR="002618A3" w:rsidRPr="00FD016C" w:rsidRDefault="002618A3" w:rsidP="002618A3">
      <w:pPr>
        <w:pStyle w:val="PargrafodaLista"/>
        <w:ind w:left="1701" w:hanging="567"/>
        <w:rPr>
          <w:rFonts w:ascii="Verdana" w:hAnsi="Verdana" w:cs="Arial"/>
          <w:sz w:val="20"/>
          <w:szCs w:val="20"/>
        </w:rPr>
      </w:pPr>
    </w:p>
    <w:p w14:paraId="0DC2CE5F" w14:textId="77777777" w:rsidR="003F4719" w:rsidRPr="00FD016C" w:rsidRDefault="003F4719" w:rsidP="002618A3">
      <w:pPr>
        <w:pStyle w:val="PargrafodaLista"/>
        <w:widowControl/>
        <w:numPr>
          <w:ilvl w:val="0"/>
          <w:numId w:val="11"/>
        </w:numPr>
        <w:autoSpaceDE w:val="0"/>
        <w:autoSpaceDN w:val="0"/>
        <w:adjustRightInd w:val="0"/>
        <w:ind w:left="1701" w:hanging="567"/>
        <w:jc w:val="both"/>
        <w:rPr>
          <w:rFonts w:ascii="Verdana" w:hAnsi="Verdana" w:cs="Arial"/>
          <w:sz w:val="20"/>
          <w:szCs w:val="20"/>
        </w:rPr>
      </w:pPr>
      <w:r w:rsidRPr="00FD016C">
        <w:rPr>
          <w:rFonts w:ascii="Verdana" w:hAnsi="Verdana" w:cs="Arial"/>
          <w:sz w:val="20"/>
          <w:szCs w:val="20"/>
        </w:rPr>
        <w:t>Nível 3: Dados extraídos de modelo de precificação, baseado em dados não observáveis de mercado.</w:t>
      </w:r>
    </w:p>
    <w:p w14:paraId="0573C611" w14:textId="77777777" w:rsidR="00CC41D3" w:rsidRPr="00FD016C" w:rsidRDefault="00CC41D3" w:rsidP="005144E2">
      <w:pPr>
        <w:pStyle w:val="PargrafodaLista"/>
        <w:widowControl/>
        <w:autoSpaceDE w:val="0"/>
        <w:autoSpaceDN w:val="0"/>
        <w:adjustRightInd w:val="0"/>
        <w:ind w:left="340"/>
        <w:jc w:val="both"/>
        <w:rPr>
          <w:rFonts w:ascii="Verdana" w:hAnsi="Verdana" w:cs="Arial"/>
          <w:sz w:val="20"/>
          <w:szCs w:val="20"/>
        </w:rPr>
      </w:pPr>
    </w:p>
    <w:p w14:paraId="30AF3A20" w14:textId="77777777" w:rsidR="006D3BA8" w:rsidRPr="00FD016C" w:rsidRDefault="006D3BA8" w:rsidP="005144E2">
      <w:pPr>
        <w:pStyle w:val="PargrafodaLista"/>
        <w:widowControl/>
        <w:autoSpaceDE w:val="0"/>
        <w:autoSpaceDN w:val="0"/>
        <w:adjustRightInd w:val="0"/>
        <w:ind w:left="340"/>
        <w:jc w:val="both"/>
        <w:rPr>
          <w:rFonts w:ascii="Verdana" w:hAnsi="Verdana" w:cs="Arial"/>
          <w:sz w:val="20"/>
          <w:szCs w:val="20"/>
        </w:rPr>
      </w:pPr>
    </w:p>
    <w:p w14:paraId="45822C74" w14:textId="7C304AC1"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Em </w:t>
      </w:r>
      <w:r w:rsidR="005D6BDC" w:rsidRPr="00FD016C">
        <w:rPr>
          <w:rFonts w:ascii="Verdana" w:hAnsi="Verdana" w:cs="Arial"/>
          <w:sz w:val="20"/>
          <w:szCs w:val="20"/>
        </w:rPr>
        <w:t>3</w:t>
      </w:r>
      <w:r w:rsidR="003906C1" w:rsidRPr="00FD016C">
        <w:rPr>
          <w:rFonts w:ascii="Verdana" w:hAnsi="Verdana" w:cs="Arial"/>
          <w:sz w:val="20"/>
          <w:szCs w:val="20"/>
        </w:rPr>
        <w:t>0</w:t>
      </w:r>
      <w:r w:rsidR="005D6BDC" w:rsidRPr="00FD016C">
        <w:rPr>
          <w:rFonts w:ascii="Verdana" w:hAnsi="Verdana" w:cs="Arial"/>
          <w:sz w:val="20"/>
          <w:szCs w:val="20"/>
        </w:rPr>
        <w:t xml:space="preserve"> de </w:t>
      </w:r>
      <w:r w:rsidR="004C1CE7" w:rsidRPr="00FD016C">
        <w:rPr>
          <w:rFonts w:ascii="Verdana" w:hAnsi="Verdana" w:cs="Arial"/>
          <w:sz w:val="20"/>
          <w:szCs w:val="20"/>
        </w:rPr>
        <w:t>setembro</w:t>
      </w:r>
      <w:r w:rsidR="007A0D7B" w:rsidRPr="00FD016C">
        <w:rPr>
          <w:rFonts w:ascii="Verdana" w:hAnsi="Verdana" w:cs="Arial"/>
          <w:sz w:val="20"/>
          <w:szCs w:val="20"/>
        </w:rPr>
        <w:t xml:space="preserve"> </w:t>
      </w:r>
      <w:r w:rsidR="007C0483" w:rsidRPr="00FD016C">
        <w:rPr>
          <w:rFonts w:ascii="Verdana" w:hAnsi="Verdana" w:cs="Arial"/>
          <w:sz w:val="20"/>
          <w:szCs w:val="20"/>
        </w:rPr>
        <w:t>de 20</w:t>
      </w:r>
      <w:r w:rsidR="007A0D7B" w:rsidRPr="00FD016C">
        <w:rPr>
          <w:rFonts w:ascii="Verdana" w:hAnsi="Verdana" w:cs="Arial"/>
          <w:sz w:val="20"/>
          <w:szCs w:val="20"/>
        </w:rPr>
        <w:t>2</w:t>
      </w:r>
      <w:r w:rsidR="00E22575" w:rsidRPr="00FD016C">
        <w:rPr>
          <w:rFonts w:ascii="Verdana" w:hAnsi="Verdana" w:cs="Arial"/>
          <w:sz w:val="20"/>
          <w:szCs w:val="20"/>
        </w:rPr>
        <w:t>1</w:t>
      </w:r>
      <w:r w:rsidR="00B24F1B" w:rsidRPr="00FD016C">
        <w:rPr>
          <w:rFonts w:ascii="Verdana" w:hAnsi="Verdana" w:cs="Arial"/>
          <w:sz w:val="20"/>
          <w:szCs w:val="20"/>
        </w:rPr>
        <w:t>,</w:t>
      </w:r>
      <w:r w:rsidRPr="00FD016C">
        <w:rPr>
          <w:rFonts w:ascii="Verdana" w:hAnsi="Verdana" w:cs="Arial"/>
          <w:sz w:val="20"/>
          <w:szCs w:val="20"/>
        </w:rPr>
        <w:t xml:space="preserve"> a classificação por Nível Hierárquico apresenta-se da seguinte forma para os instrumentos financeiros valorizados a valor justo:</w:t>
      </w:r>
    </w:p>
    <w:p w14:paraId="0CBDFC1A" w14:textId="77777777" w:rsidR="007D2A4A" w:rsidRPr="00FD016C" w:rsidRDefault="007D2A4A" w:rsidP="005144E2">
      <w:pPr>
        <w:widowControl/>
        <w:jc w:val="both"/>
        <w:rPr>
          <w:rFonts w:ascii="Verdana" w:hAnsi="Verdana" w:cs="Arial"/>
          <w:sz w:val="20"/>
          <w:szCs w:val="20"/>
        </w:rPr>
      </w:pPr>
    </w:p>
    <w:p w14:paraId="6610C620" w14:textId="68FF9961" w:rsidR="006D3BA8" w:rsidRPr="00FD016C" w:rsidRDefault="007D2A4A" w:rsidP="005144E2">
      <w:pPr>
        <w:widowControl/>
        <w:jc w:val="both"/>
        <w:rPr>
          <w:rFonts w:ascii="Verdana" w:hAnsi="Verdana" w:cs="Arial"/>
          <w:sz w:val="20"/>
          <w:szCs w:val="20"/>
        </w:rPr>
      </w:pPr>
      <w:r w:rsidRPr="00FD016C">
        <w:rPr>
          <w:noProof/>
        </w:rPr>
        <w:drawing>
          <wp:inline distT="0" distB="0" distL="0" distR="0" wp14:anchorId="1F7A61A9" wp14:editId="52F7EFF9">
            <wp:extent cx="6073140" cy="1409836"/>
            <wp:effectExtent l="0" t="0" r="381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3140" cy="1409836"/>
                    </a:xfrm>
                    <a:prstGeom prst="rect">
                      <a:avLst/>
                    </a:prstGeom>
                    <a:noFill/>
                    <a:ln>
                      <a:noFill/>
                    </a:ln>
                  </pic:spPr>
                </pic:pic>
              </a:graphicData>
            </a:graphic>
          </wp:inline>
        </w:drawing>
      </w:r>
    </w:p>
    <w:p w14:paraId="727E5662" w14:textId="13A3B461" w:rsidR="003A1C60" w:rsidRPr="00FD016C" w:rsidRDefault="003A1C60" w:rsidP="005144E2">
      <w:pPr>
        <w:widowControl/>
        <w:jc w:val="both"/>
        <w:rPr>
          <w:rFonts w:ascii="Verdana" w:hAnsi="Verdana" w:cs="Arial"/>
          <w:sz w:val="20"/>
          <w:szCs w:val="20"/>
        </w:rPr>
      </w:pPr>
    </w:p>
    <w:p w14:paraId="71363B7B" w14:textId="77777777" w:rsidR="00F13880" w:rsidRPr="00FD016C" w:rsidRDefault="00F13880" w:rsidP="005144E2">
      <w:pPr>
        <w:widowControl/>
        <w:jc w:val="both"/>
        <w:rPr>
          <w:rFonts w:ascii="Verdana" w:hAnsi="Verdana" w:cs="Arial"/>
          <w:sz w:val="20"/>
          <w:szCs w:val="20"/>
        </w:rPr>
      </w:pPr>
    </w:p>
    <w:p w14:paraId="3884AE1C" w14:textId="77777777" w:rsidR="003F4719" w:rsidRPr="00FD016C" w:rsidRDefault="003F4719" w:rsidP="005144E2">
      <w:pPr>
        <w:widowControl/>
        <w:autoSpaceDE w:val="0"/>
        <w:autoSpaceDN w:val="0"/>
        <w:adjustRightInd w:val="0"/>
        <w:jc w:val="both"/>
        <w:rPr>
          <w:rFonts w:ascii="Verdana" w:hAnsi="Verdana" w:cs="Arial"/>
          <w:b/>
          <w:color w:val="0070C0"/>
          <w:u w:val="single"/>
        </w:rPr>
      </w:pPr>
      <w:r w:rsidRPr="00FD016C">
        <w:rPr>
          <w:rFonts w:ascii="Verdana" w:hAnsi="Verdana" w:cs="Arial"/>
          <w:b/>
          <w:color w:val="0070C0"/>
          <w:u w:val="single"/>
        </w:rPr>
        <w:t>Gerenciamento do capital</w:t>
      </w:r>
    </w:p>
    <w:p w14:paraId="55182B15" w14:textId="77777777" w:rsidR="00F47B74" w:rsidRPr="00FD016C" w:rsidRDefault="00F47B74" w:rsidP="005144E2">
      <w:pPr>
        <w:widowControl/>
        <w:autoSpaceDE w:val="0"/>
        <w:autoSpaceDN w:val="0"/>
        <w:adjustRightInd w:val="0"/>
        <w:jc w:val="both"/>
        <w:rPr>
          <w:rFonts w:ascii="Verdana" w:hAnsi="Verdana" w:cs="Arial"/>
          <w:b/>
          <w:sz w:val="20"/>
          <w:szCs w:val="20"/>
        </w:rPr>
      </w:pPr>
    </w:p>
    <w:p w14:paraId="1B39A657" w14:textId="1A175CF9" w:rsidR="003F4719" w:rsidRPr="00FD016C" w:rsidRDefault="003F4719" w:rsidP="005144E2">
      <w:pPr>
        <w:widowControl/>
        <w:autoSpaceDE w:val="0"/>
        <w:autoSpaceDN w:val="0"/>
        <w:adjustRightInd w:val="0"/>
        <w:jc w:val="both"/>
        <w:rPr>
          <w:rFonts w:ascii="Verdana" w:hAnsi="Verdana" w:cs="Arial"/>
          <w:sz w:val="20"/>
          <w:szCs w:val="20"/>
        </w:rPr>
      </w:pPr>
      <w:r w:rsidRPr="00FD016C">
        <w:rPr>
          <w:rFonts w:ascii="Verdana" w:hAnsi="Verdana" w:cs="Arial"/>
          <w:sz w:val="20"/>
          <w:szCs w:val="20"/>
        </w:rPr>
        <w:t>A política da Administração procura um equilíbrio entre a rentabilidade vis-à-vis o risco incorrido, de modo a não expor seu patrimônio, ou de sofrer aumento súbito ou flutuações do mercado. Visando a gestão do capital saudável, a Companhia adota a política de preservar a liquidez, com o acompanhamento de perto do fluxo de caixa de curto e longo prazo.</w:t>
      </w:r>
    </w:p>
    <w:p w14:paraId="0DAF05B1" w14:textId="77777777" w:rsidR="00CC41D3" w:rsidRPr="00FD016C" w:rsidRDefault="00CC41D3" w:rsidP="005144E2">
      <w:pPr>
        <w:widowControl/>
        <w:autoSpaceDE w:val="0"/>
        <w:autoSpaceDN w:val="0"/>
        <w:adjustRightInd w:val="0"/>
        <w:jc w:val="both"/>
        <w:rPr>
          <w:rFonts w:ascii="Verdana" w:hAnsi="Verdana" w:cs="Arial"/>
          <w:sz w:val="20"/>
          <w:szCs w:val="20"/>
        </w:rPr>
      </w:pPr>
    </w:p>
    <w:p w14:paraId="770FF8D7" w14:textId="77777777" w:rsidR="007604AD" w:rsidRPr="00FD016C" w:rsidRDefault="007604AD" w:rsidP="005144E2">
      <w:pPr>
        <w:widowControl/>
        <w:autoSpaceDE w:val="0"/>
        <w:autoSpaceDN w:val="0"/>
        <w:adjustRightInd w:val="0"/>
        <w:jc w:val="both"/>
        <w:rPr>
          <w:rFonts w:ascii="Verdana" w:hAnsi="Verdana" w:cs="Arial"/>
          <w:sz w:val="20"/>
          <w:szCs w:val="20"/>
        </w:rPr>
      </w:pPr>
    </w:p>
    <w:p w14:paraId="3ACA4452" w14:textId="10FEC834" w:rsidR="007604AD" w:rsidRPr="00FD016C" w:rsidRDefault="007604AD" w:rsidP="005144E2">
      <w:pPr>
        <w:widowControl/>
        <w:autoSpaceDE w:val="0"/>
        <w:autoSpaceDN w:val="0"/>
        <w:adjustRightInd w:val="0"/>
        <w:jc w:val="both"/>
        <w:rPr>
          <w:rFonts w:ascii="Verdana" w:hAnsi="Verdana" w:cs="Arial"/>
          <w:sz w:val="20"/>
          <w:szCs w:val="20"/>
        </w:rPr>
      </w:pPr>
    </w:p>
    <w:p w14:paraId="794FF93B" w14:textId="52476B61" w:rsidR="003F4719" w:rsidRPr="00FD016C" w:rsidRDefault="003F4719" w:rsidP="005144E2">
      <w:pPr>
        <w:keepNext/>
        <w:widowControl/>
        <w:jc w:val="both"/>
        <w:rPr>
          <w:rFonts w:ascii="Verdana" w:hAnsi="Verdana" w:cs="Arial"/>
          <w:b/>
          <w:color w:val="0070C0"/>
          <w:sz w:val="26"/>
          <w:szCs w:val="26"/>
        </w:rPr>
      </w:pPr>
      <w:r w:rsidRPr="00FD016C">
        <w:rPr>
          <w:rFonts w:ascii="Verdana" w:hAnsi="Verdana" w:cs="Arial"/>
          <w:b/>
          <w:color w:val="0070C0"/>
          <w:sz w:val="26"/>
          <w:szCs w:val="26"/>
        </w:rPr>
        <w:t>NOTA 5 - CAIXA E EQUIVALENTES DE CAIXA E TÍTULOS E VALORES</w:t>
      </w:r>
      <w:r w:rsidR="00F05D10" w:rsidRPr="00FD016C">
        <w:rPr>
          <w:rFonts w:ascii="Verdana" w:hAnsi="Verdana" w:cs="Arial"/>
          <w:b/>
          <w:color w:val="0070C0"/>
          <w:sz w:val="26"/>
          <w:szCs w:val="26"/>
        </w:rPr>
        <w:t xml:space="preserve">             </w:t>
      </w:r>
      <w:r w:rsidRPr="00FD016C">
        <w:rPr>
          <w:rFonts w:ascii="Verdana" w:hAnsi="Verdana" w:cs="Arial"/>
          <w:b/>
          <w:color w:val="0070C0"/>
          <w:sz w:val="26"/>
          <w:szCs w:val="26"/>
        </w:rPr>
        <w:t xml:space="preserve"> </w:t>
      </w:r>
      <w:r w:rsidR="00F05D10" w:rsidRPr="00FD016C">
        <w:rPr>
          <w:rFonts w:ascii="Verdana" w:hAnsi="Verdana" w:cs="Arial"/>
          <w:b/>
          <w:color w:val="0070C0"/>
          <w:sz w:val="26"/>
          <w:szCs w:val="26"/>
        </w:rPr>
        <w:t xml:space="preserve"> </w:t>
      </w:r>
      <w:r w:rsidRPr="00FD016C">
        <w:rPr>
          <w:rFonts w:ascii="Verdana" w:hAnsi="Verdana" w:cs="Arial"/>
          <w:b/>
          <w:color w:val="0070C0"/>
          <w:sz w:val="26"/>
          <w:szCs w:val="26"/>
        </w:rPr>
        <w:t>MOBILIÁRIOS DE CURTO PRAZO</w:t>
      </w:r>
    </w:p>
    <w:p w14:paraId="0C194C6A" w14:textId="77777777" w:rsidR="00DE3B4D" w:rsidRPr="00FD016C" w:rsidRDefault="00DE3B4D" w:rsidP="005144E2">
      <w:pPr>
        <w:widowControl/>
        <w:jc w:val="both"/>
        <w:rPr>
          <w:rFonts w:ascii="Verdana" w:hAnsi="Verdana" w:cs="Arial"/>
          <w:sz w:val="20"/>
          <w:szCs w:val="20"/>
        </w:rPr>
      </w:pPr>
    </w:p>
    <w:p w14:paraId="41953B46" w14:textId="77777777" w:rsidR="003C1547" w:rsidRPr="00FD016C" w:rsidRDefault="003C1547" w:rsidP="005144E2">
      <w:pPr>
        <w:widowControl/>
        <w:jc w:val="both"/>
        <w:rPr>
          <w:rFonts w:ascii="Verdana" w:hAnsi="Verdana" w:cs="Arial"/>
          <w:sz w:val="20"/>
          <w:szCs w:val="20"/>
        </w:rPr>
      </w:pPr>
    </w:p>
    <w:p w14:paraId="150FD22F" w14:textId="58FAC89E"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Conforme estabelecido pela Resolução n</w:t>
      </w:r>
      <w:r w:rsidRPr="00FD016C">
        <w:rPr>
          <w:rFonts w:ascii="Verdana" w:hAnsi="Verdana" w:cs="Arial"/>
          <w:sz w:val="20"/>
          <w:szCs w:val="20"/>
          <w:vertAlign w:val="superscript"/>
        </w:rPr>
        <w:t>o</w:t>
      </w:r>
      <w:r w:rsidRPr="00FD016C">
        <w:rPr>
          <w:rFonts w:ascii="Verdana" w:hAnsi="Verdana" w:cs="Arial"/>
          <w:sz w:val="20"/>
          <w:szCs w:val="20"/>
        </w:rPr>
        <w:t xml:space="preserve"> 3.284/05, emitida pelo Banco Central do Brasil</w:t>
      </w:r>
      <w:r w:rsidR="00A854F5" w:rsidRPr="00FD016C">
        <w:rPr>
          <w:rFonts w:ascii="Verdana" w:hAnsi="Verdana" w:cs="Arial"/>
          <w:sz w:val="20"/>
          <w:szCs w:val="20"/>
        </w:rPr>
        <w:t xml:space="preserve"> - BACEN</w:t>
      </w:r>
      <w:r w:rsidRPr="00FD016C">
        <w:rPr>
          <w:rFonts w:ascii="Verdana" w:hAnsi="Verdana" w:cs="Arial"/>
          <w:sz w:val="20"/>
          <w:szCs w:val="20"/>
        </w:rPr>
        <w:t xml:space="preserve"> em 25 de maio de 2005, as aplicações financeiras resultantes das receitas próprias das empresas públicas e das sociedades de economia mista, integrantes da Administração Federal </w:t>
      </w:r>
      <w:r w:rsidRPr="00FD016C">
        <w:rPr>
          <w:rFonts w:ascii="Verdana" w:hAnsi="Verdana" w:cs="Arial"/>
          <w:sz w:val="20"/>
          <w:szCs w:val="20"/>
        </w:rPr>
        <w:lastRenderedPageBreak/>
        <w:t>Indireta, somente podem ser efetuadas por intermédio da Caixa Econômica Federal</w:t>
      </w:r>
      <w:r w:rsidR="003534B2" w:rsidRPr="00FD016C">
        <w:rPr>
          <w:rFonts w:ascii="Verdana" w:hAnsi="Verdana" w:cs="Arial"/>
          <w:sz w:val="20"/>
          <w:szCs w:val="20"/>
        </w:rPr>
        <w:t xml:space="preserve"> - CEF</w:t>
      </w:r>
      <w:r w:rsidRPr="00FD016C">
        <w:rPr>
          <w:rFonts w:ascii="Verdana" w:hAnsi="Verdana" w:cs="Arial"/>
          <w:sz w:val="20"/>
          <w:szCs w:val="20"/>
        </w:rPr>
        <w:t>, do Banco do Brasil S.A</w:t>
      </w:r>
      <w:r w:rsidR="003534B2" w:rsidRPr="00FD016C">
        <w:rPr>
          <w:rFonts w:ascii="Verdana" w:hAnsi="Verdana" w:cs="Arial"/>
          <w:sz w:val="20"/>
          <w:szCs w:val="20"/>
        </w:rPr>
        <w:t xml:space="preserve"> - BB</w:t>
      </w:r>
      <w:r w:rsidRPr="00FD016C">
        <w:rPr>
          <w:rFonts w:ascii="Verdana" w:hAnsi="Verdana" w:cs="Arial"/>
          <w:sz w:val="20"/>
          <w:szCs w:val="20"/>
        </w:rPr>
        <w:t xml:space="preserve"> ou por instituição integrante do conglomerado financeiro por eles liderados.</w:t>
      </w:r>
    </w:p>
    <w:p w14:paraId="1AFF222E" w14:textId="77777777" w:rsidR="003F4719" w:rsidRPr="00FD016C" w:rsidRDefault="003F4719" w:rsidP="005144E2">
      <w:pPr>
        <w:widowControl/>
        <w:tabs>
          <w:tab w:val="left" w:pos="7635"/>
        </w:tabs>
        <w:jc w:val="both"/>
        <w:rPr>
          <w:rFonts w:ascii="Verdana" w:hAnsi="Verdana" w:cs="Arial"/>
          <w:sz w:val="20"/>
          <w:szCs w:val="20"/>
        </w:rPr>
      </w:pPr>
    </w:p>
    <w:p w14:paraId="48CEEEAA" w14:textId="5186E49C" w:rsidR="003F4719" w:rsidRPr="00FD016C" w:rsidRDefault="003F4719" w:rsidP="005144E2">
      <w:pPr>
        <w:widowControl/>
        <w:tabs>
          <w:tab w:val="left" w:pos="7635"/>
        </w:tabs>
        <w:jc w:val="both"/>
        <w:rPr>
          <w:rFonts w:ascii="Verdana" w:hAnsi="Verdana" w:cs="Arial"/>
          <w:sz w:val="20"/>
          <w:szCs w:val="20"/>
        </w:rPr>
      </w:pPr>
      <w:r w:rsidRPr="00FD016C">
        <w:rPr>
          <w:rFonts w:ascii="Verdana" w:hAnsi="Verdana" w:cs="Arial"/>
          <w:sz w:val="20"/>
          <w:szCs w:val="20"/>
        </w:rPr>
        <w:t xml:space="preserve">As aplicações financeiras da Companhia, apresentadas no quadro abaixo (“b - Títulos e valores mobiliários de curto prazo”), resultam de recursos oriundos de financiamento concedido pelo BNDES e pela CEF, que são mantidos no </w:t>
      </w:r>
      <w:r w:rsidR="003534B2" w:rsidRPr="00FD016C">
        <w:rPr>
          <w:rFonts w:ascii="Verdana" w:hAnsi="Verdana" w:cs="Arial"/>
          <w:sz w:val="20"/>
          <w:szCs w:val="20"/>
        </w:rPr>
        <w:t>BB</w:t>
      </w:r>
      <w:r w:rsidRPr="00FD016C">
        <w:rPr>
          <w:rFonts w:ascii="Verdana" w:hAnsi="Verdana" w:cs="Arial"/>
          <w:sz w:val="20"/>
          <w:szCs w:val="20"/>
        </w:rPr>
        <w:t xml:space="preserve"> e na CEF por força contratual. Estão aplicados em </w:t>
      </w:r>
      <w:proofErr w:type="spellStart"/>
      <w:r w:rsidRPr="00FD016C">
        <w:rPr>
          <w:rFonts w:ascii="Verdana" w:hAnsi="Verdana" w:cs="Arial"/>
          <w:sz w:val="20"/>
          <w:szCs w:val="20"/>
        </w:rPr>
        <w:t>Extramercado</w:t>
      </w:r>
      <w:proofErr w:type="spellEnd"/>
      <w:r w:rsidRPr="00FD016C">
        <w:rPr>
          <w:rFonts w:ascii="Verdana" w:hAnsi="Verdana" w:cs="Arial"/>
          <w:sz w:val="20"/>
          <w:szCs w:val="20"/>
        </w:rPr>
        <w:t xml:space="preserve"> Fundo de Investimento em Renda Fixa</w:t>
      </w:r>
      <w:r w:rsidR="007D3780" w:rsidRPr="00FD016C">
        <w:rPr>
          <w:rFonts w:ascii="Verdana" w:hAnsi="Verdana" w:cs="Arial"/>
          <w:sz w:val="20"/>
          <w:szCs w:val="20"/>
        </w:rPr>
        <w:t xml:space="preserve"> - FAE</w:t>
      </w:r>
      <w:r w:rsidRPr="00FD016C">
        <w:rPr>
          <w:rFonts w:ascii="Verdana" w:hAnsi="Verdana" w:cs="Arial"/>
          <w:sz w:val="20"/>
          <w:szCs w:val="20"/>
        </w:rPr>
        <w:t xml:space="preserve">, que oferece liquidez diária e são compostas, principalmente, de títulos do governo brasileiro e certificados de depósitos bancários. O fundo de investimento possui possibilidade de resgate com liquidez imediata e sem carência. </w:t>
      </w:r>
    </w:p>
    <w:p w14:paraId="2779F07E" w14:textId="77777777" w:rsidR="00CD42AA" w:rsidRPr="00FD016C" w:rsidRDefault="00CD42AA" w:rsidP="005144E2">
      <w:pPr>
        <w:widowControl/>
        <w:tabs>
          <w:tab w:val="left" w:pos="7635"/>
        </w:tabs>
        <w:jc w:val="both"/>
        <w:rPr>
          <w:rFonts w:ascii="Verdana" w:hAnsi="Verdana" w:cs="Arial"/>
          <w:sz w:val="16"/>
          <w:szCs w:val="16"/>
        </w:rPr>
      </w:pPr>
    </w:p>
    <w:p w14:paraId="0C0BDA88" w14:textId="77777777" w:rsidR="00CD42AA" w:rsidRPr="00FD016C" w:rsidRDefault="00CD42AA" w:rsidP="005144E2">
      <w:pPr>
        <w:widowControl/>
        <w:tabs>
          <w:tab w:val="left" w:pos="7635"/>
        </w:tabs>
        <w:jc w:val="both"/>
        <w:rPr>
          <w:rFonts w:ascii="Verdana" w:hAnsi="Verdana" w:cs="Arial"/>
          <w:sz w:val="16"/>
          <w:szCs w:val="16"/>
        </w:rPr>
      </w:pPr>
    </w:p>
    <w:p w14:paraId="2FC8FBD4" w14:textId="42260B2C" w:rsidR="003F4719" w:rsidRPr="00FD016C"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FD016C">
        <w:rPr>
          <w:rFonts w:ascii="Verdana" w:hAnsi="Verdana" w:cs="Arial"/>
          <w:b/>
          <w:color w:val="0070C0"/>
        </w:rPr>
        <w:t>Caixa e equivalentes de caixa</w:t>
      </w:r>
    </w:p>
    <w:p w14:paraId="15FFB445" w14:textId="77777777" w:rsidR="003609C4" w:rsidRPr="00FD016C" w:rsidRDefault="003609C4" w:rsidP="003609C4">
      <w:pPr>
        <w:widowControl/>
        <w:tabs>
          <w:tab w:val="left" w:pos="426"/>
        </w:tabs>
        <w:jc w:val="both"/>
        <w:rPr>
          <w:rFonts w:ascii="Verdana" w:hAnsi="Verdana" w:cs="Arial"/>
          <w:b/>
          <w:color w:val="0070C0"/>
          <w:sz w:val="20"/>
          <w:szCs w:val="20"/>
        </w:rPr>
      </w:pPr>
    </w:p>
    <w:p w14:paraId="4887814F" w14:textId="2285C7B7" w:rsidR="008C695E" w:rsidRPr="00FD016C" w:rsidRDefault="00CD42AA" w:rsidP="003609C4">
      <w:pPr>
        <w:pStyle w:val="PargrafodaLista"/>
        <w:widowControl/>
        <w:tabs>
          <w:tab w:val="left" w:pos="7635"/>
        </w:tabs>
        <w:ind w:left="0"/>
        <w:jc w:val="both"/>
        <w:rPr>
          <w:rFonts w:ascii="Verdana" w:hAnsi="Verdana" w:cs="Arial"/>
          <w:b/>
          <w:sz w:val="20"/>
          <w:szCs w:val="20"/>
        </w:rPr>
      </w:pPr>
      <w:r w:rsidRPr="00FD016C">
        <w:rPr>
          <w:noProof/>
        </w:rPr>
        <w:drawing>
          <wp:inline distT="0" distB="0" distL="0" distR="0" wp14:anchorId="423BE1C5" wp14:editId="0619B01C">
            <wp:extent cx="4381500" cy="127635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p>
    <w:p w14:paraId="54BC04BE" w14:textId="77777777" w:rsidR="00CD42AA" w:rsidRPr="00FD016C" w:rsidRDefault="00CD42AA" w:rsidP="003609C4">
      <w:pPr>
        <w:pStyle w:val="PargrafodaLista"/>
        <w:widowControl/>
        <w:tabs>
          <w:tab w:val="left" w:pos="7635"/>
        </w:tabs>
        <w:ind w:left="0"/>
        <w:jc w:val="both"/>
        <w:rPr>
          <w:rFonts w:ascii="Verdana" w:hAnsi="Verdana" w:cs="Arial"/>
          <w:b/>
          <w:sz w:val="20"/>
          <w:szCs w:val="20"/>
        </w:rPr>
      </w:pPr>
    </w:p>
    <w:p w14:paraId="4C0ECAAF" w14:textId="77777777" w:rsidR="00CD42AA" w:rsidRPr="00FD016C" w:rsidRDefault="00CD42AA" w:rsidP="003609C4">
      <w:pPr>
        <w:pStyle w:val="PargrafodaLista"/>
        <w:widowControl/>
        <w:tabs>
          <w:tab w:val="left" w:pos="7635"/>
        </w:tabs>
        <w:ind w:left="0"/>
        <w:jc w:val="both"/>
        <w:rPr>
          <w:rFonts w:ascii="Verdana" w:hAnsi="Verdana" w:cs="Arial"/>
          <w:b/>
          <w:sz w:val="20"/>
          <w:szCs w:val="20"/>
        </w:rPr>
      </w:pPr>
    </w:p>
    <w:p w14:paraId="11322A3B" w14:textId="77777777" w:rsidR="003F4719" w:rsidRPr="00FD016C" w:rsidRDefault="003F4719" w:rsidP="00075524">
      <w:pPr>
        <w:pStyle w:val="PargrafodaLista"/>
        <w:widowControl/>
        <w:numPr>
          <w:ilvl w:val="0"/>
          <w:numId w:val="8"/>
        </w:numPr>
        <w:tabs>
          <w:tab w:val="left" w:pos="426"/>
        </w:tabs>
        <w:ind w:left="284" w:hanging="284"/>
        <w:jc w:val="both"/>
        <w:rPr>
          <w:rFonts w:ascii="Verdana" w:hAnsi="Verdana" w:cs="Arial"/>
          <w:b/>
          <w:color w:val="0070C0"/>
        </w:rPr>
      </w:pPr>
      <w:r w:rsidRPr="00FD016C">
        <w:rPr>
          <w:rFonts w:ascii="Verdana" w:hAnsi="Verdana" w:cs="Arial"/>
          <w:b/>
          <w:color w:val="0070C0"/>
        </w:rPr>
        <w:t>Títulos e valores mobiliários de curto prazo</w:t>
      </w:r>
    </w:p>
    <w:p w14:paraId="00DD0F7B" w14:textId="77777777" w:rsidR="00D7529D" w:rsidRPr="00FD016C" w:rsidRDefault="00D7529D" w:rsidP="00D7529D">
      <w:pPr>
        <w:widowControl/>
        <w:tabs>
          <w:tab w:val="left" w:pos="426"/>
        </w:tabs>
        <w:jc w:val="both"/>
        <w:rPr>
          <w:rFonts w:ascii="Verdana" w:hAnsi="Verdana" w:cs="Arial"/>
          <w:b/>
          <w:color w:val="0070C0"/>
          <w:sz w:val="20"/>
          <w:szCs w:val="20"/>
        </w:rPr>
      </w:pPr>
    </w:p>
    <w:p w14:paraId="6072844C" w14:textId="136EF0A2" w:rsidR="000356F7" w:rsidRPr="00FD016C" w:rsidRDefault="00CD42AA" w:rsidP="003161C7">
      <w:pPr>
        <w:widowControl/>
        <w:tabs>
          <w:tab w:val="left" w:pos="7635"/>
        </w:tabs>
        <w:jc w:val="both"/>
        <w:rPr>
          <w:rFonts w:ascii="Verdana" w:hAnsi="Verdana" w:cs="Arial"/>
          <w:b/>
          <w:sz w:val="20"/>
          <w:szCs w:val="20"/>
        </w:rPr>
      </w:pPr>
      <w:r w:rsidRPr="00FD016C">
        <w:rPr>
          <w:noProof/>
        </w:rPr>
        <w:drawing>
          <wp:inline distT="0" distB="0" distL="0" distR="0" wp14:anchorId="216B1175" wp14:editId="333500DD">
            <wp:extent cx="4429125" cy="1752600"/>
            <wp:effectExtent l="0" t="0" r="9525"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9125" cy="1752600"/>
                    </a:xfrm>
                    <a:prstGeom prst="rect">
                      <a:avLst/>
                    </a:prstGeom>
                    <a:noFill/>
                    <a:ln>
                      <a:noFill/>
                    </a:ln>
                  </pic:spPr>
                </pic:pic>
              </a:graphicData>
            </a:graphic>
          </wp:inline>
        </w:drawing>
      </w:r>
    </w:p>
    <w:p w14:paraId="6C4594F2" w14:textId="77777777" w:rsidR="008F7DFA" w:rsidRPr="00FD016C" w:rsidRDefault="008F7DFA" w:rsidP="00084FA4">
      <w:pPr>
        <w:rPr>
          <w:rFonts w:ascii="Verdana" w:hAnsi="Verdana"/>
          <w:color w:val="000000"/>
          <w:sz w:val="20"/>
          <w:szCs w:val="20"/>
        </w:rPr>
      </w:pPr>
    </w:p>
    <w:p w14:paraId="0005BF88" w14:textId="243C7744" w:rsidR="00AB3E31" w:rsidRPr="00FD016C" w:rsidRDefault="00AB3E31" w:rsidP="00CB16A2">
      <w:pPr>
        <w:widowControl/>
        <w:tabs>
          <w:tab w:val="left" w:pos="7635"/>
        </w:tabs>
        <w:jc w:val="both"/>
        <w:rPr>
          <w:rFonts w:ascii="Verdana" w:hAnsi="Verdana" w:cs="Arial"/>
          <w:color w:val="000000"/>
          <w:sz w:val="20"/>
          <w:szCs w:val="20"/>
          <w:lang w:eastAsia="en-US"/>
        </w:rPr>
      </w:pPr>
      <w:r w:rsidRPr="00FD016C">
        <w:rPr>
          <w:rFonts w:ascii="Verdana" w:hAnsi="Verdana" w:cs="Arial"/>
          <w:color w:val="000000"/>
          <w:sz w:val="20"/>
          <w:szCs w:val="20"/>
          <w:lang w:eastAsia="en-US"/>
        </w:rPr>
        <w:t xml:space="preserve">Em 2021, houve aplicação em títulos e valores mobiliários de curto prazo no valor de </w:t>
      </w:r>
      <w:r w:rsidRPr="00FD016C">
        <w:rPr>
          <w:rFonts w:ascii="Verdana" w:hAnsi="Verdana" w:cs="Arial"/>
          <w:sz w:val="20"/>
          <w:szCs w:val="20"/>
          <w:lang w:eastAsia="en-US"/>
        </w:rPr>
        <w:t>R$ 1.773.000</w:t>
      </w:r>
      <w:r w:rsidRPr="00FD016C">
        <w:rPr>
          <w:rFonts w:ascii="Verdana" w:hAnsi="Verdana" w:cs="Arial"/>
          <w:color w:val="000000"/>
          <w:sz w:val="20"/>
          <w:szCs w:val="20"/>
          <w:lang w:eastAsia="en-US"/>
        </w:rPr>
        <w:t>, rendimento bruto de R$ 17.11</w:t>
      </w:r>
      <w:r w:rsidR="0076064C" w:rsidRPr="00FD016C">
        <w:rPr>
          <w:rFonts w:ascii="Verdana" w:hAnsi="Verdana" w:cs="Arial"/>
          <w:color w:val="000000"/>
          <w:sz w:val="20"/>
          <w:szCs w:val="20"/>
          <w:lang w:eastAsia="en-US"/>
        </w:rPr>
        <w:t>3</w:t>
      </w:r>
      <w:r w:rsidRPr="00FD016C">
        <w:rPr>
          <w:rFonts w:ascii="Verdana" w:hAnsi="Verdana" w:cs="Arial"/>
          <w:color w:val="000000"/>
          <w:sz w:val="20"/>
          <w:szCs w:val="20"/>
          <w:lang w:eastAsia="en-US"/>
        </w:rPr>
        <w:t xml:space="preserve"> e resgate de recursos, incluso IRRF e pagamento de IOF, no montante</w:t>
      </w:r>
      <w:r w:rsidR="0076064C" w:rsidRPr="00FD016C">
        <w:rPr>
          <w:rFonts w:ascii="Verdana" w:hAnsi="Verdana" w:cs="Arial"/>
          <w:color w:val="000000"/>
          <w:sz w:val="20"/>
          <w:szCs w:val="20"/>
          <w:lang w:eastAsia="en-US"/>
        </w:rPr>
        <w:t xml:space="preserve"> de R$ 2.069.487</w:t>
      </w:r>
      <w:r w:rsidRPr="00FD016C">
        <w:rPr>
          <w:rFonts w:ascii="Verdana" w:hAnsi="Verdana" w:cs="Arial"/>
          <w:color w:val="000000"/>
          <w:sz w:val="20"/>
          <w:szCs w:val="20"/>
          <w:lang w:eastAsia="en-US"/>
        </w:rPr>
        <w:t>.</w:t>
      </w:r>
    </w:p>
    <w:p w14:paraId="446FF097" w14:textId="77777777" w:rsidR="008F7DFA" w:rsidRPr="00FD016C" w:rsidRDefault="008F7DFA" w:rsidP="00084FA4">
      <w:pPr>
        <w:rPr>
          <w:rFonts w:ascii="Verdana" w:hAnsi="Verdana"/>
          <w:color w:val="000000"/>
          <w:sz w:val="20"/>
          <w:szCs w:val="20"/>
        </w:rPr>
      </w:pPr>
    </w:p>
    <w:p w14:paraId="5799BB92" w14:textId="77777777" w:rsidR="00D160D0" w:rsidRPr="00FD016C" w:rsidRDefault="00D160D0" w:rsidP="00084FA4">
      <w:pPr>
        <w:rPr>
          <w:rFonts w:ascii="Verdana" w:hAnsi="Verdana"/>
          <w:color w:val="000000"/>
          <w:sz w:val="20"/>
          <w:szCs w:val="20"/>
        </w:rPr>
      </w:pPr>
    </w:p>
    <w:p w14:paraId="3FBDBDF6" w14:textId="77777777" w:rsidR="00D160D0" w:rsidRDefault="00D160D0" w:rsidP="00084FA4">
      <w:pPr>
        <w:rPr>
          <w:rFonts w:ascii="Verdana" w:hAnsi="Verdana"/>
          <w:color w:val="000000"/>
          <w:sz w:val="20"/>
          <w:szCs w:val="20"/>
        </w:rPr>
      </w:pPr>
    </w:p>
    <w:p w14:paraId="6C49266B" w14:textId="77777777" w:rsidR="003632BB" w:rsidRDefault="003632BB" w:rsidP="00084FA4">
      <w:pPr>
        <w:rPr>
          <w:rFonts w:ascii="Verdana" w:hAnsi="Verdana"/>
          <w:color w:val="000000"/>
          <w:sz w:val="20"/>
          <w:szCs w:val="20"/>
        </w:rPr>
      </w:pPr>
    </w:p>
    <w:p w14:paraId="4D53BE6C" w14:textId="77777777" w:rsidR="003632BB" w:rsidRDefault="003632BB" w:rsidP="00084FA4">
      <w:pPr>
        <w:rPr>
          <w:rFonts w:ascii="Verdana" w:hAnsi="Verdana"/>
          <w:color w:val="000000"/>
          <w:sz w:val="20"/>
          <w:szCs w:val="20"/>
        </w:rPr>
      </w:pPr>
    </w:p>
    <w:p w14:paraId="20BD1046" w14:textId="77777777" w:rsidR="003632BB" w:rsidRDefault="003632BB" w:rsidP="00084FA4">
      <w:pPr>
        <w:rPr>
          <w:rFonts w:ascii="Verdana" w:hAnsi="Verdana"/>
          <w:color w:val="000000"/>
          <w:sz w:val="20"/>
          <w:szCs w:val="20"/>
        </w:rPr>
      </w:pPr>
    </w:p>
    <w:p w14:paraId="10261B82" w14:textId="77777777" w:rsidR="003632BB" w:rsidRDefault="003632BB" w:rsidP="00084FA4">
      <w:pPr>
        <w:rPr>
          <w:rFonts w:ascii="Verdana" w:hAnsi="Verdana"/>
          <w:color w:val="000000"/>
          <w:sz w:val="20"/>
          <w:szCs w:val="20"/>
        </w:rPr>
      </w:pPr>
    </w:p>
    <w:p w14:paraId="20FA080B" w14:textId="77777777" w:rsidR="003632BB" w:rsidRPr="00FD016C" w:rsidRDefault="003632BB" w:rsidP="00084FA4">
      <w:pPr>
        <w:rPr>
          <w:rFonts w:ascii="Verdana" w:hAnsi="Verdana"/>
          <w:color w:val="000000"/>
          <w:sz w:val="20"/>
          <w:szCs w:val="20"/>
        </w:rPr>
      </w:pPr>
    </w:p>
    <w:p w14:paraId="53264CAC" w14:textId="611D9CEA" w:rsidR="003F4719" w:rsidRPr="00FD016C" w:rsidRDefault="003F4719" w:rsidP="005144E2">
      <w:pPr>
        <w:widowControl/>
        <w:tabs>
          <w:tab w:val="left" w:pos="7635"/>
        </w:tabs>
        <w:jc w:val="both"/>
        <w:rPr>
          <w:rFonts w:ascii="Verdana" w:hAnsi="Verdana" w:cs="Arial"/>
          <w:b/>
          <w:color w:val="0070C0"/>
          <w:sz w:val="26"/>
          <w:szCs w:val="26"/>
        </w:rPr>
      </w:pPr>
      <w:r w:rsidRPr="00FD016C">
        <w:rPr>
          <w:rFonts w:ascii="Verdana" w:hAnsi="Verdana" w:cs="Arial"/>
          <w:b/>
          <w:color w:val="0070C0"/>
          <w:sz w:val="26"/>
          <w:szCs w:val="26"/>
        </w:rPr>
        <w:lastRenderedPageBreak/>
        <w:t>NOTA 6 – CLIENTES</w:t>
      </w:r>
    </w:p>
    <w:p w14:paraId="4819A7DB" w14:textId="77777777" w:rsidR="001222C9" w:rsidRPr="00FD016C" w:rsidRDefault="001222C9" w:rsidP="005144E2">
      <w:pPr>
        <w:widowControl/>
        <w:tabs>
          <w:tab w:val="left" w:pos="7635"/>
        </w:tabs>
        <w:jc w:val="both"/>
        <w:rPr>
          <w:rFonts w:ascii="Verdana" w:hAnsi="Verdana" w:cs="Arial"/>
          <w:b/>
          <w:sz w:val="20"/>
          <w:szCs w:val="20"/>
        </w:rPr>
      </w:pPr>
    </w:p>
    <w:p w14:paraId="068A43D6" w14:textId="77777777" w:rsidR="00C37BE4" w:rsidRPr="00FD016C" w:rsidRDefault="00C37BE4" w:rsidP="005144E2">
      <w:pPr>
        <w:widowControl/>
        <w:tabs>
          <w:tab w:val="left" w:pos="7635"/>
        </w:tabs>
        <w:jc w:val="both"/>
        <w:rPr>
          <w:rFonts w:ascii="Verdana" w:hAnsi="Verdana" w:cs="Arial"/>
          <w:b/>
          <w:sz w:val="20"/>
          <w:szCs w:val="20"/>
        </w:rPr>
      </w:pPr>
    </w:p>
    <w:p w14:paraId="78C11A4B" w14:textId="306D66BC" w:rsidR="00E6025D" w:rsidRPr="00FD016C" w:rsidRDefault="00D63FDB" w:rsidP="005144E2">
      <w:pPr>
        <w:widowControl/>
        <w:tabs>
          <w:tab w:val="left" w:pos="7635"/>
        </w:tabs>
        <w:jc w:val="both"/>
        <w:rPr>
          <w:rFonts w:ascii="Verdana" w:hAnsi="Verdana" w:cs="Arial"/>
          <w:b/>
          <w:sz w:val="20"/>
          <w:szCs w:val="20"/>
        </w:rPr>
      </w:pPr>
      <w:r w:rsidRPr="00FD016C">
        <w:rPr>
          <w:rFonts w:ascii="Verdana" w:hAnsi="Verdana" w:cs="Arial"/>
          <w:b/>
          <w:sz w:val="20"/>
          <w:szCs w:val="20"/>
        </w:rPr>
        <w:t xml:space="preserve"> </w:t>
      </w:r>
      <w:r w:rsidR="00CD42AA" w:rsidRPr="00FD016C">
        <w:rPr>
          <w:noProof/>
        </w:rPr>
        <w:drawing>
          <wp:inline distT="0" distB="0" distL="0" distR="0" wp14:anchorId="700A0781" wp14:editId="2CB4D573">
            <wp:extent cx="5429250" cy="1343025"/>
            <wp:effectExtent l="0" t="0" r="0" b="9525"/>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0" cy="1343025"/>
                    </a:xfrm>
                    <a:prstGeom prst="rect">
                      <a:avLst/>
                    </a:prstGeom>
                    <a:noFill/>
                    <a:ln>
                      <a:noFill/>
                    </a:ln>
                  </pic:spPr>
                </pic:pic>
              </a:graphicData>
            </a:graphic>
          </wp:inline>
        </w:drawing>
      </w:r>
    </w:p>
    <w:p w14:paraId="3A058295" w14:textId="310162AB" w:rsidR="00425F2E" w:rsidRPr="00FD016C" w:rsidRDefault="00425F2E" w:rsidP="005144E2">
      <w:pPr>
        <w:widowControl/>
        <w:tabs>
          <w:tab w:val="left" w:pos="7635"/>
        </w:tabs>
        <w:jc w:val="both"/>
        <w:rPr>
          <w:rFonts w:ascii="Verdana" w:hAnsi="Verdana" w:cs="Arial"/>
          <w:b/>
          <w:sz w:val="20"/>
          <w:szCs w:val="20"/>
        </w:rPr>
      </w:pPr>
    </w:p>
    <w:p w14:paraId="0DF91022" w14:textId="33CE3BDF" w:rsidR="006F3B03" w:rsidRDefault="006F3B03" w:rsidP="007D59E6">
      <w:pPr>
        <w:pStyle w:val="PargrafodaLista"/>
        <w:widowControl/>
        <w:numPr>
          <w:ilvl w:val="0"/>
          <w:numId w:val="42"/>
        </w:numPr>
        <w:ind w:left="284" w:hanging="284"/>
        <w:jc w:val="both"/>
        <w:rPr>
          <w:rFonts w:ascii="Verdana" w:hAnsi="Verdana" w:cs="Arial"/>
          <w:sz w:val="20"/>
          <w:szCs w:val="20"/>
        </w:rPr>
      </w:pPr>
      <w:r w:rsidRPr="00FD016C">
        <w:rPr>
          <w:rFonts w:ascii="Verdana" w:hAnsi="Verdana" w:cs="Arial"/>
          <w:sz w:val="20"/>
          <w:szCs w:val="20"/>
        </w:rPr>
        <w:t>O faturamento da Companhia é realizado, mensalmente, com base na Resolução Normativa nº 530, editada em 21 de dezembro de 2012, pela Aneel, para todas as concessionárias, permissionárias ou autorizadas de serviço público de distribuição no Sistema Interligado Nacional – SIN. Em 3</w:t>
      </w:r>
      <w:r w:rsidR="003F51CC" w:rsidRPr="00FD016C">
        <w:rPr>
          <w:rFonts w:ascii="Verdana" w:hAnsi="Verdana" w:cs="Arial"/>
          <w:sz w:val="20"/>
          <w:szCs w:val="20"/>
        </w:rPr>
        <w:t>0</w:t>
      </w:r>
      <w:r w:rsidRPr="00FD016C">
        <w:rPr>
          <w:rFonts w:ascii="Verdana" w:hAnsi="Verdana" w:cs="Arial"/>
          <w:sz w:val="20"/>
          <w:szCs w:val="20"/>
        </w:rPr>
        <w:t xml:space="preserve"> de </w:t>
      </w:r>
      <w:r w:rsidR="004C1CE7" w:rsidRPr="00FD016C">
        <w:rPr>
          <w:rFonts w:ascii="Verdana" w:hAnsi="Verdana" w:cs="Arial"/>
          <w:sz w:val="20"/>
          <w:szCs w:val="20"/>
        </w:rPr>
        <w:t>setembro</w:t>
      </w:r>
      <w:r w:rsidRPr="00FD016C">
        <w:rPr>
          <w:rFonts w:ascii="Verdana" w:hAnsi="Verdana" w:cs="Arial"/>
          <w:sz w:val="20"/>
          <w:szCs w:val="20"/>
        </w:rPr>
        <w:t xml:space="preserve"> de 202</w:t>
      </w:r>
      <w:r w:rsidR="00234539" w:rsidRPr="00FD016C">
        <w:rPr>
          <w:rFonts w:ascii="Verdana" w:hAnsi="Verdana" w:cs="Arial"/>
          <w:sz w:val="20"/>
          <w:szCs w:val="20"/>
        </w:rPr>
        <w:t>1</w:t>
      </w:r>
      <w:r w:rsidRPr="00FD016C">
        <w:rPr>
          <w:rFonts w:ascii="Verdana" w:hAnsi="Verdana" w:cs="Arial"/>
          <w:sz w:val="20"/>
          <w:szCs w:val="20"/>
        </w:rPr>
        <w:t xml:space="preserve">, não há histórico de inadimplência </w:t>
      </w:r>
      <w:r w:rsidR="00462DEC" w:rsidRPr="00FD016C">
        <w:rPr>
          <w:rFonts w:ascii="Verdana" w:hAnsi="Verdana" w:cs="Arial"/>
          <w:sz w:val="20"/>
          <w:szCs w:val="20"/>
        </w:rPr>
        <w:t>que justifique a constituição de</w:t>
      </w:r>
      <w:r w:rsidRPr="00FD016C">
        <w:rPr>
          <w:rFonts w:ascii="Verdana" w:hAnsi="Verdana" w:cs="Arial"/>
          <w:sz w:val="20"/>
          <w:szCs w:val="20"/>
        </w:rPr>
        <w:t xml:space="preserve"> Provisão para Créditos de Liquidação Duvidosa - PCLD.</w:t>
      </w:r>
    </w:p>
    <w:p w14:paraId="269415BC" w14:textId="77777777" w:rsidR="00C224B3" w:rsidRPr="00C224B3" w:rsidRDefault="00C224B3" w:rsidP="00C224B3">
      <w:pPr>
        <w:widowControl/>
        <w:jc w:val="both"/>
        <w:rPr>
          <w:rFonts w:ascii="Verdana" w:hAnsi="Verdana" w:cs="Arial"/>
          <w:sz w:val="20"/>
          <w:szCs w:val="20"/>
        </w:rPr>
      </w:pPr>
    </w:p>
    <w:p w14:paraId="41D96085" w14:textId="1A728187" w:rsidR="0078777A" w:rsidRPr="00FD016C" w:rsidRDefault="007D59E6" w:rsidP="00936CA3">
      <w:pPr>
        <w:pStyle w:val="PargrafodaLista"/>
        <w:widowControl/>
        <w:numPr>
          <w:ilvl w:val="0"/>
          <w:numId w:val="42"/>
        </w:numPr>
        <w:ind w:left="284" w:hanging="284"/>
        <w:jc w:val="both"/>
        <w:rPr>
          <w:rFonts w:ascii="Verdana" w:hAnsi="Verdana" w:cs="Arial"/>
          <w:sz w:val="20"/>
          <w:szCs w:val="20"/>
        </w:rPr>
      </w:pPr>
      <w:r w:rsidRPr="00FD016C">
        <w:rPr>
          <w:rFonts w:ascii="Verdana" w:hAnsi="Verdana" w:cs="Arial"/>
          <w:sz w:val="20"/>
          <w:szCs w:val="20"/>
        </w:rPr>
        <w:t>Em 3</w:t>
      </w:r>
      <w:r w:rsidR="003F51CC" w:rsidRPr="00FD016C">
        <w:rPr>
          <w:rFonts w:ascii="Verdana" w:hAnsi="Verdana" w:cs="Arial"/>
          <w:sz w:val="20"/>
          <w:szCs w:val="20"/>
        </w:rPr>
        <w:t>0</w:t>
      </w:r>
      <w:r w:rsidRPr="00FD016C">
        <w:rPr>
          <w:rFonts w:ascii="Verdana" w:hAnsi="Verdana" w:cs="Arial"/>
          <w:sz w:val="20"/>
          <w:szCs w:val="20"/>
        </w:rPr>
        <w:t xml:space="preserve"> de </w:t>
      </w:r>
      <w:r w:rsidR="004C1CE7" w:rsidRPr="00FD016C">
        <w:rPr>
          <w:rFonts w:ascii="Verdana" w:hAnsi="Verdana" w:cs="Arial"/>
          <w:sz w:val="20"/>
          <w:szCs w:val="20"/>
        </w:rPr>
        <w:t>setembro</w:t>
      </w:r>
      <w:r w:rsidRPr="00FD016C">
        <w:rPr>
          <w:rFonts w:ascii="Verdana" w:hAnsi="Verdana" w:cs="Arial"/>
          <w:sz w:val="20"/>
          <w:szCs w:val="20"/>
        </w:rPr>
        <w:t xml:space="preserve"> de 2021, há um saldo </w:t>
      </w:r>
      <w:r w:rsidR="00234539" w:rsidRPr="00FD016C">
        <w:rPr>
          <w:rFonts w:ascii="Verdana" w:hAnsi="Verdana" w:cs="Arial"/>
          <w:sz w:val="20"/>
          <w:szCs w:val="20"/>
        </w:rPr>
        <w:t xml:space="preserve">de parcela variável negativa </w:t>
      </w:r>
      <w:r w:rsidRPr="00FD016C">
        <w:rPr>
          <w:rFonts w:ascii="Verdana" w:hAnsi="Verdana" w:cs="Arial"/>
          <w:sz w:val="20"/>
          <w:szCs w:val="20"/>
        </w:rPr>
        <w:t xml:space="preserve">de R$ </w:t>
      </w:r>
      <w:r w:rsidR="008E383D" w:rsidRPr="00FD016C">
        <w:rPr>
          <w:rFonts w:ascii="Verdana" w:hAnsi="Verdana" w:cs="Arial"/>
          <w:sz w:val="20"/>
          <w:szCs w:val="20"/>
        </w:rPr>
        <w:t>366.114</w:t>
      </w:r>
      <w:r w:rsidRPr="00FD016C">
        <w:rPr>
          <w:rFonts w:ascii="Verdana" w:hAnsi="Verdana" w:cs="Arial"/>
          <w:sz w:val="20"/>
          <w:szCs w:val="20"/>
        </w:rPr>
        <w:t xml:space="preserve"> a ser ressarcido às distribuidoras em parcelas mensais até </w:t>
      </w:r>
      <w:r w:rsidR="007A18A4" w:rsidRPr="00FD016C">
        <w:rPr>
          <w:rFonts w:ascii="Verdana" w:hAnsi="Verdana" w:cs="Arial"/>
          <w:sz w:val="20"/>
          <w:szCs w:val="20"/>
        </w:rPr>
        <w:t>janeiro de 2023</w:t>
      </w:r>
      <w:r w:rsidRPr="00FD016C">
        <w:rPr>
          <w:rFonts w:ascii="Verdana" w:hAnsi="Verdana" w:cs="Arial"/>
          <w:sz w:val="20"/>
          <w:szCs w:val="20"/>
        </w:rPr>
        <w:t>, referente ao</w:t>
      </w:r>
      <w:r w:rsidR="007A18A4" w:rsidRPr="00FD016C">
        <w:rPr>
          <w:rFonts w:ascii="Verdana" w:hAnsi="Verdana" w:cs="Arial"/>
          <w:sz w:val="20"/>
          <w:szCs w:val="20"/>
        </w:rPr>
        <w:t>s</w:t>
      </w:r>
      <w:r w:rsidRPr="00FD016C">
        <w:rPr>
          <w:rFonts w:ascii="Verdana" w:hAnsi="Verdana" w:cs="Arial"/>
          <w:sz w:val="20"/>
          <w:szCs w:val="20"/>
        </w:rPr>
        <w:t xml:space="preserve"> desvio</w:t>
      </w:r>
      <w:r w:rsidR="007A18A4" w:rsidRPr="00FD016C">
        <w:rPr>
          <w:rFonts w:ascii="Verdana" w:hAnsi="Verdana" w:cs="Arial"/>
          <w:sz w:val="20"/>
          <w:szCs w:val="20"/>
        </w:rPr>
        <w:t>s</w:t>
      </w:r>
      <w:r w:rsidRPr="00FD016C">
        <w:rPr>
          <w:rFonts w:ascii="Verdana" w:hAnsi="Verdana" w:cs="Arial"/>
          <w:sz w:val="20"/>
          <w:szCs w:val="20"/>
        </w:rPr>
        <w:t xml:space="preserve"> negativo</w:t>
      </w:r>
      <w:r w:rsidR="007A18A4" w:rsidRPr="00FD016C">
        <w:rPr>
          <w:rFonts w:ascii="Verdana" w:hAnsi="Verdana" w:cs="Arial"/>
          <w:sz w:val="20"/>
          <w:szCs w:val="20"/>
        </w:rPr>
        <w:t>s</w:t>
      </w:r>
      <w:r w:rsidRPr="00FD016C">
        <w:rPr>
          <w:rFonts w:ascii="Verdana" w:hAnsi="Verdana" w:cs="Arial"/>
          <w:sz w:val="20"/>
          <w:szCs w:val="20"/>
        </w:rPr>
        <w:t xml:space="preserve"> apurado</w:t>
      </w:r>
      <w:r w:rsidR="007A18A4" w:rsidRPr="00FD016C">
        <w:rPr>
          <w:rFonts w:ascii="Verdana" w:hAnsi="Verdana" w:cs="Arial"/>
          <w:sz w:val="20"/>
          <w:szCs w:val="20"/>
        </w:rPr>
        <w:t>s</w:t>
      </w:r>
      <w:r w:rsidRPr="00FD016C">
        <w:rPr>
          <w:rFonts w:ascii="Verdana" w:hAnsi="Verdana" w:cs="Arial"/>
          <w:sz w:val="20"/>
          <w:szCs w:val="20"/>
        </w:rPr>
        <w:t xml:space="preserve"> em 2020</w:t>
      </w:r>
      <w:r w:rsidR="007A18A4" w:rsidRPr="00FD016C">
        <w:rPr>
          <w:rFonts w:ascii="Verdana" w:hAnsi="Verdana" w:cs="Arial"/>
          <w:sz w:val="20"/>
          <w:szCs w:val="20"/>
        </w:rPr>
        <w:t xml:space="preserve"> e 2021</w:t>
      </w:r>
      <w:r w:rsidR="00BB6123" w:rsidRPr="00FD016C">
        <w:rPr>
          <w:rFonts w:ascii="Verdana" w:hAnsi="Verdana" w:cs="Arial"/>
          <w:sz w:val="20"/>
          <w:szCs w:val="20"/>
        </w:rPr>
        <w:t>, apresentado no passivo circulante</w:t>
      </w:r>
      <w:r w:rsidR="00C63DB8" w:rsidRPr="00FD016C">
        <w:rPr>
          <w:rFonts w:ascii="Verdana" w:hAnsi="Verdana" w:cs="Arial"/>
          <w:sz w:val="20"/>
          <w:szCs w:val="20"/>
        </w:rPr>
        <w:t xml:space="preserve"> e não circulante</w:t>
      </w:r>
      <w:r w:rsidR="00BB6123" w:rsidRPr="00FD016C">
        <w:rPr>
          <w:rFonts w:ascii="Verdana" w:hAnsi="Verdana" w:cs="Arial"/>
          <w:sz w:val="20"/>
          <w:szCs w:val="20"/>
        </w:rPr>
        <w:t xml:space="preserve"> (</w:t>
      </w:r>
      <w:r w:rsidR="002D5D62">
        <w:rPr>
          <w:rFonts w:ascii="Verdana" w:hAnsi="Verdana" w:cs="Arial"/>
          <w:sz w:val="20"/>
          <w:szCs w:val="20"/>
        </w:rPr>
        <w:t>n</w:t>
      </w:r>
      <w:r w:rsidR="00BB6123" w:rsidRPr="00FD016C">
        <w:rPr>
          <w:rFonts w:ascii="Verdana" w:hAnsi="Verdana" w:cs="Arial"/>
          <w:sz w:val="20"/>
          <w:szCs w:val="20"/>
        </w:rPr>
        <w:t>ota 27)</w:t>
      </w:r>
      <w:r w:rsidRPr="00FD016C">
        <w:rPr>
          <w:rFonts w:ascii="Verdana" w:hAnsi="Verdana" w:cs="Arial"/>
          <w:sz w:val="20"/>
          <w:szCs w:val="20"/>
        </w:rPr>
        <w:t>.</w:t>
      </w:r>
    </w:p>
    <w:p w14:paraId="5CE4FFB2" w14:textId="77777777" w:rsidR="008F7DFA" w:rsidRPr="00FD016C" w:rsidRDefault="008F7DFA" w:rsidP="00161C85">
      <w:pPr>
        <w:pStyle w:val="PargrafodaLista"/>
        <w:jc w:val="both"/>
        <w:rPr>
          <w:rFonts w:ascii="Verdana" w:hAnsi="Verdana" w:cs="Arial"/>
          <w:sz w:val="20"/>
          <w:szCs w:val="20"/>
          <w:lang w:eastAsia="en-GB"/>
        </w:rPr>
      </w:pPr>
    </w:p>
    <w:p w14:paraId="583233D8" w14:textId="77777777" w:rsidR="008F7DFA" w:rsidRPr="00FD016C" w:rsidRDefault="008F7DFA" w:rsidP="00161C85">
      <w:pPr>
        <w:pStyle w:val="PargrafodaLista"/>
        <w:jc w:val="both"/>
        <w:rPr>
          <w:rFonts w:ascii="Verdana" w:hAnsi="Verdana" w:cs="Arial"/>
          <w:sz w:val="20"/>
          <w:szCs w:val="20"/>
          <w:lang w:eastAsia="en-GB"/>
        </w:rPr>
      </w:pPr>
    </w:p>
    <w:p w14:paraId="18FBB9B1" w14:textId="77777777" w:rsidR="008F7DFA" w:rsidRPr="00FD016C" w:rsidRDefault="008F7DFA" w:rsidP="00161C85">
      <w:pPr>
        <w:pStyle w:val="PargrafodaLista"/>
        <w:jc w:val="both"/>
        <w:rPr>
          <w:rFonts w:ascii="Verdana" w:hAnsi="Verdana" w:cs="Arial"/>
          <w:sz w:val="20"/>
          <w:szCs w:val="20"/>
          <w:lang w:eastAsia="en-GB"/>
        </w:rPr>
      </w:pPr>
    </w:p>
    <w:p w14:paraId="0214E488" w14:textId="77777777" w:rsidR="00515D44" w:rsidRPr="00FD016C" w:rsidRDefault="003F4719" w:rsidP="005144E2">
      <w:pPr>
        <w:jc w:val="both"/>
        <w:rPr>
          <w:rFonts w:ascii="Verdana" w:hAnsi="Verdana" w:cs="Arial"/>
          <w:b/>
          <w:sz w:val="26"/>
          <w:szCs w:val="26"/>
        </w:rPr>
      </w:pPr>
      <w:r w:rsidRPr="00FD016C">
        <w:rPr>
          <w:rFonts w:ascii="Verdana" w:hAnsi="Verdana" w:cs="Arial"/>
          <w:b/>
          <w:color w:val="0070C0"/>
          <w:sz w:val="26"/>
          <w:szCs w:val="26"/>
        </w:rPr>
        <w:t>NOTA 7 – IMPOSTOS E CONTRIBUIÇÕES SOCIAIS – ATIVO</w:t>
      </w:r>
    </w:p>
    <w:p w14:paraId="768FEDAD" w14:textId="77777777" w:rsidR="00515D44" w:rsidRPr="00FD016C" w:rsidRDefault="00515D44" w:rsidP="005144E2">
      <w:pPr>
        <w:jc w:val="both"/>
        <w:rPr>
          <w:rFonts w:ascii="Verdana" w:hAnsi="Verdana" w:cs="Arial"/>
          <w:b/>
          <w:sz w:val="20"/>
          <w:szCs w:val="20"/>
        </w:rPr>
      </w:pPr>
    </w:p>
    <w:p w14:paraId="46F0DB43" w14:textId="77777777" w:rsidR="004C6BDB" w:rsidRPr="00FD016C" w:rsidRDefault="004C6BDB" w:rsidP="005144E2">
      <w:pPr>
        <w:jc w:val="both"/>
        <w:rPr>
          <w:rFonts w:ascii="Verdana" w:hAnsi="Verdana" w:cs="Arial"/>
          <w:b/>
          <w:sz w:val="20"/>
          <w:szCs w:val="20"/>
        </w:rPr>
      </w:pPr>
    </w:p>
    <w:p w14:paraId="73A02D7C" w14:textId="354943A4" w:rsidR="00B3578C" w:rsidRPr="00FD016C" w:rsidRDefault="00AC2B7B" w:rsidP="005144E2">
      <w:pPr>
        <w:jc w:val="both"/>
        <w:rPr>
          <w:rFonts w:ascii="Verdana" w:hAnsi="Verdana" w:cs="Arial"/>
          <w:b/>
          <w:sz w:val="20"/>
          <w:szCs w:val="20"/>
        </w:rPr>
      </w:pPr>
      <w:r w:rsidRPr="00FD016C">
        <w:rPr>
          <w:noProof/>
        </w:rPr>
        <w:drawing>
          <wp:inline distT="0" distB="0" distL="0" distR="0" wp14:anchorId="1CE8CB65" wp14:editId="1B08A25B">
            <wp:extent cx="5988050" cy="2311400"/>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8050" cy="2311400"/>
                    </a:xfrm>
                    <a:prstGeom prst="rect">
                      <a:avLst/>
                    </a:prstGeom>
                    <a:noFill/>
                    <a:ln>
                      <a:noFill/>
                    </a:ln>
                  </pic:spPr>
                </pic:pic>
              </a:graphicData>
            </a:graphic>
          </wp:inline>
        </w:drawing>
      </w:r>
    </w:p>
    <w:p w14:paraId="7C84DCCC" w14:textId="77777777" w:rsidR="009F2AEA" w:rsidRPr="00FD016C" w:rsidRDefault="009F2AEA" w:rsidP="005144E2">
      <w:pPr>
        <w:keepNext/>
        <w:widowControl/>
        <w:jc w:val="both"/>
        <w:outlineLvl w:val="3"/>
        <w:rPr>
          <w:rFonts w:ascii="Verdana" w:hAnsi="Verdana" w:cs="Arial"/>
          <w:b/>
          <w:sz w:val="20"/>
          <w:szCs w:val="20"/>
        </w:rPr>
      </w:pPr>
    </w:p>
    <w:p w14:paraId="7E96FA50" w14:textId="77777777" w:rsidR="00107FF0" w:rsidRPr="00FD016C" w:rsidRDefault="00107FF0" w:rsidP="005144E2">
      <w:pPr>
        <w:keepNext/>
        <w:widowControl/>
        <w:jc w:val="both"/>
        <w:outlineLvl w:val="3"/>
        <w:rPr>
          <w:rFonts w:ascii="Verdana" w:hAnsi="Verdana" w:cs="Arial"/>
          <w:b/>
          <w:sz w:val="20"/>
          <w:szCs w:val="20"/>
        </w:rPr>
      </w:pPr>
    </w:p>
    <w:p w14:paraId="5FDB3A3D" w14:textId="77777777" w:rsidR="00D67540" w:rsidRPr="00FD016C" w:rsidRDefault="00D67540" w:rsidP="005144E2">
      <w:pPr>
        <w:keepNext/>
        <w:widowControl/>
        <w:jc w:val="both"/>
        <w:outlineLvl w:val="3"/>
        <w:rPr>
          <w:rFonts w:ascii="Verdana" w:hAnsi="Verdana" w:cs="Arial"/>
          <w:b/>
          <w:sz w:val="20"/>
          <w:szCs w:val="20"/>
        </w:rPr>
      </w:pPr>
    </w:p>
    <w:p w14:paraId="01386DBA" w14:textId="77777777" w:rsidR="003F4719" w:rsidRPr="00FD016C" w:rsidRDefault="003F4719" w:rsidP="005144E2">
      <w:pPr>
        <w:keepNext/>
        <w:widowControl/>
        <w:jc w:val="both"/>
        <w:outlineLvl w:val="3"/>
        <w:rPr>
          <w:rFonts w:ascii="Verdana" w:hAnsi="Verdana" w:cs="Arial"/>
          <w:b/>
          <w:color w:val="0070C0"/>
          <w:sz w:val="26"/>
          <w:szCs w:val="26"/>
        </w:rPr>
      </w:pPr>
      <w:r w:rsidRPr="00FD016C">
        <w:rPr>
          <w:rFonts w:ascii="Verdana" w:hAnsi="Verdana" w:cs="Arial"/>
          <w:b/>
          <w:color w:val="0070C0"/>
          <w:sz w:val="26"/>
          <w:szCs w:val="26"/>
        </w:rPr>
        <w:t xml:space="preserve">NOTA 8 - ESTOQUE DE COMBUSTÍVEL NUCLEAR </w:t>
      </w:r>
    </w:p>
    <w:p w14:paraId="6F19DD64" w14:textId="77777777" w:rsidR="000329BB" w:rsidRPr="00FD016C" w:rsidRDefault="000329BB" w:rsidP="005144E2">
      <w:pPr>
        <w:jc w:val="both"/>
        <w:rPr>
          <w:rFonts w:ascii="Verdana" w:hAnsi="Verdana" w:cs="Arial"/>
          <w:b/>
          <w:snapToGrid w:val="0"/>
          <w:sz w:val="20"/>
          <w:szCs w:val="20"/>
        </w:rPr>
      </w:pPr>
    </w:p>
    <w:p w14:paraId="425709DE" w14:textId="77777777" w:rsidR="006F3B03" w:rsidRPr="00FD016C" w:rsidRDefault="006F3B03" w:rsidP="005144E2">
      <w:pPr>
        <w:jc w:val="both"/>
        <w:rPr>
          <w:rFonts w:ascii="Verdana" w:hAnsi="Verdana" w:cs="Arial"/>
          <w:b/>
          <w:snapToGrid w:val="0"/>
          <w:sz w:val="20"/>
          <w:szCs w:val="20"/>
        </w:rPr>
      </w:pPr>
    </w:p>
    <w:p w14:paraId="4E4F48AD" w14:textId="77777777" w:rsidR="003F4719" w:rsidRPr="00FD016C" w:rsidRDefault="003F4719" w:rsidP="005144E2">
      <w:pPr>
        <w:jc w:val="both"/>
        <w:rPr>
          <w:rFonts w:ascii="Verdana" w:hAnsi="Verdana" w:cs="Arial"/>
          <w:snapToGrid w:val="0"/>
          <w:sz w:val="20"/>
          <w:szCs w:val="20"/>
        </w:rPr>
      </w:pPr>
      <w:r w:rsidRPr="00FD016C">
        <w:rPr>
          <w:rFonts w:ascii="Verdana" w:hAnsi="Verdana" w:cs="Arial"/>
          <w:snapToGrid w:val="0"/>
          <w:sz w:val="20"/>
          <w:szCs w:val="20"/>
        </w:rPr>
        <w:t>O com</w:t>
      </w:r>
      <w:r w:rsidR="00782DCE" w:rsidRPr="00FD016C">
        <w:rPr>
          <w:rFonts w:ascii="Verdana" w:hAnsi="Verdana" w:cs="Arial"/>
          <w:snapToGrid w:val="0"/>
          <w:sz w:val="20"/>
          <w:szCs w:val="20"/>
        </w:rPr>
        <w:t>bustível nuclear utilizado nas U</w:t>
      </w:r>
      <w:r w:rsidRPr="00FD016C">
        <w:rPr>
          <w:rFonts w:ascii="Verdana" w:hAnsi="Verdana" w:cs="Arial"/>
          <w:snapToGrid w:val="0"/>
          <w:sz w:val="20"/>
          <w:szCs w:val="20"/>
        </w:rPr>
        <w:t xml:space="preserve">sinas nucleares Angra 1 e Angra 2 é constituído de </w:t>
      </w:r>
      <w:r w:rsidRPr="00FD016C">
        <w:rPr>
          <w:rFonts w:ascii="Verdana" w:hAnsi="Verdana" w:cs="Arial"/>
          <w:snapToGrid w:val="0"/>
          <w:sz w:val="20"/>
          <w:szCs w:val="20"/>
        </w:rPr>
        <w:lastRenderedPageBreak/>
        <w:t xml:space="preserve">elementos fabricados com componentes metálicos e pastilhas de urânio em seu interior. </w:t>
      </w:r>
    </w:p>
    <w:p w14:paraId="52A3FEB8" w14:textId="77777777" w:rsidR="003F4719" w:rsidRPr="00FD016C" w:rsidRDefault="003F4719" w:rsidP="005144E2">
      <w:pPr>
        <w:widowControl/>
        <w:jc w:val="both"/>
        <w:rPr>
          <w:rFonts w:ascii="Verdana" w:hAnsi="Verdana" w:cs="Arial"/>
          <w:snapToGrid w:val="0"/>
          <w:sz w:val="20"/>
          <w:szCs w:val="20"/>
        </w:rPr>
      </w:pPr>
    </w:p>
    <w:p w14:paraId="786FCBEE" w14:textId="04A77218" w:rsidR="003F4719" w:rsidRPr="00FD016C" w:rsidRDefault="003F4719" w:rsidP="005144E2">
      <w:pPr>
        <w:widowControl/>
        <w:jc w:val="both"/>
        <w:rPr>
          <w:rFonts w:ascii="Verdana" w:hAnsi="Verdana" w:cs="Arial"/>
          <w:snapToGrid w:val="0"/>
          <w:sz w:val="20"/>
          <w:szCs w:val="20"/>
        </w:rPr>
      </w:pPr>
      <w:r w:rsidRPr="00FD016C">
        <w:rPr>
          <w:rFonts w:ascii="Verdana" w:hAnsi="Verdana" w:cs="Arial"/>
          <w:snapToGrid w:val="0"/>
          <w:sz w:val="20"/>
          <w:szCs w:val="20"/>
        </w:rPr>
        <w:t xml:space="preserve">Na sua etapa inicial de formação, são adquiridos o minério de urânio e os serviços necessários </w:t>
      </w:r>
      <w:r w:rsidR="008A6C8C" w:rsidRPr="00FD016C">
        <w:rPr>
          <w:rFonts w:ascii="Verdana" w:hAnsi="Verdana" w:cs="Arial"/>
          <w:snapToGrid w:val="0"/>
          <w:sz w:val="20"/>
          <w:szCs w:val="20"/>
        </w:rPr>
        <w:t>à</w:t>
      </w:r>
      <w:r w:rsidRPr="00FD016C">
        <w:rPr>
          <w:rFonts w:ascii="Verdana" w:hAnsi="Verdana" w:cs="Arial"/>
          <w:snapToGrid w:val="0"/>
          <w:sz w:val="20"/>
          <w:szCs w:val="20"/>
        </w:rPr>
        <w:t xml:space="preserve"> sua fabricação e classificados contabilmente no ativo não circulante, nas contas de estoque de concentrado de urânio e serviço em curso - combustível nuclear, respectivamente. Depois de concluído o processo de fabricação, tem-se o elemento de combustível nuclear pronto, cujo valor é classificado em dois grupos contábeis: no ativo circulante, é registrada a parcela relativa à previsão do consumo para os próximos 12 meses e, no não circulante, a parcela restante. </w:t>
      </w:r>
    </w:p>
    <w:p w14:paraId="20224F43" w14:textId="77777777" w:rsidR="006F3B03" w:rsidRPr="00FD016C" w:rsidRDefault="006F3B03" w:rsidP="005144E2">
      <w:pPr>
        <w:widowControl/>
        <w:jc w:val="both"/>
        <w:rPr>
          <w:rFonts w:ascii="Verdana" w:hAnsi="Verdana" w:cs="Arial"/>
          <w:snapToGrid w:val="0"/>
          <w:sz w:val="20"/>
          <w:szCs w:val="20"/>
        </w:rPr>
      </w:pPr>
    </w:p>
    <w:p w14:paraId="42B57081" w14:textId="77777777" w:rsidR="003F4719" w:rsidRPr="00FD016C" w:rsidRDefault="003F4719" w:rsidP="005144E2">
      <w:pPr>
        <w:jc w:val="both"/>
        <w:rPr>
          <w:rFonts w:ascii="Verdana" w:hAnsi="Verdana" w:cs="Arial"/>
          <w:snapToGrid w:val="0"/>
          <w:sz w:val="20"/>
          <w:szCs w:val="20"/>
        </w:rPr>
      </w:pPr>
      <w:r w:rsidRPr="00FD016C">
        <w:rPr>
          <w:rFonts w:ascii="Verdana" w:hAnsi="Verdana" w:cs="Arial"/>
          <w:snapToGrid w:val="0"/>
          <w:sz w:val="20"/>
          <w:szCs w:val="20"/>
        </w:rPr>
        <w:t>A amortização do combustível nuclear ocorre pela perda do potencial de energia térmica dos elementos, que proporciona a geração de energia elétrica. A amortização não é linear, não havendo geração de energia, não há amortização.</w:t>
      </w:r>
    </w:p>
    <w:p w14:paraId="55BC9902" w14:textId="77777777" w:rsidR="008F0477" w:rsidRPr="00FD016C" w:rsidRDefault="008F0477" w:rsidP="005144E2">
      <w:pPr>
        <w:jc w:val="both"/>
        <w:rPr>
          <w:rFonts w:ascii="Verdana" w:hAnsi="Verdana" w:cs="Arial"/>
          <w:snapToGrid w:val="0"/>
          <w:sz w:val="20"/>
          <w:szCs w:val="20"/>
        </w:rPr>
      </w:pPr>
    </w:p>
    <w:p w14:paraId="6FE4CED5" w14:textId="4B335CBB" w:rsidR="00DB25C8" w:rsidRPr="00FD016C" w:rsidRDefault="00194655" w:rsidP="005144E2">
      <w:pPr>
        <w:jc w:val="both"/>
        <w:rPr>
          <w:rFonts w:ascii="Verdana" w:hAnsi="Verdana" w:cs="Arial"/>
          <w:snapToGrid w:val="0"/>
          <w:sz w:val="20"/>
          <w:szCs w:val="20"/>
        </w:rPr>
      </w:pPr>
      <w:r w:rsidRPr="00FD016C">
        <w:rPr>
          <w:noProof/>
        </w:rPr>
        <w:drawing>
          <wp:inline distT="0" distB="0" distL="0" distR="0" wp14:anchorId="527BD012" wp14:editId="3A6B8E00">
            <wp:extent cx="4267200" cy="2295525"/>
            <wp:effectExtent l="0" t="0" r="0" b="952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0" cy="2295525"/>
                    </a:xfrm>
                    <a:prstGeom prst="rect">
                      <a:avLst/>
                    </a:prstGeom>
                    <a:noFill/>
                    <a:ln>
                      <a:noFill/>
                    </a:ln>
                  </pic:spPr>
                </pic:pic>
              </a:graphicData>
            </a:graphic>
          </wp:inline>
        </w:drawing>
      </w:r>
    </w:p>
    <w:p w14:paraId="1B2EC4F7" w14:textId="77777777" w:rsidR="00D67540" w:rsidRPr="00FD016C" w:rsidRDefault="00D67540" w:rsidP="005144E2">
      <w:pPr>
        <w:jc w:val="both"/>
        <w:rPr>
          <w:rFonts w:ascii="Verdana" w:hAnsi="Verdana" w:cs="Arial"/>
          <w:snapToGrid w:val="0"/>
          <w:sz w:val="20"/>
          <w:szCs w:val="20"/>
        </w:rPr>
      </w:pPr>
    </w:p>
    <w:p w14:paraId="7102156A" w14:textId="4F546FF9" w:rsidR="00DE6150" w:rsidRPr="00FD016C" w:rsidRDefault="00DE6150" w:rsidP="005144E2">
      <w:pPr>
        <w:jc w:val="both"/>
        <w:rPr>
          <w:rFonts w:ascii="Verdana" w:hAnsi="Verdana" w:cs="Arial"/>
          <w:snapToGrid w:val="0"/>
          <w:sz w:val="20"/>
          <w:szCs w:val="20"/>
        </w:rPr>
      </w:pPr>
      <w:r w:rsidRPr="00FD016C">
        <w:rPr>
          <w:rFonts w:ascii="Verdana" w:hAnsi="Verdana" w:cs="Arial"/>
          <w:snapToGrid w:val="0"/>
          <w:sz w:val="20"/>
          <w:szCs w:val="20"/>
        </w:rPr>
        <w:t>A movimentação do estoque de combustível nuclear está apresentada a seguir:</w:t>
      </w:r>
    </w:p>
    <w:p w14:paraId="75588529" w14:textId="6FC3CEE9" w:rsidR="00696810" w:rsidRPr="00FD016C" w:rsidRDefault="00696810" w:rsidP="005144E2">
      <w:pPr>
        <w:jc w:val="both"/>
        <w:rPr>
          <w:rFonts w:ascii="Verdana" w:hAnsi="Verdana" w:cs="Arial"/>
          <w:snapToGrid w:val="0"/>
          <w:sz w:val="20"/>
          <w:szCs w:val="20"/>
        </w:rPr>
      </w:pPr>
    </w:p>
    <w:p w14:paraId="30798E8B" w14:textId="38DE8EDD" w:rsidR="00E949CA" w:rsidRPr="00FD016C" w:rsidRDefault="00194655" w:rsidP="005144E2">
      <w:pPr>
        <w:jc w:val="both"/>
        <w:rPr>
          <w:rFonts w:ascii="Verdana" w:hAnsi="Verdana" w:cs="Arial"/>
          <w:b/>
          <w:snapToGrid w:val="0"/>
          <w:sz w:val="20"/>
          <w:szCs w:val="20"/>
        </w:rPr>
      </w:pPr>
      <w:r w:rsidRPr="00FD016C">
        <w:rPr>
          <w:noProof/>
        </w:rPr>
        <w:drawing>
          <wp:inline distT="0" distB="0" distL="0" distR="0" wp14:anchorId="7A8DBB52" wp14:editId="71620165">
            <wp:extent cx="6073140" cy="1455789"/>
            <wp:effectExtent l="0" t="0" r="381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3140" cy="1455789"/>
                    </a:xfrm>
                    <a:prstGeom prst="rect">
                      <a:avLst/>
                    </a:prstGeom>
                    <a:noFill/>
                    <a:ln>
                      <a:noFill/>
                    </a:ln>
                  </pic:spPr>
                </pic:pic>
              </a:graphicData>
            </a:graphic>
          </wp:inline>
        </w:drawing>
      </w:r>
    </w:p>
    <w:p w14:paraId="164469E2" w14:textId="77777777" w:rsidR="00880F69" w:rsidRPr="00FD016C" w:rsidRDefault="00880F69" w:rsidP="005144E2">
      <w:pPr>
        <w:jc w:val="both"/>
        <w:rPr>
          <w:rFonts w:ascii="Verdana" w:hAnsi="Verdana" w:cs="Arial"/>
          <w:b/>
          <w:snapToGrid w:val="0"/>
          <w:sz w:val="20"/>
          <w:szCs w:val="20"/>
        </w:rPr>
      </w:pPr>
    </w:p>
    <w:p w14:paraId="44DAD60B" w14:textId="521E3E5D" w:rsidR="00880F69" w:rsidRPr="00FD016C" w:rsidRDefault="004B6411" w:rsidP="005144E2">
      <w:pPr>
        <w:jc w:val="both"/>
        <w:rPr>
          <w:rFonts w:ascii="Verdana" w:hAnsi="Verdana" w:cs="Arial"/>
          <w:b/>
          <w:snapToGrid w:val="0"/>
          <w:sz w:val="20"/>
          <w:szCs w:val="20"/>
        </w:rPr>
      </w:pPr>
      <w:r w:rsidRPr="00FD016C">
        <w:rPr>
          <w:noProof/>
        </w:rPr>
        <w:drawing>
          <wp:inline distT="0" distB="0" distL="0" distR="0" wp14:anchorId="6D6E22FB" wp14:editId="36B88CC9">
            <wp:extent cx="6073140" cy="1524602"/>
            <wp:effectExtent l="0" t="0" r="381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3140" cy="1524602"/>
                    </a:xfrm>
                    <a:prstGeom prst="rect">
                      <a:avLst/>
                    </a:prstGeom>
                    <a:noFill/>
                    <a:ln>
                      <a:noFill/>
                    </a:ln>
                  </pic:spPr>
                </pic:pic>
              </a:graphicData>
            </a:graphic>
          </wp:inline>
        </w:drawing>
      </w:r>
    </w:p>
    <w:p w14:paraId="0E3DF714" w14:textId="0B772569" w:rsidR="00EF2941" w:rsidRPr="00FD016C" w:rsidRDefault="00EF2941" w:rsidP="005144E2">
      <w:pPr>
        <w:jc w:val="both"/>
        <w:rPr>
          <w:rFonts w:ascii="Verdana" w:hAnsi="Verdana" w:cs="Arial"/>
          <w:b/>
          <w:snapToGrid w:val="0"/>
          <w:sz w:val="20"/>
          <w:szCs w:val="20"/>
        </w:rPr>
      </w:pPr>
    </w:p>
    <w:p w14:paraId="2DAD6B41" w14:textId="77777777" w:rsidR="00005F7A" w:rsidRPr="00FD016C" w:rsidRDefault="001700FA" w:rsidP="00837D76">
      <w:pPr>
        <w:jc w:val="both"/>
        <w:rPr>
          <w:rFonts w:ascii="Verdana" w:hAnsi="Verdana" w:cs="Arial"/>
          <w:color w:val="000000"/>
          <w:sz w:val="20"/>
          <w:szCs w:val="20"/>
        </w:rPr>
      </w:pPr>
      <w:r w:rsidRPr="00FD016C">
        <w:rPr>
          <w:rFonts w:ascii="Verdana" w:hAnsi="Verdana" w:cs="Arial"/>
          <w:color w:val="000000"/>
          <w:sz w:val="20"/>
          <w:szCs w:val="20"/>
        </w:rPr>
        <w:lastRenderedPageBreak/>
        <w:t>Em 22 de junho de 2020</w:t>
      </w:r>
      <w:r w:rsidR="007D3780" w:rsidRPr="00FD016C">
        <w:rPr>
          <w:rFonts w:ascii="Verdana" w:hAnsi="Verdana" w:cs="Arial"/>
          <w:color w:val="000000"/>
          <w:sz w:val="20"/>
          <w:szCs w:val="20"/>
        </w:rPr>
        <w:t>,</w:t>
      </w:r>
      <w:r w:rsidRPr="00FD016C">
        <w:rPr>
          <w:rFonts w:ascii="Verdana" w:hAnsi="Verdana" w:cs="Arial"/>
          <w:color w:val="000000"/>
          <w:sz w:val="20"/>
          <w:szCs w:val="20"/>
        </w:rPr>
        <w:t xml:space="preserve"> conforme programação, foi iniciada a parada para manutenção e reabastecimento de combustível nuclear na Usina Angra 2, com duração inicial prevista de 22 (vinte e dois) dias. A cada reabastecimento, é substituído cerca de um terço dos elementos combustíveis do reator. Durante as inspeções realizadas nesta parada, foi detectada nos elementos combustíveis carregados no último ciclo de operação, uma oxidação superficial inesperada no revestimento dos tubos que contém as pastilhas de urânio enriquecido, o que requererá rigorosos testes de inspeções para uma avaliação deste evento. </w:t>
      </w:r>
    </w:p>
    <w:p w14:paraId="488E54E8" w14:textId="2BFF0CE3" w:rsidR="00005F7A" w:rsidRPr="00FD016C" w:rsidRDefault="00005F7A" w:rsidP="00837D76">
      <w:pPr>
        <w:jc w:val="both"/>
        <w:rPr>
          <w:rFonts w:ascii="Verdana" w:hAnsi="Verdana" w:cs="Arial"/>
          <w:color w:val="000000"/>
          <w:sz w:val="20"/>
          <w:szCs w:val="20"/>
        </w:rPr>
      </w:pPr>
    </w:p>
    <w:p w14:paraId="74827382" w14:textId="15CA7289" w:rsidR="00837D76" w:rsidRPr="00FD016C" w:rsidRDefault="001700FA" w:rsidP="00837D76">
      <w:pPr>
        <w:jc w:val="both"/>
        <w:rPr>
          <w:rFonts w:ascii="Verdana" w:hAnsi="Verdana" w:cs="Arial"/>
          <w:color w:val="000000"/>
          <w:sz w:val="20"/>
          <w:szCs w:val="20"/>
        </w:rPr>
      </w:pPr>
      <w:r w:rsidRPr="00956D9B">
        <w:rPr>
          <w:rFonts w:ascii="Verdana" w:hAnsi="Verdana" w:cs="Arial"/>
          <w:color w:val="000000"/>
          <w:sz w:val="20"/>
          <w:szCs w:val="20"/>
        </w:rPr>
        <w:t xml:space="preserve">Para viabilizar o retorno da operação da Usina Angra 2 no menor tempo possível e seguindo todos os protocolos de segurança, a ELETRONUCLEAR substituiu todos os 52 (cinquenta e dois) elementos combustíveis. </w:t>
      </w:r>
      <w:r w:rsidR="00956D9B">
        <w:rPr>
          <w:rFonts w:ascii="Verdana" w:hAnsi="Verdana" w:cs="Arial"/>
          <w:color w:val="000000"/>
          <w:sz w:val="20"/>
          <w:szCs w:val="20"/>
        </w:rPr>
        <w:t xml:space="preserve">A previsão de conclusão e elaboração do relatório final </w:t>
      </w:r>
      <w:r w:rsidR="00E221FD">
        <w:rPr>
          <w:rFonts w:ascii="Verdana" w:hAnsi="Verdana" w:cs="Arial"/>
          <w:color w:val="000000"/>
          <w:sz w:val="20"/>
          <w:szCs w:val="20"/>
        </w:rPr>
        <w:t>d</w:t>
      </w:r>
      <w:r w:rsidR="005C72A8">
        <w:rPr>
          <w:rFonts w:ascii="Verdana" w:hAnsi="Verdana" w:cs="Arial"/>
          <w:color w:val="000000"/>
          <w:sz w:val="20"/>
          <w:szCs w:val="20"/>
        </w:rPr>
        <w:t>e</w:t>
      </w:r>
      <w:r w:rsidR="00E221FD">
        <w:rPr>
          <w:rFonts w:ascii="Verdana" w:hAnsi="Verdana" w:cs="Arial"/>
          <w:color w:val="000000"/>
          <w:sz w:val="20"/>
          <w:szCs w:val="20"/>
        </w:rPr>
        <w:t xml:space="preserve"> inspeção desses elementos combustíveis </w:t>
      </w:r>
      <w:r w:rsidR="00956D9B">
        <w:rPr>
          <w:rFonts w:ascii="Verdana" w:hAnsi="Verdana" w:cs="Arial"/>
          <w:color w:val="000000"/>
          <w:sz w:val="20"/>
          <w:szCs w:val="20"/>
        </w:rPr>
        <w:t xml:space="preserve">é </w:t>
      </w:r>
      <w:r w:rsidR="00470634">
        <w:rPr>
          <w:rFonts w:ascii="Verdana" w:hAnsi="Verdana" w:cs="Arial"/>
          <w:color w:val="000000"/>
          <w:sz w:val="20"/>
          <w:szCs w:val="20"/>
        </w:rPr>
        <w:t xml:space="preserve">na </w:t>
      </w:r>
      <w:r w:rsidR="00956D9B">
        <w:rPr>
          <w:rFonts w:ascii="Verdana" w:hAnsi="Verdana" w:cs="Arial"/>
          <w:color w:val="000000"/>
          <w:sz w:val="20"/>
          <w:szCs w:val="20"/>
        </w:rPr>
        <w:t xml:space="preserve">primeira quinzena de novembro 2021. </w:t>
      </w:r>
      <w:r w:rsidRPr="00956D9B">
        <w:rPr>
          <w:rFonts w:ascii="Verdana" w:hAnsi="Verdana" w:cs="Arial"/>
          <w:color w:val="000000"/>
          <w:sz w:val="20"/>
          <w:szCs w:val="20"/>
        </w:rPr>
        <w:t>A substituição destes elementos combustíveis foi feita em parte por 24 (vinte e quatro) elementos combustíveis novos e que já estavam prontos para uso na Usina Angra 3 e 28 (vinte e oito)</w:t>
      </w:r>
      <w:r w:rsidRPr="00FD016C">
        <w:rPr>
          <w:rFonts w:ascii="Verdana" w:hAnsi="Verdana" w:cs="Arial"/>
          <w:color w:val="000000"/>
          <w:sz w:val="20"/>
          <w:szCs w:val="20"/>
        </w:rPr>
        <w:t xml:space="preserve"> elementos combustíveis usados e que estavam armazenados na piscina de combustível usado </w:t>
      </w:r>
      <w:r w:rsidR="007D3780" w:rsidRPr="00FD016C">
        <w:rPr>
          <w:rFonts w:ascii="Verdana" w:hAnsi="Verdana" w:cs="Arial"/>
          <w:color w:val="000000"/>
          <w:sz w:val="20"/>
          <w:szCs w:val="20"/>
        </w:rPr>
        <w:t xml:space="preserve">- </w:t>
      </w:r>
      <w:r w:rsidRPr="00FD016C">
        <w:rPr>
          <w:rFonts w:ascii="Verdana" w:hAnsi="Verdana" w:cs="Arial"/>
          <w:color w:val="000000"/>
          <w:sz w:val="20"/>
          <w:szCs w:val="20"/>
        </w:rPr>
        <w:t xml:space="preserve">PCU de Angra 2. A Usina Angra 2, com 1.350 MW de capacidade instalada, foi reconectada ao Sistema Interligado Nacional </w:t>
      </w:r>
      <w:r w:rsidR="007D3780" w:rsidRPr="00FD016C">
        <w:rPr>
          <w:rFonts w:ascii="Verdana" w:hAnsi="Verdana" w:cs="Arial"/>
          <w:color w:val="000000"/>
          <w:sz w:val="20"/>
          <w:szCs w:val="20"/>
        </w:rPr>
        <w:t xml:space="preserve">- </w:t>
      </w:r>
      <w:r w:rsidRPr="00FD016C">
        <w:rPr>
          <w:rFonts w:ascii="Verdana" w:hAnsi="Verdana" w:cs="Arial"/>
          <w:color w:val="000000"/>
          <w:sz w:val="20"/>
          <w:szCs w:val="20"/>
        </w:rPr>
        <w:t>SIN em 17 de agosto de 2020</w:t>
      </w:r>
      <w:r w:rsidR="00837D76" w:rsidRPr="00FD016C">
        <w:rPr>
          <w:rFonts w:ascii="Verdana" w:hAnsi="Verdana" w:cs="Arial"/>
          <w:color w:val="000000"/>
          <w:sz w:val="20"/>
          <w:szCs w:val="20"/>
        </w:rPr>
        <w:t>.</w:t>
      </w:r>
    </w:p>
    <w:p w14:paraId="4B9640C8" w14:textId="77777777" w:rsidR="00837D76" w:rsidRPr="00FD016C" w:rsidRDefault="00837D76" w:rsidP="00837D76">
      <w:pPr>
        <w:ind w:left="708"/>
        <w:jc w:val="both"/>
        <w:rPr>
          <w:rFonts w:ascii="Verdana" w:hAnsi="Verdana" w:cs="Arial"/>
          <w:color w:val="000000"/>
          <w:sz w:val="20"/>
          <w:szCs w:val="20"/>
        </w:rPr>
      </w:pPr>
    </w:p>
    <w:p w14:paraId="2B0CDB7F" w14:textId="14098174" w:rsidR="00802CD1" w:rsidRPr="00FD016C" w:rsidRDefault="00837D76" w:rsidP="00837D76">
      <w:pPr>
        <w:jc w:val="both"/>
        <w:rPr>
          <w:rFonts w:ascii="Verdana" w:hAnsi="Verdana" w:cs="Arial"/>
          <w:snapToGrid w:val="0"/>
          <w:sz w:val="20"/>
          <w:szCs w:val="20"/>
        </w:rPr>
      </w:pPr>
      <w:r w:rsidRPr="00FD016C">
        <w:rPr>
          <w:rFonts w:ascii="Verdana" w:hAnsi="Verdana" w:cs="Arial"/>
          <w:color w:val="000000"/>
          <w:sz w:val="20"/>
          <w:szCs w:val="20"/>
        </w:rPr>
        <w:t>Essa nova configuração de reabastecimento do núcleo do reator permiti</w:t>
      </w:r>
      <w:r w:rsidR="003113D2" w:rsidRPr="00FD016C">
        <w:rPr>
          <w:rFonts w:ascii="Verdana" w:hAnsi="Verdana" w:cs="Arial"/>
          <w:color w:val="000000"/>
          <w:sz w:val="20"/>
          <w:szCs w:val="20"/>
        </w:rPr>
        <w:t>u</w:t>
      </w:r>
      <w:r w:rsidRPr="00FD016C">
        <w:rPr>
          <w:rFonts w:ascii="Verdana" w:hAnsi="Verdana" w:cs="Arial"/>
          <w:color w:val="000000"/>
          <w:sz w:val="20"/>
          <w:szCs w:val="20"/>
        </w:rPr>
        <w:t xml:space="preserve"> o funcionamento da Usina Angra 2 a uma capacidade de 90% para um ciclo aproximado de 9 (nove) meses, até a parada para manutenção e reabastecimento de combustível nuclear</w:t>
      </w:r>
      <w:r w:rsidR="003113D2" w:rsidRPr="00FD016C">
        <w:rPr>
          <w:rFonts w:ascii="Verdana" w:hAnsi="Verdana" w:cs="Arial"/>
          <w:color w:val="000000"/>
          <w:sz w:val="20"/>
          <w:szCs w:val="20"/>
        </w:rPr>
        <w:t xml:space="preserve"> que foi finalizada em julho de 2021</w:t>
      </w:r>
      <w:r w:rsidR="007D3780" w:rsidRPr="00FD016C">
        <w:rPr>
          <w:rFonts w:ascii="Verdana" w:hAnsi="Verdana" w:cs="Arial"/>
          <w:color w:val="000000"/>
          <w:sz w:val="20"/>
          <w:szCs w:val="20"/>
        </w:rPr>
        <w:t>. Isso</w:t>
      </w:r>
      <w:r w:rsidRPr="00FD016C">
        <w:rPr>
          <w:rFonts w:ascii="Verdana" w:hAnsi="Verdana" w:cs="Arial"/>
          <w:color w:val="000000"/>
          <w:sz w:val="20"/>
          <w:szCs w:val="20"/>
        </w:rPr>
        <w:t xml:space="preserve"> implicou no incremento de custo no estoque referente aos 24 (vinte e quatro) </w:t>
      </w:r>
      <w:r w:rsidR="00960F1B" w:rsidRPr="00FD016C">
        <w:rPr>
          <w:rFonts w:ascii="Verdana" w:hAnsi="Verdana" w:cs="Arial"/>
          <w:color w:val="000000"/>
          <w:sz w:val="20"/>
          <w:szCs w:val="20"/>
        </w:rPr>
        <w:t xml:space="preserve">elementos combustíveis </w:t>
      </w:r>
      <w:r w:rsidRPr="00FD016C">
        <w:rPr>
          <w:rFonts w:ascii="Verdana" w:hAnsi="Verdana" w:cs="Arial"/>
          <w:color w:val="000000"/>
          <w:sz w:val="20"/>
          <w:szCs w:val="20"/>
        </w:rPr>
        <w:t xml:space="preserve">no montante de </w:t>
      </w:r>
      <w:r w:rsidRPr="00FD016C">
        <w:rPr>
          <w:rFonts w:ascii="Verdana" w:hAnsi="Verdana" w:cs="Arial"/>
          <w:snapToGrid w:val="0"/>
          <w:sz w:val="20"/>
          <w:szCs w:val="20"/>
        </w:rPr>
        <w:t xml:space="preserve">R$ 75.448, composto pela transferência de R$ 67.439 de adiantamento de imobilizado, R$ 127 de custo de transporte e provisão de 10% da etapa de fabricação no montante de R$ 7.882 que será desembolsado quando a etapa contratual </w:t>
      </w:r>
      <w:r w:rsidR="00802CD1" w:rsidRPr="00FD016C">
        <w:rPr>
          <w:rFonts w:ascii="Verdana" w:hAnsi="Verdana" w:cs="Arial"/>
          <w:snapToGrid w:val="0"/>
          <w:sz w:val="20"/>
          <w:szCs w:val="20"/>
        </w:rPr>
        <w:t>for cumprida.</w:t>
      </w:r>
    </w:p>
    <w:p w14:paraId="64AFB6F1" w14:textId="77777777" w:rsidR="00135A45" w:rsidRPr="00FD016C" w:rsidRDefault="00135A45" w:rsidP="00837D76">
      <w:pPr>
        <w:jc w:val="both"/>
        <w:rPr>
          <w:rFonts w:ascii="Verdana" w:hAnsi="Verdana" w:cs="Arial"/>
          <w:snapToGrid w:val="0"/>
          <w:sz w:val="20"/>
          <w:szCs w:val="20"/>
        </w:rPr>
      </w:pPr>
    </w:p>
    <w:p w14:paraId="159BBA7A" w14:textId="769951DE" w:rsidR="00A733AD" w:rsidRPr="00FD016C" w:rsidRDefault="001700FA" w:rsidP="001700FA">
      <w:pPr>
        <w:jc w:val="both"/>
        <w:rPr>
          <w:rFonts w:ascii="Verdana" w:hAnsi="Verdana" w:cs="Arial"/>
          <w:iCs/>
          <w:sz w:val="20"/>
          <w:szCs w:val="20"/>
        </w:rPr>
      </w:pPr>
      <w:r w:rsidRPr="00FD016C">
        <w:rPr>
          <w:rFonts w:ascii="Verdana" w:hAnsi="Verdana" w:cs="Arial"/>
          <w:iCs/>
          <w:sz w:val="20"/>
          <w:szCs w:val="20"/>
        </w:rPr>
        <w:t>As medições das camadas de óxido foram concluídas em novembro de 2020 e os respectivos relatórios com os resultados foram entregues pela</w:t>
      </w:r>
      <w:r w:rsidR="00003BBA" w:rsidRPr="00FD016C">
        <w:rPr>
          <w:rFonts w:ascii="Verdana" w:hAnsi="Verdana" w:cs="Arial"/>
          <w:iCs/>
          <w:sz w:val="20"/>
          <w:szCs w:val="20"/>
        </w:rPr>
        <w:t xml:space="preserve"> empresa contratada, </w:t>
      </w:r>
      <w:proofErr w:type="spellStart"/>
      <w:r w:rsidR="00003BBA" w:rsidRPr="00FD016C">
        <w:rPr>
          <w:rFonts w:ascii="Verdana" w:hAnsi="Verdana" w:cs="Arial"/>
          <w:iCs/>
          <w:sz w:val="20"/>
          <w:szCs w:val="20"/>
        </w:rPr>
        <w:t>Framatome</w:t>
      </w:r>
      <w:proofErr w:type="spellEnd"/>
      <w:r w:rsidR="00003BBA" w:rsidRPr="00FD016C">
        <w:rPr>
          <w:rFonts w:ascii="Verdana" w:hAnsi="Verdana" w:cs="Arial"/>
          <w:iCs/>
          <w:sz w:val="20"/>
          <w:szCs w:val="20"/>
        </w:rPr>
        <w:t xml:space="preserve">, </w:t>
      </w:r>
      <w:r w:rsidR="00003BBA" w:rsidRPr="00FD016C">
        <w:rPr>
          <w:rFonts w:ascii="Verdana" w:hAnsi="Verdana" w:cs="Arial"/>
          <w:sz w:val="20"/>
          <w:szCs w:val="20"/>
        </w:rPr>
        <w:t>responsável pelo projeto da usina. O objetivo é determinar as causas da oxidação e verificar a viabilidade da utilização destes elementos combustíveis por mais ciclos operacionais conforme planejado</w:t>
      </w:r>
      <w:r w:rsidR="004C1CE7" w:rsidRPr="00FD016C">
        <w:rPr>
          <w:rFonts w:ascii="Verdana" w:hAnsi="Verdana" w:cs="Arial"/>
          <w:sz w:val="20"/>
          <w:szCs w:val="20"/>
        </w:rPr>
        <w:t>s</w:t>
      </w:r>
      <w:r w:rsidR="0015379A" w:rsidRPr="00FD016C">
        <w:rPr>
          <w:rFonts w:ascii="Verdana" w:hAnsi="Verdana" w:cs="Arial"/>
          <w:sz w:val="20"/>
          <w:szCs w:val="20"/>
        </w:rPr>
        <w:t>.</w:t>
      </w:r>
    </w:p>
    <w:p w14:paraId="2936186E" w14:textId="1ECA2A37" w:rsidR="00A733AD" w:rsidRPr="00FD016C" w:rsidRDefault="00A733AD" w:rsidP="001700FA">
      <w:pPr>
        <w:jc w:val="both"/>
        <w:rPr>
          <w:rFonts w:ascii="Verdana" w:hAnsi="Verdana" w:cs="Arial"/>
          <w:iCs/>
          <w:sz w:val="20"/>
          <w:szCs w:val="20"/>
        </w:rPr>
      </w:pPr>
    </w:p>
    <w:p w14:paraId="07944496" w14:textId="10A9CF21" w:rsidR="0015379A" w:rsidRPr="00FD016C" w:rsidRDefault="0015379A" w:rsidP="0015379A">
      <w:pPr>
        <w:jc w:val="both"/>
        <w:rPr>
          <w:rFonts w:ascii="Verdana" w:hAnsi="Verdana"/>
          <w:sz w:val="20"/>
          <w:szCs w:val="20"/>
        </w:rPr>
      </w:pPr>
      <w:r w:rsidRPr="00FD016C">
        <w:rPr>
          <w:rFonts w:ascii="Verdana" w:hAnsi="Verdana"/>
          <w:sz w:val="20"/>
          <w:szCs w:val="20"/>
        </w:rPr>
        <w:t>Durante a parada de Angra 2 iniciada no dia 6 de junho de 2021, verificou-se que os elementos combustíveis do lote S carregados na última parada da usina, apresentavam oxidações semelhantes ao ocorrido nos elementos combustíveis do lote R. Dos 56 (cinquenta e seis) elementos combustíve</w:t>
      </w:r>
      <w:r w:rsidR="006A7387">
        <w:rPr>
          <w:rFonts w:ascii="Verdana" w:hAnsi="Verdana"/>
          <w:sz w:val="20"/>
          <w:szCs w:val="20"/>
        </w:rPr>
        <w:t>is</w:t>
      </w:r>
      <w:r w:rsidRPr="00FD016C">
        <w:rPr>
          <w:rFonts w:ascii="Verdana" w:hAnsi="Verdana"/>
          <w:sz w:val="20"/>
          <w:szCs w:val="20"/>
        </w:rPr>
        <w:t xml:space="preserve"> do lote S, 40 (quarenta) elementos foram carregados no núcleo após inspeção visual e medição da camada de óxido. Desta forma, 16 (dezesseis) elementos combustíveis do lote S foram armazenados na Piscina de Combustível Usado (PCU), os quais serão avaliados quanto ao retorno ao núcleo do reator de Angra 2.</w:t>
      </w:r>
    </w:p>
    <w:p w14:paraId="5E17ECE8" w14:textId="39EC599B" w:rsidR="0015379A" w:rsidRPr="00FD016C" w:rsidRDefault="0015379A" w:rsidP="0015379A">
      <w:pPr>
        <w:jc w:val="both"/>
        <w:rPr>
          <w:rFonts w:ascii="Verdana" w:hAnsi="Verdana" w:cs="Arial"/>
          <w:color w:val="000000"/>
          <w:sz w:val="20"/>
          <w:szCs w:val="20"/>
        </w:rPr>
      </w:pPr>
    </w:p>
    <w:p w14:paraId="543D69BC" w14:textId="157FBECA" w:rsidR="000C5EE7" w:rsidRPr="00FD016C" w:rsidRDefault="000C5EE7" w:rsidP="000C5EE7">
      <w:pPr>
        <w:jc w:val="both"/>
        <w:rPr>
          <w:rFonts w:ascii="Verdana" w:hAnsi="Verdana"/>
          <w:sz w:val="20"/>
          <w:szCs w:val="20"/>
        </w:rPr>
      </w:pPr>
      <w:r w:rsidRPr="00FD016C">
        <w:rPr>
          <w:rFonts w:ascii="Verdana" w:hAnsi="Verdana"/>
          <w:sz w:val="20"/>
          <w:szCs w:val="20"/>
        </w:rPr>
        <w:t>A ELETRONUCLEAR, dando continuidade ao estudo do mecanismo de oxidação destes elementos combustíveis, decidiu recarregar 4 (quatro) elementos combustíveis menos oxidados dos 52 (cinquenta e dois) do lote R no ciclo 18, iniciado no dia 22 de julho</w:t>
      </w:r>
      <w:r w:rsidR="00FE2553">
        <w:rPr>
          <w:rFonts w:ascii="Verdana" w:hAnsi="Verdana"/>
          <w:sz w:val="20"/>
          <w:szCs w:val="20"/>
        </w:rPr>
        <w:t xml:space="preserve"> </w:t>
      </w:r>
      <w:r w:rsidR="00470634">
        <w:rPr>
          <w:rFonts w:ascii="Verdana" w:hAnsi="Verdana"/>
          <w:sz w:val="20"/>
          <w:szCs w:val="20"/>
        </w:rPr>
        <w:t xml:space="preserve">de </w:t>
      </w:r>
      <w:r w:rsidR="00A66690">
        <w:rPr>
          <w:rFonts w:ascii="Verdana" w:hAnsi="Verdana"/>
          <w:sz w:val="20"/>
          <w:szCs w:val="20"/>
        </w:rPr>
        <w:t>2021</w:t>
      </w:r>
      <w:r w:rsidRPr="00FD016C">
        <w:rPr>
          <w:rFonts w:ascii="Verdana" w:hAnsi="Verdana"/>
          <w:sz w:val="20"/>
          <w:szCs w:val="20"/>
        </w:rPr>
        <w:t>. O nível de oxidação destes elementos combustíveis ao final do deste ciclo operacional determinará quantos e quais elementos combustíveis do lote R poderão ser utilizados por mais dois ciclos operacionais. E os 40 (quarenta) elementos de combustível nuclear do lote S serão avaliados ao final deste ciclo quanto a viabilidade de retorno ao núcleo do reator por mais ciclos operacionais. Reduzindo assim a quantidade de elementos combustíveis falhados.</w:t>
      </w:r>
    </w:p>
    <w:p w14:paraId="12BF7144" w14:textId="3135F49E" w:rsidR="00DB20AD" w:rsidRPr="00FD016C" w:rsidRDefault="00DB20AD" w:rsidP="000C5EE7">
      <w:pPr>
        <w:jc w:val="both"/>
        <w:rPr>
          <w:rFonts w:ascii="Verdana" w:hAnsi="Verdana"/>
          <w:sz w:val="20"/>
          <w:szCs w:val="20"/>
        </w:rPr>
      </w:pPr>
    </w:p>
    <w:p w14:paraId="6E518A39" w14:textId="2445B5D2" w:rsidR="00DB20AD" w:rsidRPr="00FD016C" w:rsidRDefault="00E3240F" w:rsidP="00DB20AD">
      <w:pPr>
        <w:jc w:val="both"/>
        <w:rPr>
          <w:rFonts w:ascii="Verdana" w:hAnsi="Verdana" w:cs="Arial"/>
          <w:snapToGrid w:val="0"/>
          <w:sz w:val="20"/>
          <w:szCs w:val="20"/>
        </w:rPr>
      </w:pPr>
      <w:r w:rsidRPr="00FD016C">
        <w:rPr>
          <w:rFonts w:ascii="Verdana" w:hAnsi="Verdana"/>
          <w:sz w:val="20"/>
          <w:szCs w:val="20"/>
        </w:rPr>
        <w:lastRenderedPageBreak/>
        <w:t xml:space="preserve">No ciclo 18 foram utilizados 41 (quarenta e um) elementos combustíveis de Angra 3, </w:t>
      </w:r>
      <w:r w:rsidR="00DB20AD" w:rsidRPr="00FD016C">
        <w:rPr>
          <w:rFonts w:ascii="Verdana" w:hAnsi="Verdana" w:cs="Arial"/>
          <w:color w:val="000000"/>
          <w:sz w:val="20"/>
          <w:szCs w:val="20"/>
        </w:rPr>
        <w:t>implic</w:t>
      </w:r>
      <w:r w:rsidRPr="00FD016C">
        <w:rPr>
          <w:rFonts w:ascii="Verdana" w:hAnsi="Verdana" w:cs="Arial"/>
          <w:color w:val="000000"/>
          <w:sz w:val="20"/>
          <w:szCs w:val="20"/>
        </w:rPr>
        <w:t>ando</w:t>
      </w:r>
      <w:r w:rsidR="00DB20AD" w:rsidRPr="00FD016C">
        <w:rPr>
          <w:rFonts w:ascii="Verdana" w:hAnsi="Verdana" w:cs="Arial"/>
          <w:color w:val="000000"/>
          <w:sz w:val="20"/>
          <w:szCs w:val="20"/>
        </w:rPr>
        <w:t xml:space="preserve"> no incremento de custo no estoque no montante de </w:t>
      </w:r>
      <w:r w:rsidR="00DB20AD" w:rsidRPr="00FD016C">
        <w:rPr>
          <w:rFonts w:ascii="Verdana" w:hAnsi="Verdana" w:cs="Arial"/>
          <w:snapToGrid w:val="0"/>
          <w:sz w:val="20"/>
          <w:szCs w:val="20"/>
        </w:rPr>
        <w:t xml:space="preserve">R$ </w:t>
      </w:r>
      <w:r w:rsidRPr="00FD016C">
        <w:rPr>
          <w:rFonts w:ascii="Verdana" w:hAnsi="Verdana" w:cs="Arial"/>
          <w:snapToGrid w:val="0"/>
          <w:sz w:val="20"/>
          <w:szCs w:val="20"/>
        </w:rPr>
        <w:t>128.890</w:t>
      </w:r>
      <w:r w:rsidR="00DB20AD" w:rsidRPr="00FD016C">
        <w:rPr>
          <w:rFonts w:ascii="Verdana" w:hAnsi="Verdana" w:cs="Arial"/>
          <w:snapToGrid w:val="0"/>
          <w:sz w:val="20"/>
          <w:szCs w:val="20"/>
        </w:rPr>
        <w:t xml:space="preserve">, composto pela transferência de R$ </w:t>
      </w:r>
      <w:r w:rsidRPr="00FD016C">
        <w:rPr>
          <w:rFonts w:ascii="Verdana" w:hAnsi="Verdana" w:cs="Arial"/>
          <w:snapToGrid w:val="0"/>
          <w:sz w:val="20"/>
          <w:szCs w:val="20"/>
        </w:rPr>
        <w:t>118.744</w:t>
      </w:r>
      <w:r w:rsidR="00DB20AD" w:rsidRPr="00FD016C">
        <w:rPr>
          <w:rFonts w:ascii="Verdana" w:hAnsi="Verdana" w:cs="Arial"/>
          <w:snapToGrid w:val="0"/>
          <w:sz w:val="20"/>
          <w:szCs w:val="20"/>
        </w:rPr>
        <w:t xml:space="preserve"> de imobilizado e provisão de 10% da etapa de fabricação no montante de R$ </w:t>
      </w:r>
      <w:r w:rsidRPr="00FD016C">
        <w:rPr>
          <w:rFonts w:ascii="Verdana" w:hAnsi="Verdana" w:cs="Arial"/>
          <w:snapToGrid w:val="0"/>
          <w:sz w:val="20"/>
          <w:szCs w:val="20"/>
        </w:rPr>
        <w:t>10.146</w:t>
      </w:r>
      <w:r w:rsidR="00DB20AD" w:rsidRPr="00FD016C">
        <w:rPr>
          <w:rFonts w:ascii="Verdana" w:hAnsi="Verdana" w:cs="Arial"/>
          <w:snapToGrid w:val="0"/>
          <w:sz w:val="20"/>
          <w:szCs w:val="20"/>
        </w:rPr>
        <w:t xml:space="preserve"> que será desembolsado quando a etapa contratual for cumprida.</w:t>
      </w:r>
    </w:p>
    <w:p w14:paraId="3B365BA9" w14:textId="77777777" w:rsidR="000C5EE7" w:rsidRPr="00FD016C" w:rsidRDefault="000C5EE7" w:rsidP="0015379A">
      <w:pPr>
        <w:jc w:val="both"/>
        <w:rPr>
          <w:rFonts w:ascii="Verdana" w:hAnsi="Verdana" w:cs="Arial"/>
          <w:color w:val="000000"/>
          <w:sz w:val="20"/>
          <w:szCs w:val="20"/>
        </w:rPr>
      </w:pPr>
    </w:p>
    <w:p w14:paraId="56E865E2" w14:textId="46CDB591" w:rsidR="0015379A" w:rsidRPr="00FD016C" w:rsidRDefault="0015379A" w:rsidP="0015379A">
      <w:pPr>
        <w:jc w:val="both"/>
        <w:rPr>
          <w:rFonts w:ascii="Verdana" w:hAnsi="Verdana"/>
          <w:color w:val="000000"/>
          <w:sz w:val="20"/>
          <w:szCs w:val="20"/>
        </w:rPr>
      </w:pPr>
      <w:r w:rsidRPr="00FD016C">
        <w:rPr>
          <w:rFonts w:ascii="Verdana" w:hAnsi="Verdana"/>
          <w:color w:val="000000"/>
          <w:sz w:val="20"/>
          <w:szCs w:val="20"/>
        </w:rPr>
        <w:t>Vale destacar que esses eventos, em nenhum momento, comprometeram a segurança e o desempenho da Usina Angra 2</w:t>
      </w:r>
      <w:r w:rsidR="00470634">
        <w:rPr>
          <w:rFonts w:ascii="Verdana" w:hAnsi="Verdana" w:cs="Arial"/>
          <w:color w:val="000000"/>
          <w:sz w:val="20"/>
          <w:szCs w:val="20"/>
        </w:rPr>
        <w:t>,</w:t>
      </w:r>
      <w:r w:rsidRPr="00FD016C">
        <w:rPr>
          <w:rFonts w:ascii="Verdana" w:hAnsi="Verdana"/>
          <w:color w:val="000000"/>
          <w:sz w:val="20"/>
          <w:szCs w:val="20"/>
        </w:rPr>
        <w:t xml:space="preserve"> </w:t>
      </w:r>
      <w:r w:rsidR="00470634">
        <w:rPr>
          <w:rFonts w:ascii="Verdana" w:hAnsi="Verdana"/>
          <w:color w:val="000000"/>
          <w:sz w:val="20"/>
          <w:szCs w:val="20"/>
        </w:rPr>
        <w:t xml:space="preserve">que </w:t>
      </w:r>
      <w:r w:rsidRPr="00FD016C">
        <w:rPr>
          <w:rFonts w:ascii="Verdana" w:hAnsi="Verdana"/>
          <w:color w:val="000000"/>
          <w:sz w:val="20"/>
          <w:szCs w:val="20"/>
        </w:rPr>
        <w:t xml:space="preserve">está em operação normal à 100% da potência nominal. </w:t>
      </w:r>
    </w:p>
    <w:p w14:paraId="692B58F6" w14:textId="77777777" w:rsidR="001700FA" w:rsidRPr="00FD016C" w:rsidRDefault="001700FA" w:rsidP="001700FA">
      <w:pPr>
        <w:jc w:val="both"/>
        <w:rPr>
          <w:rFonts w:ascii="Verdana" w:hAnsi="Verdana" w:cs="Arial"/>
          <w:iCs/>
          <w:sz w:val="20"/>
          <w:szCs w:val="20"/>
        </w:rPr>
      </w:pPr>
    </w:p>
    <w:p w14:paraId="3F00BE6B" w14:textId="5D636435" w:rsidR="001700FA" w:rsidRPr="00FD016C" w:rsidRDefault="001700FA" w:rsidP="001700FA">
      <w:pPr>
        <w:jc w:val="both"/>
        <w:rPr>
          <w:rFonts w:ascii="Verdana" w:hAnsi="Verdana" w:cs="Arial"/>
          <w:sz w:val="20"/>
          <w:szCs w:val="20"/>
        </w:rPr>
      </w:pPr>
      <w:r w:rsidRPr="00F67A7F">
        <w:rPr>
          <w:rFonts w:ascii="Verdana" w:hAnsi="Verdana" w:cs="Arial"/>
          <w:iCs/>
          <w:sz w:val="20"/>
          <w:szCs w:val="20"/>
        </w:rPr>
        <w:t xml:space="preserve">Após </w:t>
      </w:r>
      <w:r w:rsidR="00FF70DD" w:rsidRPr="00F67A7F">
        <w:rPr>
          <w:rFonts w:ascii="Verdana" w:hAnsi="Verdana" w:cs="Arial"/>
          <w:iCs/>
          <w:sz w:val="20"/>
          <w:szCs w:val="20"/>
        </w:rPr>
        <w:t xml:space="preserve">análise </w:t>
      </w:r>
      <w:r w:rsidR="000F5D3A" w:rsidRPr="00F67A7F">
        <w:rPr>
          <w:rFonts w:ascii="Verdana" w:hAnsi="Verdana" w:cs="Arial"/>
          <w:iCs/>
          <w:sz w:val="20"/>
          <w:szCs w:val="20"/>
        </w:rPr>
        <w:t>da</w:t>
      </w:r>
      <w:r w:rsidR="004C1CE7" w:rsidRPr="00F67A7F">
        <w:rPr>
          <w:rFonts w:ascii="Verdana" w:hAnsi="Verdana" w:cs="Arial"/>
          <w:iCs/>
          <w:sz w:val="20"/>
          <w:szCs w:val="20"/>
        </w:rPr>
        <w:t>s</w:t>
      </w:r>
      <w:r w:rsidR="000F5D3A" w:rsidRPr="00F67A7F">
        <w:rPr>
          <w:rFonts w:ascii="Verdana" w:hAnsi="Verdana" w:cs="Arial"/>
          <w:iCs/>
          <w:sz w:val="20"/>
          <w:szCs w:val="20"/>
        </w:rPr>
        <w:t xml:space="preserve"> coletas e </w:t>
      </w:r>
      <w:r w:rsidRPr="00F67A7F">
        <w:rPr>
          <w:rFonts w:ascii="Verdana" w:hAnsi="Verdana" w:cs="Arial"/>
          <w:iCs/>
          <w:sz w:val="20"/>
          <w:szCs w:val="20"/>
        </w:rPr>
        <w:t xml:space="preserve">dos resultados das medições, a </w:t>
      </w:r>
      <w:proofErr w:type="spellStart"/>
      <w:r w:rsidRPr="00F67A7F">
        <w:rPr>
          <w:rFonts w:ascii="Verdana" w:hAnsi="Verdana" w:cs="Arial"/>
          <w:iCs/>
          <w:sz w:val="20"/>
          <w:szCs w:val="20"/>
        </w:rPr>
        <w:t>Framatome</w:t>
      </w:r>
      <w:proofErr w:type="spellEnd"/>
      <w:r w:rsidRPr="00F67A7F">
        <w:rPr>
          <w:rFonts w:ascii="Verdana" w:hAnsi="Verdana" w:cs="Arial"/>
          <w:iCs/>
          <w:sz w:val="20"/>
          <w:szCs w:val="20"/>
        </w:rPr>
        <w:t xml:space="preserve"> </w:t>
      </w:r>
      <w:r w:rsidR="00F67A7F" w:rsidRPr="00EE5A20">
        <w:rPr>
          <w:rFonts w:ascii="Verdana" w:hAnsi="Verdana" w:cs="Arial"/>
          <w:iCs/>
          <w:sz w:val="20"/>
          <w:szCs w:val="20"/>
        </w:rPr>
        <w:t xml:space="preserve">enviou a versão preliminar do </w:t>
      </w:r>
      <w:r w:rsidRPr="00F67A7F">
        <w:rPr>
          <w:rFonts w:ascii="Verdana" w:hAnsi="Verdana" w:cs="Arial"/>
          <w:iCs/>
          <w:sz w:val="20"/>
          <w:szCs w:val="20"/>
        </w:rPr>
        <w:t>relatório da causa ra</w:t>
      </w:r>
      <w:r w:rsidR="007D3780" w:rsidRPr="00F67A7F">
        <w:rPr>
          <w:rFonts w:ascii="Verdana" w:hAnsi="Verdana" w:cs="Arial"/>
          <w:iCs/>
          <w:sz w:val="20"/>
          <w:szCs w:val="20"/>
        </w:rPr>
        <w:t>i</w:t>
      </w:r>
      <w:r w:rsidRPr="00F67A7F">
        <w:rPr>
          <w:rFonts w:ascii="Verdana" w:hAnsi="Verdana" w:cs="Arial"/>
          <w:iCs/>
          <w:sz w:val="20"/>
          <w:szCs w:val="20"/>
        </w:rPr>
        <w:t>z do evento</w:t>
      </w:r>
      <w:r w:rsidR="00F67A7F" w:rsidRPr="00470634">
        <w:rPr>
          <w:rFonts w:ascii="Verdana" w:hAnsi="Verdana" w:cs="Arial"/>
          <w:iCs/>
          <w:sz w:val="20"/>
          <w:szCs w:val="20"/>
        </w:rPr>
        <w:t xml:space="preserve"> para comentário</w:t>
      </w:r>
      <w:r w:rsidR="00F67A7F">
        <w:rPr>
          <w:rFonts w:ascii="Verdana" w:hAnsi="Verdana" w:cs="Arial"/>
          <w:iCs/>
          <w:sz w:val="20"/>
          <w:szCs w:val="20"/>
        </w:rPr>
        <w:t>s</w:t>
      </w:r>
      <w:r w:rsidR="00F67A7F" w:rsidRPr="00470634">
        <w:rPr>
          <w:rFonts w:ascii="Verdana" w:hAnsi="Verdana" w:cs="Arial"/>
          <w:iCs/>
          <w:sz w:val="20"/>
          <w:szCs w:val="20"/>
        </w:rPr>
        <w:t xml:space="preserve"> e emitirá a versão final na primeira quinzena de novembro de 2021. A </w:t>
      </w:r>
      <w:r w:rsidR="00EB4E16">
        <w:rPr>
          <w:rFonts w:ascii="Verdana" w:hAnsi="Verdana" w:cs="Arial"/>
          <w:iCs/>
          <w:sz w:val="20"/>
          <w:szCs w:val="20"/>
        </w:rPr>
        <w:t>ELETRONUCLEAR</w:t>
      </w:r>
      <w:r w:rsidR="00F67A7F" w:rsidRPr="00470634">
        <w:rPr>
          <w:rFonts w:ascii="Verdana" w:hAnsi="Verdana" w:cs="Arial"/>
          <w:iCs/>
          <w:sz w:val="20"/>
          <w:szCs w:val="20"/>
        </w:rPr>
        <w:t xml:space="preserve"> deverá encaminhar o relatório de causa raiz a</w:t>
      </w:r>
      <w:r w:rsidRPr="00F67A7F">
        <w:rPr>
          <w:rFonts w:ascii="Verdana" w:hAnsi="Verdana" w:cs="Arial"/>
          <w:sz w:val="20"/>
          <w:szCs w:val="20"/>
        </w:rPr>
        <w:t>o órgão licenciador, a Comissão Nacional de Energia Nuclear CNEN</w:t>
      </w:r>
      <w:r w:rsidR="00F67A7F">
        <w:rPr>
          <w:rFonts w:ascii="Verdana" w:hAnsi="Verdana" w:cs="Arial"/>
          <w:sz w:val="20"/>
          <w:szCs w:val="20"/>
        </w:rPr>
        <w:t xml:space="preserve">, </w:t>
      </w:r>
      <w:r w:rsidR="00F67A7F" w:rsidRPr="00C8121B">
        <w:rPr>
          <w:rFonts w:ascii="Verdana" w:hAnsi="Verdana" w:cs="Arial"/>
          <w:sz w:val="20"/>
          <w:szCs w:val="20"/>
        </w:rPr>
        <w:t>ainda em 2021</w:t>
      </w:r>
      <w:r w:rsidRPr="00F67A7F">
        <w:rPr>
          <w:rFonts w:ascii="Verdana" w:hAnsi="Verdana" w:cs="Arial"/>
          <w:sz w:val="20"/>
          <w:szCs w:val="20"/>
        </w:rPr>
        <w:t>.</w:t>
      </w:r>
      <w:r w:rsidRPr="00FD016C">
        <w:rPr>
          <w:rFonts w:ascii="Verdana" w:hAnsi="Verdana" w:cs="Arial"/>
          <w:sz w:val="20"/>
          <w:szCs w:val="20"/>
        </w:rPr>
        <w:t xml:space="preserve"> </w:t>
      </w:r>
    </w:p>
    <w:p w14:paraId="457B4128" w14:textId="5CC1169B" w:rsidR="00F67A7F" w:rsidRDefault="00F67A7F" w:rsidP="001700FA">
      <w:pPr>
        <w:ind w:left="708"/>
        <w:jc w:val="both"/>
        <w:rPr>
          <w:rFonts w:ascii="Verdana" w:hAnsi="Verdana" w:cs="Arial"/>
          <w:snapToGrid w:val="0"/>
          <w:sz w:val="20"/>
          <w:szCs w:val="20"/>
        </w:rPr>
      </w:pPr>
    </w:p>
    <w:p w14:paraId="0219364C" w14:textId="14B0F525" w:rsidR="001700FA" w:rsidRDefault="001700FA" w:rsidP="001700FA">
      <w:pPr>
        <w:jc w:val="both"/>
        <w:rPr>
          <w:rFonts w:ascii="Verdana" w:hAnsi="Verdana" w:cs="Arial"/>
          <w:iCs/>
          <w:sz w:val="20"/>
          <w:szCs w:val="20"/>
        </w:rPr>
      </w:pPr>
      <w:r w:rsidRPr="00FD016C">
        <w:rPr>
          <w:rFonts w:ascii="Verdana" w:hAnsi="Verdana" w:cs="Arial"/>
          <w:iCs/>
          <w:sz w:val="20"/>
          <w:szCs w:val="20"/>
        </w:rPr>
        <w:t>As demonstrações financeiras reportadas na data base de 3</w:t>
      </w:r>
      <w:r w:rsidR="00642174" w:rsidRPr="00FD016C">
        <w:rPr>
          <w:rFonts w:ascii="Verdana" w:hAnsi="Verdana" w:cs="Arial"/>
          <w:iCs/>
          <w:sz w:val="20"/>
          <w:szCs w:val="20"/>
        </w:rPr>
        <w:t>0</w:t>
      </w:r>
      <w:r w:rsidRPr="00FD016C">
        <w:rPr>
          <w:rFonts w:ascii="Verdana" w:hAnsi="Verdana" w:cs="Arial"/>
          <w:iCs/>
          <w:sz w:val="20"/>
          <w:szCs w:val="20"/>
        </w:rPr>
        <w:t xml:space="preserve"> de </w:t>
      </w:r>
      <w:r w:rsidR="00C20AC8" w:rsidRPr="00FD016C">
        <w:rPr>
          <w:rFonts w:ascii="Verdana" w:hAnsi="Verdana" w:cs="Arial"/>
          <w:iCs/>
          <w:sz w:val="20"/>
          <w:szCs w:val="20"/>
        </w:rPr>
        <w:t>setembro</w:t>
      </w:r>
      <w:r w:rsidRPr="00FD016C">
        <w:rPr>
          <w:rFonts w:ascii="Verdana" w:hAnsi="Verdana" w:cs="Arial"/>
          <w:iCs/>
          <w:sz w:val="20"/>
          <w:szCs w:val="20"/>
        </w:rPr>
        <w:t xml:space="preserve"> de 202</w:t>
      </w:r>
      <w:r w:rsidR="004F095B" w:rsidRPr="00FD016C">
        <w:rPr>
          <w:rFonts w:ascii="Verdana" w:hAnsi="Verdana" w:cs="Arial"/>
          <w:iCs/>
          <w:sz w:val="20"/>
          <w:szCs w:val="20"/>
        </w:rPr>
        <w:t>1</w:t>
      </w:r>
      <w:r w:rsidRPr="00FD016C">
        <w:rPr>
          <w:rFonts w:ascii="Verdana" w:hAnsi="Verdana" w:cs="Arial"/>
          <w:iCs/>
          <w:sz w:val="20"/>
          <w:szCs w:val="20"/>
        </w:rPr>
        <w:t xml:space="preserve"> não contêm os efeitos da avaliação de viabilidade da utilização integral dos </w:t>
      </w:r>
      <w:r w:rsidR="000C5EE7" w:rsidRPr="00FD016C">
        <w:rPr>
          <w:rFonts w:ascii="Verdana" w:hAnsi="Verdana" w:cs="Arial"/>
          <w:iCs/>
          <w:sz w:val="20"/>
          <w:szCs w:val="20"/>
        </w:rPr>
        <w:t>68</w:t>
      </w:r>
      <w:r w:rsidRPr="00FD016C">
        <w:rPr>
          <w:rFonts w:ascii="Verdana" w:hAnsi="Verdana" w:cs="Arial"/>
          <w:iCs/>
          <w:sz w:val="20"/>
          <w:szCs w:val="20"/>
        </w:rPr>
        <w:t xml:space="preserve"> (</w:t>
      </w:r>
      <w:r w:rsidR="000C5EE7" w:rsidRPr="00FD016C">
        <w:rPr>
          <w:rFonts w:ascii="Verdana" w:hAnsi="Verdana" w:cs="Arial"/>
          <w:iCs/>
          <w:sz w:val="20"/>
          <w:szCs w:val="20"/>
        </w:rPr>
        <w:t>sessenta e oito</w:t>
      </w:r>
      <w:r w:rsidRPr="00FD016C">
        <w:rPr>
          <w:rFonts w:ascii="Verdana" w:hAnsi="Verdana" w:cs="Arial"/>
          <w:iCs/>
          <w:sz w:val="20"/>
          <w:szCs w:val="20"/>
        </w:rPr>
        <w:t>) elementos combustíveis a serem ainda inspecionados.</w:t>
      </w:r>
    </w:p>
    <w:p w14:paraId="63B95B6A" w14:textId="77777777" w:rsidR="00894920" w:rsidRPr="00FD016C" w:rsidRDefault="00894920" w:rsidP="001700FA">
      <w:pPr>
        <w:jc w:val="both"/>
        <w:rPr>
          <w:rFonts w:ascii="Verdana" w:hAnsi="Verdana" w:cs="Arial"/>
          <w:iCs/>
          <w:sz w:val="20"/>
          <w:szCs w:val="20"/>
        </w:rPr>
      </w:pPr>
    </w:p>
    <w:p w14:paraId="215FB98E" w14:textId="77777777" w:rsidR="00AB7994" w:rsidRDefault="00AB7994" w:rsidP="001700FA">
      <w:pPr>
        <w:jc w:val="both"/>
        <w:rPr>
          <w:rFonts w:ascii="Verdana" w:hAnsi="Verdana" w:cs="Arial"/>
          <w:iCs/>
          <w:sz w:val="20"/>
          <w:szCs w:val="20"/>
        </w:rPr>
      </w:pPr>
    </w:p>
    <w:p w14:paraId="35DFC5C0" w14:textId="77777777" w:rsidR="002D5D62" w:rsidRPr="00FD016C" w:rsidRDefault="002D5D62" w:rsidP="001700FA">
      <w:pPr>
        <w:jc w:val="both"/>
        <w:rPr>
          <w:rFonts w:ascii="Verdana" w:hAnsi="Verdana" w:cs="Arial"/>
          <w:iCs/>
          <w:sz w:val="20"/>
          <w:szCs w:val="20"/>
        </w:rPr>
      </w:pPr>
    </w:p>
    <w:p w14:paraId="3FB73288" w14:textId="77777777" w:rsidR="003F4719" w:rsidRPr="00FD016C" w:rsidRDefault="003F4719" w:rsidP="00CE167E">
      <w:pPr>
        <w:keepNext/>
        <w:widowControl/>
        <w:jc w:val="both"/>
        <w:outlineLvl w:val="3"/>
        <w:rPr>
          <w:rFonts w:ascii="Verdana" w:hAnsi="Verdana" w:cs="Arial"/>
          <w:b/>
          <w:snapToGrid w:val="0"/>
          <w:color w:val="0070C0"/>
          <w:sz w:val="26"/>
          <w:szCs w:val="26"/>
        </w:rPr>
      </w:pPr>
      <w:r w:rsidRPr="00FD016C">
        <w:rPr>
          <w:rFonts w:ascii="Verdana" w:hAnsi="Verdana" w:cs="Arial"/>
          <w:b/>
          <w:snapToGrid w:val="0"/>
          <w:color w:val="0070C0"/>
          <w:sz w:val="26"/>
          <w:szCs w:val="26"/>
        </w:rPr>
        <w:t>NOTA 9</w:t>
      </w:r>
      <w:r w:rsidR="00CE167E" w:rsidRPr="00FD016C">
        <w:rPr>
          <w:rFonts w:ascii="Verdana" w:hAnsi="Verdana" w:cs="Arial"/>
          <w:b/>
          <w:snapToGrid w:val="0"/>
          <w:color w:val="0070C0"/>
          <w:sz w:val="26"/>
          <w:szCs w:val="26"/>
        </w:rPr>
        <w:t xml:space="preserve"> </w:t>
      </w:r>
      <w:r w:rsidRPr="00FD016C">
        <w:rPr>
          <w:rFonts w:ascii="Verdana" w:hAnsi="Verdana" w:cs="Arial"/>
          <w:b/>
          <w:snapToGrid w:val="0"/>
          <w:color w:val="0070C0"/>
          <w:sz w:val="26"/>
          <w:szCs w:val="26"/>
        </w:rPr>
        <w:t>– ALMOXARIFADO</w:t>
      </w:r>
    </w:p>
    <w:p w14:paraId="721A5A27" w14:textId="77777777" w:rsidR="00D33680" w:rsidRPr="00FD016C" w:rsidRDefault="00D33680" w:rsidP="005144E2">
      <w:pPr>
        <w:jc w:val="both"/>
        <w:rPr>
          <w:rFonts w:ascii="Verdana" w:hAnsi="Verdana" w:cs="Arial"/>
          <w:sz w:val="20"/>
          <w:szCs w:val="20"/>
        </w:rPr>
      </w:pPr>
    </w:p>
    <w:p w14:paraId="780186B2" w14:textId="77777777" w:rsidR="00811F73" w:rsidRPr="00FD016C" w:rsidRDefault="00811F73" w:rsidP="005144E2">
      <w:pPr>
        <w:jc w:val="both"/>
        <w:rPr>
          <w:rFonts w:ascii="Verdana" w:hAnsi="Verdana" w:cs="Arial"/>
          <w:sz w:val="20"/>
          <w:szCs w:val="20"/>
        </w:rPr>
      </w:pPr>
    </w:p>
    <w:p w14:paraId="09E7657C" w14:textId="77777777" w:rsidR="003F606C" w:rsidRPr="00FD016C" w:rsidRDefault="003F606C" w:rsidP="003F606C">
      <w:pPr>
        <w:jc w:val="both"/>
        <w:rPr>
          <w:rFonts w:ascii="Verdana" w:hAnsi="Verdana" w:cs="Arial"/>
          <w:sz w:val="20"/>
          <w:szCs w:val="20"/>
        </w:rPr>
      </w:pPr>
      <w:r w:rsidRPr="00FD016C">
        <w:rPr>
          <w:rFonts w:ascii="Verdana" w:hAnsi="Verdana" w:cs="Arial"/>
          <w:sz w:val="20"/>
          <w:szCs w:val="20"/>
        </w:rPr>
        <w:t>Em 30 de setembro de 2021, o saldo do almoxarifado é composto por materiais utilizados para consumo das Usinas, no montante de R$ 241.481 (R$ 165.067 em 31 de dezembro de 2020) no curto prazo, assim como, os adiantamentos efetuados a fornecedores para a aquisição dos correspondentes materiais, no montante de R$ 18.248 (R$ 18.239 em 31 de dezembro de 2020), totalizando R$ 259.729 (R$ 183.306 em 31 de dezembro de 2020).</w:t>
      </w:r>
    </w:p>
    <w:p w14:paraId="61733F87" w14:textId="77777777" w:rsidR="00F33E39" w:rsidRPr="00FD016C" w:rsidRDefault="00F33E39" w:rsidP="00F33E39">
      <w:pPr>
        <w:jc w:val="both"/>
        <w:rPr>
          <w:rFonts w:ascii="Verdana" w:hAnsi="Verdana" w:cs="Arial"/>
          <w:sz w:val="20"/>
          <w:szCs w:val="20"/>
        </w:rPr>
      </w:pPr>
    </w:p>
    <w:p w14:paraId="13954B6F" w14:textId="77777777" w:rsidR="009A1B64" w:rsidRPr="00FD016C" w:rsidRDefault="009A1B64" w:rsidP="00F33E39">
      <w:pPr>
        <w:jc w:val="both"/>
        <w:rPr>
          <w:rFonts w:ascii="Verdana" w:hAnsi="Verdana" w:cs="Arial"/>
          <w:sz w:val="20"/>
          <w:szCs w:val="20"/>
        </w:rPr>
      </w:pPr>
    </w:p>
    <w:p w14:paraId="69ACD366" w14:textId="77777777" w:rsidR="00D67540" w:rsidRPr="00FD016C" w:rsidRDefault="00D67540" w:rsidP="00F33E39">
      <w:pPr>
        <w:jc w:val="both"/>
        <w:rPr>
          <w:rFonts w:ascii="Verdana" w:hAnsi="Verdana" w:cs="Arial"/>
          <w:sz w:val="20"/>
          <w:szCs w:val="20"/>
        </w:rPr>
      </w:pPr>
    </w:p>
    <w:p w14:paraId="673A6D5E" w14:textId="77777777"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t>NOTA 10 – OUTROS ATIVOS</w:t>
      </w:r>
    </w:p>
    <w:p w14:paraId="4782A157" w14:textId="77777777" w:rsidR="006B6D6C" w:rsidRPr="00FD016C" w:rsidRDefault="006B6D6C" w:rsidP="005144E2">
      <w:pPr>
        <w:widowControl/>
        <w:jc w:val="both"/>
        <w:rPr>
          <w:rFonts w:ascii="Verdana" w:hAnsi="Verdana" w:cs="Arial"/>
          <w:b/>
          <w:sz w:val="20"/>
          <w:szCs w:val="20"/>
        </w:rPr>
      </w:pPr>
    </w:p>
    <w:p w14:paraId="6BAA99FA" w14:textId="77777777" w:rsidR="00697D4B" w:rsidRPr="00FD016C" w:rsidRDefault="00697D4B" w:rsidP="005144E2">
      <w:pPr>
        <w:widowControl/>
        <w:jc w:val="both"/>
        <w:rPr>
          <w:rFonts w:ascii="Verdana" w:hAnsi="Verdana" w:cs="Arial"/>
          <w:b/>
          <w:sz w:val="20"/>
          <w:szCs w:val="20"/>
        </w:rPr>
      </w:pPr>
    </w:p>
    <w:p w14:paraId="0D8C00A9" w14:textId="030969BF" w:rsidR="00897B3C" w:rsidRPr="00FD016C" w:rsidRDefault="008B3431" w:rsidP="005144E2">
      <w:pPr>
        <w:widowControl/>
        <w:jc w:val="both"/>
        <w:rPr>
          <w:rFonts w:ascii="Verdana" w:hAnsi="Verdana" w:cs="Arial"/>
          <w:b/>
          <w:sz w:val="20"/>
          <w:szCs w:val="20"/>
        </w:rPr>
      </w:pPr>
      <w:r w:rsidRPr="00FD016C">
        <w:rPr>
          <w:noProof/>
        </w:rPr>
        <w:drawing>
          <wp:inline distT="0" distB="0" distL="0" distR="0" wp14:anchorId="350328D5" wp14:editId="1D48DA13">
            <wp:extent cx="6073140" cy="1734155"/>
            <wp:effectExtent l="0" t="0" r="3810" b="0"/>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3140" cy="1734155"/>
                    </a:xfrm>
                    <a:prstGeom prst="rect">
                      <a:avLst/>
                    </a:prstGeom>
                    <a:noFill/>
                    <a:ln>
                      <a:noFill/>
                    </a:ln>
                  </pic:spPr>
                </pic:pic>
              </a:graphicData>
            </a:graphic>
          </wp:inline>
        </w:drawing>
      </w:r>
    </w:p>
    <w:p w14:paraId="391CF155" w14:textId="78BBB237" w:rsidR="00C976C1" w:rsidRPr="00FD016C" w:rsidRDefault="00C976C1" w:rsidP="006C7180">
      <w:pPr>
        <w:pStyle w:val="PargrafodaLista"/>
        <w:widowControl/>
        <w:numPr>
          <w:ilvl w:val="0"/>
          <w:numId w:val="43"/>
        </w:numPr>
        <w:ind w:left="357" w:hanging="357"/>
        <w:jc w:val="both"/>
        <w:rPr>
          <w:rFonts w:ascii="Verdana" w:hAnsi="Verdana" w:cs="Arial"/>
          <w:b/>
          <w:sz w:val="20"/>
          <w:szCs w:val="20"/>
        </w:rPr>
      </w:pPr>
      <w:r w:rsidRPr="00FD016C">
        <w:rPr>
          <w:rFonts w:ascii="Verdana" w:hAnsi="Verdana" w:cs="Arial"/>
          <w:sz w:val="20"/>
          <w:szCs w:val="20"/>
        </w:rPr>
        <w:t xml:space="preserve">Saldo composto por R$ </w:t>
      </w:r>
      <w:r w:rsidR="008F6379" w:rsidRPr="00FD016C">
        <w:rPr>
          <w:rFonts w:ascii="Verdana" w:hAnsi="Verdana" w:cs="Arial"/>
          <w:sz w:val="20"/>
          <w:szCs w:val="20"/>
        </w:rPr>
        <w:t>4.242</w:t>
      </w:r>
      <w:r w:rsidRPr="00FD016C">
        <w:rPr>
          <w:rFonts w:ascii="Verdana" w:hAnsi="Verdana" w:cs="Arial"/>
          <w:sz w:val="20"/>
          <w:szCs w:val="20"/>
        </w:rPr>
        <w:t xml:space="preserve"> (IPTU) + R$ </w:t>
      </w:r>
      <w:r w:rsidR="008F6379" w:rsidRPr="00FD016C">
        <w:rPr>
          <w:rFonts w:ascii="Verdana" w:hAnsi="Verdana" w:cs="Arial"/>
          <w:sz w:val="20"/>
          <w:szCs w:val="20"/>
        </w:rPr>
        <w:t>22.145</w:t>
      </w:r>
      <w:r w:rsidRPr="00FD016C">
        <w:rPr>
          <w:rFonts w:ascii="Verdana" w:hAnsi="Verdana" w:cs="Arial"/>
          <w:sz w:val="20"/>
          <w:szCs w:val="20"/>
        </w:rPr>
        <w:t xml:space="preserve"> (</w:t>
      </w:r>
      <w:r w:rsidR="004D4D67" w:rsidRPr="00FD016C">
        <w:rPr>
          <w:rFonts w:ascii="Verdana" w:hAnsi="Verdana" w:cs="Arial"/>
          <w:sz w:val="20"/>
          <w:szCs w:val="20"/>
        </w:rPr>
        <w:t xml:space="preserve">Antecipações mensais aos </w:t>
      </w:r>
      <w:r w:rsidRPr="00FD016C">
        <w:rPr>
          <w:rFonts w:ascii="Verdana" w:hAnsi="Verdana" w:cs="Arial"/>
          <w:sz w:val="20"/>
          <w:szCs w:val="20"/>
        </w:rPr>
        <w:t>Fund</w:t>
      </w:r>
      <w:r w:rsidR="004D4D67" w:rsidRPr="00FD016C">
        <w:rPr>
          <w:rFonts w:ascii="Verdana" w:hAnsi="Verdana" w:cs="Arial"/>
          <w:sz w:val="20"/>
          <w:szCs w:val="20"/>
        </w:rPr>
        <w:t>os de Pensão até a emissão do laudo atuarial no final do ano onde será avaliado se houve déficit ou superávit no desempenho das fundações</w:t>
      </w:r>
      <w:r w:rsidRPr="00FD016C">
        <w:rPr>
          <w:rFonts w:ascii="Verdana" w:hAnsi="Verdana" w:cs="Arial"/>
          <w:sz w:val="20"/>
          <w:szCs w:val="20"/>
        </w:rPr>
        <w:t>).</w:t>
      </w:r>
    </w:p>
    <w:p w14:paraId="79F8CAFD" w14:textId="77777777" w:rsidR="00D160D0" w:rsidRPr="00FD016C" w:rsidRDefault="00D160D0" w:rsidP="00D160D0">
      <w:pPr>
        <w:widowControl/>
        <w:jc w:val="both"/>
        <w:rPr>
          <w:rFonts w:ascii="Verdana" w:hAnsi="Verdana" w:cs="Arial"/>
          <w:b/>
          <w:sz w:val="20"/>
          <w:szCs w:val="20"/>
        </w:rPr>
      </w:pPr>
    </w:p>
    <w:p w14:paraId="3BFF6AA7" w14:textId="2E925216" w:rsidR="00C976C1" w:rsidRPr="00FD016C" w:rsidRDefault="00C976C1" w:rsidP="006C7180">
      <w:pPr>
        <w:pStyle w:val="PargrafodaLista"/>
        <w:widowControl/>
        <w:numPr>
          <w:ilvl w:val="0"/>
          <w:numId w:val="43"/>
        </w:numPr>
        <w:ind w:left="284" w:hanging="284"/>
        <w:jc w:val="both"/>
        <w:rPr>
          <w:rFonts w:ascii="Verdana" w:hAnsi="Verdana" w:cs="Arial"/>
          <w:sz w:val="20"/>
          <w:szCs w:val="20"/>
        </w:rPr>
      </w:pPr>
      <w:r w:rsidRPr="00FD016C">
        <w:rPr>
          <w:rFonts w:ascii="Verdana" w:hAnsi="Verdana" w:cs="Arial"/>
          <w:sz w:val="20"/>
          <w:szCs w:val="20"/>
        </w:rPr>
        <w:t>Veja detalhes sobre as transações com partes relacionadas na nota 34.</w:t>
      </w:r>
    </w:p>
    <w:p w14:paraId="09769EBD" w14:textId="72CB9083" w:rsidR="00913044" w:rsidRPr="00FD016C" w:rsidRDefault="00913044" w:rsidP="005144E2">
      <w:pPr>
        <w:widowControl/>
        <w:jc w:val="both"/>
        <w:rPr>
          <w:rFonts w:ascii="Verdana" w:hAnsi="Verdana" w:cs="Arial"/>
          <w:b/>
          <w:sz w:val="20"/>
          <w:szCs w:val="20"/>
        </w:rPr>
      </w:pPr>
    </w:p>
    <w:p w14:paraId="5CC98631" w14:textId="77777777" w:rsidR="00BD17CA" w:rsidRPr="00FD016C" w:rsidRDefault="003F4719" w:rsidP="005144E2">
      <w:pPr>
        <w:keepNext/>
        <w:widowControl/>
        <w:jc w:val="both"/>
        <w:outlineLvl w:val="3"/>
        <w:rPr>
          <w:rFonts w:ascii="Verdana" w:hAnsi="Verdana" w:cs="Arial"/>
          <w:b/>
          <w:color w:val="0070C0"/>
          <w:sz w:val="26"/>
          <w:szCs w:val="26"/>
        </w:rPr>
      </w:pPr>
      <w:r w:rsidRPr="00FD016C">
        <w:rPr>
          <w:rFonts w:ascii="Verdana" w:hAnsi="Verdana" w:cs="Arial"/>
          <w:b/>
          <w:color w:val="0070C0"/>
          <w:sz w:val="26"/>
          <w:szCs w:val="26"/>
        </w:rPr>
        <w:lastRenderedPageBreak/>
        <w:t>NOTA 11 – TÍTULOS E VALORES MOBILIÁRIOS DE LONGO PRAZO</w:t>
      </w:r>
    </w:p>
    <w:p w14:paraId="5EE0041C" w14:textId="01FCA28B" w:rsidR="003F4719" w:rsidRPr="00FD016C" w:rsidRDefault="003F4719" w:rsidP="005144E2">
      <w:pPr>
        <w:keepNext/>
        <w:widowControl/>
        <w:jc w:val="both"/>
        <w:outlineLvl w:val="3"/>
        <w:rPr>
          <w:rFonts w:ascii="Verdana" w:hAnsi="Verdana" w:cs="Arial"/>
          <w:b/>
          <w:color w:val="0070C0"/>
          <w:sz w:val="26"/>
          <w:szCs w:val="26"/>
        </w:rPr>
      </w:pPr>
      <w:r w:rsidRPr="00FD016C">
        <w:rPr>
          <w:rFonts w:ascii="Verdana" w:hAnsi="Verdana" w:cs="Arial"/>
          <w:b/>
          <w:color w:val="0070C0"/>
          <w:sz w:val="26"/>
          <w:szCs w:val="26"/>
        </w:rPr>
        <w:t>- FUNDO PARA O DESCOMISSIONAMENTO</w:t>
      </w:r>
    </w:p>
    <w:p w14:paraId="530A7D03" w14:textId="0A147F74" w:rsidR="00FE7624" w:rsidRPr="00FD016C" w:rsidRDefault="008D4FED" w:rsidP="005144E2">
      <w:pPr>
        <w:widowControl/>
        <w:jc w:val="both"/>
        <w:rPr>
          <w:rFonts w:ascii="Verdana" w:hAnsi="Verdana" w:cs="Arial"/>
          <w:sz w:val="20"/>
          <w:szCs w:val="20"/>
        </w:rPr>
      </w:pPr>
      <w:r w:rsidRPr="00FD016C">
        <w:rPr>
          <w:rFonts w:ascii="Verdana" w:hAnsi="Verdana" w:cs="Arial"/>
          <w:sz w:val="20"/>
          <w:szCs w:val="20"/>
        </w:rPr>
        <w:t xml:space="preserve"> </w:t>
      </w:r>
    </w:p>
    <w:p w14:paraId="546AC9EF" w14:textId="77777777" w:rsidR="009E3291" w:rsidRPr="00FD016C" w:rsidRDefault="009E3291" w:rsidP="005144E2">
      <w:pPr>
        <w:widowControl/>
        <w:jc w:val="both"/>
        <w:rPr>
          <w:rFonts w:ascii="Verdana" w:hAnsi="Verdana" w:cs="Arial"/>
          <w:sz w:val="20"/>
          <w:szCs w:val="20"/>
        </w:rPr>
      </w:pPr>
    </w:p>
    <w:p w14:paraId="1FD1BA9B" w14:textId="69647B68"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de usinas nucleares constitui-se de um conjunto de medidas tomadas para retirar de serviço, com segurança, uma instalação nuclear, reduzindo a radioatividade residual a níveis que permitam liberar o local para uso restrito ou irres</w:t>
      </w:r>
      <w:r w:rsidR="00E15412" w:rsidRPr="00FD016C">
        <w:rPr>
          <w:rFonts w:ascii="Verdana" w:hAnsi="Verdana" w:cs="Arial"/>
          <w:sz w:val="20"/>
          <w:szCs w:val="20"/>
        </w:rPr>
        <w:t xml:space="preserve">trito. Para permitir a </w:t>
      </w:r>
      <w:r w:rsidR="002A4D85" w:rsidRPr="00FD016C">
        <w:rPr>
          <w:rFonts w:ascii="Verdana" w:hAnsi="Verdana" w:cs="Arial"/>
          <w:sz w:val="20"/>
          <w:szCs w:val="20"/>
        </w:rPr>
        <w:t>inclusão</w:t>
      </w:r>
      <w:r w:rsidR="001835E7" w:rsidRPr="00FD016C">
        <w:rPr>
          <w:rFonts w:ascii="Verdana" w:hAnsi="Verdana" w:cs="Arial"/>
          <w:sz w:val="20"/>
          <w:szCs w:val="20"/>
        </w:rPr>
        <w:t xml:space="preserve">, </w:t>
      </w:r>
      <w:r w:rsidRPr="00FD016C">
        <w:rPr>
          <w:rFonts w:ascii="Verdana" w:hAnsi="Verdana" w:cs="Arial"/>
          <w:sz w:val="20"/>
          <w:szCs w:val="20"/>
        </w:rPr>
        <w:t>na ELETRONUCLEAR</w:t>
      </w:r>
      <w:r w:rsidR="00E15412" w:rsidRPr="00FD016C">
        <w:rPr>
          <w:rFonts w:ascii="Verdana" w:hAnsi="Verdana" w:cs="Arial"/>
          <w:sz w:val="20"/>
          <w:szCs w:val="20"/>
        </w:rPr>
        <w:t xml:space="preserve">, </w:t>
      </w:r>
      <w:r w:rsidRPr="00FD016C">
        <w:rPr>
          <w:rFonts w:ascii="Verdana" w:hAnsi="Verdana" w:cs="Arial"/>
          <w:sz w:val="20"/>
          <w:szCs w:val="20"/>
        </w:rPr>
        <w:t>dos custos a serem incorrido</w:t>
      </w:r>
      <w:r w:rsidR="00782DCE" w:rsidRPr="00FD016C">
        <w:rPr>
          <w:rFonts w:ascii="Verdana" w:hAnsi="Verdana" w:cs="Arial"/>
          <w:sz w:val="20"/>
          <w:szCs w:val="20"/>
        </w:rPr>
        <w:t xml:space="preserve">s com o </w:t>
      </w:r>
      <w:proofErr w:type="spellStart"/>
      <w:r w:rsidR="00782DCE" w:rsidRPr="00FD016C">
        <w:rPr>
          <w:rFonts w:ascii="Verdana" w:hAnsi="Verdana" w:cs="Arial"/>
          <w:sz w:val="20"/>
          <w:szCs w:val="20"/>
        </w:rPr>
        <w:t>descomissionamento</w:t>
      </w:r>
      <w:proofErr w:type="spellEnd"/>
      <w:r w:rsidR="00782DCE" w:rsidRPr="00FD016C">
        <w:rPr>
          <w:rFonts w:ascii="Verdana" w:hAnsi="Verdana" w:cs="Arial"/>
          <w:sz w:val="20"/>
          <w:szCs w:val="20"/>
        </w:rPr>
        <w:t xml:space="preserve"> das U</w:t>
      </w:r>
      <w:r w:rsidRPr="00FD016C">
        <w:rPr>
          <w:rFonts w:ascii="Verdana" w:hAnsi="Verdana" w:cs="Arial"/>
          <w:sz w:val="20"/>
          <w:szCs w:val="20"/>
        </w:rPr>
        <w:t xml:space="preserve">sinas Angra 1 e 2, foi constituído contabilmente uma obrigação para desmobilização de ativos, com base em estudos técnicos elaborados pela Companhia conforme </w:t>
      </w:r>
      <w:r w:rsidR="008E6B5F" w:rsidRPr="00FD016C">
        <w:rPr>
          <w:rFonts w:ascii="Verdana" w:hAnsi="Verdana" w:cs="Arial"/>
          <w:sz w:val="20"/>
          <w:szCs w:val="20"/>
        </w:rPr>
        <w:t>n</w:t>
      </w:r>
      <w:r w:rsidRPr="00FD016C">
        <w:rPr>
          <w:rFonts w:ascii="Verdana" w:hAnsi="Verdana" w:cs="Arial"/>
          <w:sz w:val="20"/>
          <w:szCs w:val="20"/>
        </w:rPr>
        <w:t>ota 2</w:t>
      </w:r>
      <w:r w:rsidR="00C06C3C" w:rsidRPr="00FD016C">
        <w:rPr>
          <w:rFonts w:ascii="Verdana" w:hAnsi="Verdana" w:cs="Arial"/>
          <w:sz w:val="20"/>
          <w:szCs w:val="20"/>
        </w:rPr>
        <w:t>4</w:t>
      </w:r>
      <w:r w:rsidRPr="00FD016C">
        <w:rPr>
          <w:rFonts w:ascii="Verdana" w:hAnsi="Verdana" w:cs="Arial"/>
          <w:sz w:val="20"/>
          <w:szCs w:val="20"/>
        </w:rPr>
        <w:t>.</w:t>
      </w:r>
    </w:p>
    <w:p w14:paraId="4BF08B8C" w14:textId="77777777" w:rsidR="00EE5EF9" w:rsidRPr="00FD016C" w:rsidRDefault="00EE5EF9" w:rsidP="005144E2">
      <w:pPr>
        <w:widowControl/>
        <w:tabs>
          <w:tab w:val="center" w:pos="4419"/>
          <w:tab w:val="right" w:pos="8838"/>
        </w:tabs>
        <w:jc w:val="both"/>
        <w:rPr>
          <w:rFonts w:ascii="Verdana" w:hAnsi="Verdana" w:cs="Arial"/>
          <w:sz w:val="20"/>
          <w:szCs w:val="20"/>
        </w:rPr>
      </w:pPr>
    </w:p>
    <w:p w14:paraId="66265F63" w14:textId="77777777"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De acordo com a determinação do Conselho Nacional de Política Energética - CNPE, as atribuições pelas atividades de instituir e viabilizar o fundo, para fazer face ao efetivo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das </w:t>
      </w:r>
      <w:r w:rsidR="00782DCE" w:rsidRPr="00FD016C">
        <w:rPr>
          <w:rFonts w:ascii="Verdana" w:hAnsi="Verdana" w:cs="Arial"/>
          <w:sz w:val="20"/>
          <w:szCs w:val="20"/>
        </w:rPr>
        <w:t>U</w:t>
      </w:r>
      <w:r w:rsidRPr="00FD016C">
        <w:rPr>
          <w:rFonts w:ascii="Verdana" w:hAnsi="Verdana" w:cs="Arial"/>
          <w:sz w:val="20"/>
          <w:szCs w:val="20"/>
        </w:rPr>
        <w:t xml:space="preserve">sinas nucleares Angra 1 e 2, ao final da vida útil econômica das referidas usinas, foram atribuídas à Eletrobras. </w:t>
      </w:r>
    </w:p>
    <w:p w14:paraId="69263786" w14:textId="77777777" w:rsidR="00CC350C" w:rsidRPr="00FD016C" w:rsidRDefault="00CC350C" w:rsidP="005144E2">
      <w:pPr>
        <w:widowControl/>
        <w:tabs>
          <w:tab w:val="center" w:pos="4419"/>
          <w:tab w:val="right" w:pos="8838"/>
        </w:tabs>
        <w:jc w:val="both"/>
        <w:rPr>
          <w:rFonts w:ascii="Verdana" w:hAnsi="Verdana" w:cs="Arial"/>
          <w:sz w:val="20"/>
          <w:szCs w:val="20"/>
        </w:rPr>
      </w:pPr>
    </w:p>
    <w:p w14:paraId="7A2CF25B" w14:textId="77777777"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Em 15 de janeiro de 2008, a Eletrobras fixou as diretrizes para implementação do fundo financeiro, informando a conta corrente para os depósitos, as datas de recolhimentos, bem como os valores das quotas mensais a serem recolhidas no exercício de 2008. </w:t>
      </w:r>
    </w:p>
    <w:p w14:paraId="295A95BB" w14:textId="77777777" w:rsidR="003F4719" w:rsidRPr="00FD016C" w:rsidRDefault="003F4719" w:rsidP="005144E2">
      <w:pPr>
        <w:widowControl/>
        <w:tabs>
          <w:tab w:val="center" w:pos="4419"/>
          <w:tab w:val="right" w:pos="8838"/>
        </w:tabs>
        <w:jc w:val="both"/>
        <w:rPr>
          <w:rFonts w:ascii="Verdana" w:hAnsi="Verdana" w:cs="Arial"/>
          <w:sz w:val="20"/>
          <w:szCs w:val="20"/>
        </w:rPr>
      </w:pPr>
    </w:p>
    <w:p w14:paraId="132EE667" w14:textId="3BD717F8" w:rsidR="0077459D"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Assim sendo, a ELETRONUCLEAR, em 20 de fevereiro de 2008, iniciou o processo de pagamento à Eletrobras para o devido recolhimento ao fundo financeiro para 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w:t>
      </w:r>
    </w:p>
    <w:p w14:paraId="0949AB21" w14:textId="77777777" w:rsidR="00A10BF4" w:rsidRPr="00FD016C" w:rsidRDefault="00A10BF4" w:rsidP="005144E2">
      <w:pPr>
        <w:widowControl/>
        <w:tabs>
          <w:tab w:val="center" w:pos="4419"/>
          <w:tab w:val="right" w:pos="8838"/>
        </w:tabs>
        <w:jc w:val="both"/>
        <w:rPr>
          <w:rFonts w:ascii="Verdana" w:hAnsi="Verdana" w:cs="Arial"/>
          <w:sz w:val="20"/>
          <w:szCs w:val="20"/>
        </w:rPr>
      </w:pPr>
    </w:p>
    <w:p w14:paraId="6A36BCD2" w14:textId="71DF2807" w:rsidR="003F4719" w:rsidRPr="00FD016C" w:rsidRDefault="003F4719" w:rsidP="005144E2">
      <w:pPr>
        <w:jc w:val="both"/>
        <w:rPr>
          <w:rFonts w:ascii="Verdana" w:hAnsi="Verdana" w:cs="Arial"/>
          <w:color w:val="FF0000"/>
          <w:sz w:val="20"/>
          <w:szCs w:val="20"/>
        </w:rPr>
      </w:pPr>
      <w:r w:rsidRPr="00FD016C">
        <w:rPr>
          <w:rFonts w:ascii="Verdana" w:hAnsi="Verdana" w:cs="Arial"/>
          <w:sz w:val="20"/>
          <w:szCs w:val="20"/>
        </w:rPr>
        <w:t xml:space="preserve">Anualmente, a Eletrobras estabelece o montante a ser recolhido ao fundo financeiro do Banco do Brasil para 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das Usinas Angra 1 e Angra 2, considerando como base de cálculo, a parcela considerada pela A</w:t>
      </w:r>
      <w:r w:rsidR="009E3291" w:rsidRPr="00FD016C">
        <w:rPr>
          <w:rFonts w:ascii="Verdana" w:hAnsi="Verdana" w:cs="Arial"/>
          <w:sz w:val="20"/>
          <w:szCs w:val="20"/>
        </w:rPr>
        <w:t>neel</w:t>
      </w:r>
      <w:r w:rsidRPr="00FD016C">
        <w:rPr>
          <w:rFonts w:ascii="Verdana" w:hAnsi="Verdana" w:cs="Arial"/>
          <w:sz w:val="20"/>
          <w:szCs w:val="20"/>
        </w:rPr>
        <w:t xml:space="preserve">, na receita fixa das </w:t>
      </w:r>
      <w:r w:rsidRPr="00FD016C">
        <w:rPr>
          <w:rFonts w:ascii="Verdana" w:hAnsi="Verdana" w:cs="Arial"/>
          <w:color w:val="000000" w:themeColor="text1"/>
          <w:sz w:val="20"/>
          <w:szCs w:val="20"/>
        </w:rPr>
        <w:t xml:space="preserve">mencionadas usinas. </w:t>
      </w:r>
      <w:r w:rsidR="00723A4C" w:rsidRPr="00FD016C">
        <w:rPr>
          <w:rFonts w:ascii="Verdana" w:hAnsi="Verdana" w:cs="Arial"/>
          <w:color w:val="000000" w:themeColor="text1"/>
          <w:sz w:val="20"/>
          <w:szCs w:val="20"/>
        </w:rPr>
        <w:t xml:space="preserve">O montante anual de depósito fixado para </w:t>
      </w:r>
      <w:r w:rsidRPr="00FD016C">
        <w:rPr>
          <w:rFonts w:ascii="Verdana" w:hAnsi="Verdana" w:cs="Arial"/>
          <w:color w:val="000000" w:themeColor="text1"/>
          <w:sz w:val="20"/>
          <w:szCs w:val="20"/>
        </w:rPr>
        <w:t>o exercício de 20</w:t>
      </w:r>
      <w:r w:rsidR="00733334" w:rsidRPr="00FD016C">
        <w:rPr>
          <w:rFonts w:ascii="Verdana" w:hAnsi="Verdana" w:cs="Arial"/>
          <w:color w:val="000000" w:themeColor="text1"/>
          <w:sz w:val="20"/>
          <w:szCs w:val="20"/>
        </w:rPr>
        <w:t>2</w:t>
      </w:r>
      <w:r w:rsidR="00C1737A" w:rsidRPr="00FD016C">
        <w:rPr>
          <w:rFonts w:ascii="Verdana" w:hAnsi="Verdana" w:cs="Arial"/>
          <w:color w:val="000000" w:themeColor="text1"/>
          <w:sz w:val="20"/>
          <w:szCs w:val="20"/>
        </w:rPr>
        <w:t>1</w:t>
      </w:r>
      <w:r w:rsidRPr="00FD016C">
        <w:rPr>
          <w:rFonts w:ascii="Verdana" w:hAnsi="Verdana" w:cs="Arial"/>
          <w:color w:val="000000" w:themeColor="text1"/>
          <w:sz w:val="20"/>
          <w:szCs w:val="20"/>
        </w:rPr>
        <w:t xml:space="preserve"> foi R$ </w:t>
      </w:r>
      <w:r w:rsidR="00C1737A" w:rsidRPr="00FD016C">
        <w:rPr>
          <w:rFonts w:ascii="Verdana" w:hAnsi="Verdana" w:cs="Arial"/>
          <w:color w:val="000000" w:themeColor="text1"/>
          <w:sz w:val="20"/>
          <w:szCs w:val="20"/>
        </w:rPr>
        <w:t>186.781</w:t>
      </w:r>
      <w:r w:rsidR="001F1A89" w:rsidRPr="00FD016C">
        <w:rPr>
          <w:rFonts w:ascii="Verdana" w:hAnsi="Verdana" w:cs="Arial"/>
          <w:color w:val="000000" w:themeColor="text1"/>
          <w:sz w:val="20"/>
          <w:szCs w:val="20"/>
        </w:rPr>
        <w:t>.</w:t>
      </w:r>
    </w:p>
    <w:p w14:paraId="50F6A818" w14:textId="77777777" w:rsidR="003F4719" w:rsidRPr="00FD016C" w:rsidRDefault="003F4719" w:rsidP="005144E2">
      <w:pPr>
        <w:jc w:val="both"/>
        <w:rPr>
          <w:rFonts w:ascii="Verdana" w:hAnsi="Verdana" w:cs="Arial"/>
          <w:sz w:val="20"/>
          <w:szCs w:val="20"/>
        </w:rPr>
      </w:pPr>
    </w:p>
    <w:p w14:paraId="219B7876" w14:textId="30FEEE26" w:rsidR="003F4719" w:rsidRPr="00FD016C" w:rsidRDefault="003F4719" w:rsidP="005144E2">
      <w:pPr>
        <w:jc w:val="both"/>
        <w:rPr>
          <w:rFonts w:ascii="Verdana" w:hAnsi="Verdana" w:cs="Arial"/>
          <w:sz w:val="20"/>
          <w:szCs w:val="20"/>
        </w:rPr>
      </w:pPr>
      <w:r w:rsidRPr="00FD016C">
        <w:rPr>
          <w:rFonts w:ascii="Verdana" w:hAnsi="Verdana" w:cs="Arial"/>
          <w:sz w:val="20"/>
          <w:szCs w:val="20"/>
        </w:rPr>
        <w:t xml:space="preserve">O mencionado fundo é mantido </w:t>
      </w:r>
      <w:r w:rsidR="00897B3C" w:rsidRPr="00FD016C">
        <w:rPr>
          <w:rFonts w:ascii="Verdana" w:hAnsi="Verdana" w:cs="Arial"/>
          <w:sz w:val="20"/>
          <w:szCs w:val="20"/>
        </w:rPr>
        <w:t xml:space="preserve">no </w:t>
      </w:r>
      <w:r w:rsidRPr="00FD016C">
        <w:rPr>
          <w:rFonts w:ascii="Verdana" w:hAnsi="Verdana" w:cs="Arial"/>
          <w:sz w:val="20"/>
          <w:szCs w:val="20"/>
        </w:rPr>
        <w:t>Banco do Brasil, através de um fundo de investimento extra mercado de longo prazo, exclusivo para acumular os recursos destinados a custear as ativid</w:t>
      </w:r>
      <w:r w:rsidR="00782DCE" w:rsidRPr="00FD016C">
        <w:rPr>
          <w:rFonts w:ascii="Verdana" w:hAnsi="Verdana" w:cs="Arial"/>
          <w:sz w:val="20"/>
          <w:szCs w:val="20"/>
        </w:rPr>
        <w:t xml:space="preserve">ades de </w:t>
      </w:r>
      <w:proofErr w:type="spellStart"/>
      <w:r w:rsidR="00782DCE" w:rsidRPr="00FD016C">
        <w:rPr>
          <w:rFonts w:ascii="Verdana" w:hAnsi="Verdana" w:cs="Arial"/>
          <w:sz w:val="20"/>
          <w:szCs w:val="20"/>
        </w:rPr>
        <w:t>descomissionamento</w:t>
      </w:r>
      <w:proofErr w:type="spellEnd"/>
      <w:r w:rsidR="00782DCE" w:rsidRPr="00FD016C">
        <w:rPr>
          <w:rFonts w:ascii="Verdana" w:hAnsi="Verdana" w:cs="Arial"/>
          <w:sz w:val="20"/>
          <w:szCs w:val="20"/>
        </w:rPr>
        <w:t xml:space="preserve"> das U</w:t>
      </w:r>
      <w:r w:rsidRPr="00FD016C">
        <w:rPr>
          <w:rFonts w:ascii="Verdana" w:hAnsi="Verdana" w:cs="Arial"/>
          <w:sz w:val="20"/>
          <w:szCs w:val="20"/>
        </w:rPr>
        <w:t xml:space="preserve">sinas Angra 1 e 2. </w:t>
      </w:r>
      <w:r w:rsidR="00C06C3C" w:rsidRPr="00FD016C">
        <w:rPr>
          <w:rFonts w:ascii="Verdana" w:hAnsi="Verdana" w:cs="Arial"/>
          <w:sz w:val="20"/>
          <w:szCs w:val="20"/>
        </w:rPr>
        <w:t>A titularidade deste fundo pertence à Eletrobras</w:t>
      </w:r>
      <w:r w:rsidRPr="00FD016C">
        <w:rPr>
          <w:rFonts w:ascii="Verdana" w:hAnsi="Verdana" w:cs="Arial"/>
          <w:sz w:val="20"/>
          <w:szCs w:val="20"/>
        </w:rPr>
        <w:t xml:space="preserve"> conforme determinado pelo CNPE. </w:t>
      </w:r>
    </w:p>
    <w:p w14:paraId="1996C525" w14:textId="77777777" w:rsidR="00905DE7" w:rsidRPr="00FD016C" w:rsidRDefault="00905DE7" w:rsidP="005144E2">
      <w:pPr>
        <w:jc w:val="both"/>
        <w:rPr>
          <w:rFonts w:ascii="Verdana" w:hAnsi="Verdana" w:cs="Arial"/>
          <w:sz w:val="20"/>
          <w:szCs w:val="20"/>
        </w:rPr>
      </w:pPr>
    </w:p>
    <w:p w14:paraId="517A92B7" w14:textId="1EB09999" w:rsidR="00780CBF" w:rsidRPr="00FD016C" w:rsidRDefault="003F4719" w:rsidP="005144E2">
      <w:pPr>
        <w:jc w:val="both"/>
        <w:rPr>
          <w:rFonts w:ascii="Verdana" w:hAnsi="Verdana" w:cs="Arial"/>
          <w:sz w:val="20"/>
          <w:szCs w:val="20"/>
        </w:rPr>
      </w:pPr>
      <w:r w:rsidRPr="00FD016C">
        <w:rPr>
          <w:rFonts w:ascii="Verdana" w:hAnsi="Verdana" w:cs="Arial"/>
          <w:sz w:val="20"/>
          <w:szCs w:val="20"/>
        </w:rPr>
        <w:t>A seguir, demonstramos o detalhamento de carteira do mencionado fundo:</w:t>
      </w:r>
    </w:p>
    <w:p w14:paraId="14CB7893" w14:textId="77777777" w:rsidR="009F6FE1" w:rsidRPr="00FD016C" w:rsidRDefault="009F6FE1" w:rsidP="005144E2">
      <w:pPr>
        <w:jc w:val="both"/>
        <w:rPr>
          <w:rFonts w:ascii="Verdana" w:hAnsi="Verdana" w:cs="Arial"/>
          <w:sz w:val="20"/>
          <w:szCs w:val="20"/>
        </w:rPr>
      </w:pPr>
    </w:p>
    <w:p w14:paraId="0488F0C6" w14:textId="414E7141" w:rsidR="009F6FE1" w:rsidRPr="00FD016C" w:rsidRDefault="00873B0D" w:rsidP="005144E2">
      <w:pPr>
        <w:jc w:val="both"/>
        <w:rPr>
          <w:rFonts w:ascii="Verdana" w:hAnsi="Verdana" w:cs="Arial"/>
          <w:noProof/>
          <w:sz w:val="20"/>
          <w:szCs w:val="20"/>
        </w:rPr>
      </w:pPr>
      <w:r w:rsidRPr="00FD016C">
        <w:rPr>
          <w:noProof/>
        </w:rPr>
        <w:drawing>
          <wp:inline distT="0" distB="0" distL="0" distR="0" wp14:anchorId="78ACA417" wp14:editId="26270097">
            <wp:extent cx="4381500" cy="1914525"/>
            <wp:effectExtent l="0" t="0" r="0" b="9525"/>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1500" cy="1914525"/>
                    </a:xfrm>
                    <a:prstGeom prst="rect">
                      <a:avLst/>
                    </a:prstGeom>
                    <a:noFill/>
                    <a:ln>
                      <a:noFill/>
                    </a:ln>
                  </pic:spPr>
                </pic:pic>
              </a:graphicData>
            </a:graphic>
          </wp:inline>
        </w:drawing>
      </w:r>
    </w:p>
    <w:p w14:paraId="59501E03" w14:textId="77777777" w:rsidR="00780CBF" w:rsidRPr="00FD016C" w:rsidRDefault="00780CBF" w:rsidP="005144E2">
      <w:pPr>
        <w:jc w:val="both"/>
        <w:rPr>
          <w:rFonts w:ascii="Verdana" w:hAnsi="Verdana" w:cs="Arial"/>
          <w:noProof/>
          <w:sz w:val="20"/>
          <w:szCs w:val="20"/>
        </w:rPr>
      </w:pPr>
    </w:p>
    <w:p w14:paraId="7D9336BD" w14:textId="77777777" w:rsidR="00890D22" w:rsidRPr="00FD016C" w:rsidRDefault="00890D22" w:rsidP="005144E2">
      <w:pPr>
        <w:jc w:val="both"/>
        <w:rPr>
          <w:rFonts w:ascii="Verdana" w:hAnsi="Verdana" w:cs="Arial"/>
          <w:noProof/>
          <w:sz w:val="20"/>
          <w:szCs w:val="20"/>
        </w:rPr>
      </w:pPr>
    </w:p>
    <w:p w14:paraId="719C2BE2" w14:textId="49462C11"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lastRenderedPageBreak/>
        <w:t xml:space="preserve">Mensalmente, a Eletrobras informa à ELETRONUCLEAR os rendimentos financeiros incorridos durante o período sobre as aplicações do fundo, com a devida tributação do </w:t>
      </w:r>
      <w:r w:rsidR="007D3780" w:rsidRPr="00FD016C">
        <w:rPr>
          <w:rFonts w:ascii="Verdana" w:hAnsi="Verdana" w:cs="Arial"/>
          <w:sz w:val="20"/>
          <w:szCs w:val="20"/>
        </w:rPr>
        <w:t>I</w:t>
      </w:r>
      <w:r w:rsidRPr="00FD016C">
        <w:rPr>
          <w:rFonts w:ascii="Verdana" w:hAnsi="Verdana" w:cs="Arial"/>
          <w:sz w:val="20"/>
          <w:szCs w:val="20"/>
        </w:rPr>
        <w:t xml:space="preserve">mposto de </w:t>
      </w:r>
      <w:r w:rsidR="007D3780" w:rsidRPr="00FD016C">
        <w:rPr>
          <w:rFonts w:ascii="Verdana" w:hAnsi="Verdana" w:cs="Arial"/>
          <w:sz w:val="20"/>
          <w:szCs w:val="20"/>
        </w:rPr>
        <w:t>R</w:t>
      </w:r>
      <w:r w:rsidRPr="00FD016C">
        <w:rPr>
          <w:rFonts w:ascii="Verdana" w:hAnsi="Verdana" w:cs="Arial"/>
          <w:sz w:val="20"/>
          <w:szCs w:val="20"/>
        </w:rPr>
        <w:t>enda</w:t>
      </w:r>
      <w:r w:rsidR="007D3780" w:rsidRPr="00FD016C">
        <w:rPr>
          <w:rFonts w:ascii="Verdana" w:hAnsi="Verdana" w:cs="Arial"/>
          <w:sz w:val="20"/>
          <w:szCs w:val="20"/>
        </w:rPr>
        <w:t xml:space="preserve"> Retido </w:t>
      </w:r>
      <w:r w:rsidRPr="00FD016C">
        <w:rPr>
          <w:rFonts w:ascii="Verdana" w:hAnsi="Verdana" w:cs="Arial"/>
          <w:sz w:val="20"/>
          <w:szCs w:val="20"/>
        </w:rPr>
        <w:t xml:space="preserve">na </w:t>
      </w:r>
      <w:r w:rsidR="007D3780" w:rsidRPr="00FD016C">
        <w:rPr>
          <w:rFonts w:ascii="Verdana" w:hAnsi="Verdana" w:cs="Arial"/>
          <w:sz w:val="20"/>
          <w:szCs w:val="20"/>
        </w:rPr>
        <w:t>Fonte – IRRF.</w:t>
      </w:r>
      <w:r w:rsidRPr="00FD016C">
        <w:rPr>
          <w:rFonts w:ascii="Verdana" w:hAnsi="Verdana" w:cs="Arial"/>
          <w:sz w:val="20"/>
          <w:szCs w:val="20"/>
        </w:rPr>
        <w:t xml:space="preserve"> </w:t>
      </w:r>
    </w:p>
    <w:p w14:paraId="6677B335" w14:textId="77777777" w:rsidR="00530DC8" w:rsidRPr="00FD016C" w:rsidRDefault="00530DC8" w:rsidP="00530DC8">
      <w:pPr>
        <w:tabs>
          <w:tab w:val="center" w:pos="4419"/>
          <w:tab w:val="right" w:pos="8838"/>
        </w:tabs>
        <w:jc w:val="both"/>
        <w:rPr>
          <w:rFonts w:ascii="Verdana" w:hAnsi="Verdana" w:cs="Arial"/>
          <w:sz w:val="20"/>
          <w:szCs w:val="20"/>
        </w:rPr>
      </w:pPr>
    </w:p>
    <w:p w14:paraId="1922F743" w14:textId="5A496273" w:rsidR="00530DC8" w:rsidRPr="00FD016C" w:rsidRDefault="00530DC8" w:rsidP="00530DC8">
      <w:pPr>
        <w:tabs>
          <w:tab w:val="center" w:pos="4419"/>
          <w:tab w:val="right" w:pos="8838"/>
        </w:tabs>
        <w:jc w:val="both"/>
        <w:rPr>
          <w:rFonts w:ascii="Arial" w:hAnsi="Arial" w:cs="Arial"/>
        </w:rPr>
      </w:pPr>
      <w:r w:rsidRPr="00FD016C">
        <w:rPr>
          <w:rFonts w:ascii="Verdana" w:hAnsi="Verdana" w:cs="Arial"/>
          <w:sz w:val="20"/>
          <w:szCs w:val="20"/>
        </w:rPr>
        <w:t xml:space="preserve">Em 30 de </w:t>
      </w:r>
      <w:r w:rsidR="00EF2A72" w:rsidRPr="00FD016C">
        <w:rPr>
          <w:rFonts w:ascii="Verdana" w:hAnsi="Verdana" w:cs="Arial"/>
          <w:sz w:val="20"/>
          <w:szCs w:val="20"/>
        </w:rPr>
        <w:t>setembro</w:t>
      </w:r>
      <w:r w:rsidRPr="00FD016C">
        <w:rPr>
          <w:rFonts w:ascii="Verdana" w:hAnsi="Verdana" w:cs="Arial"/>
          <w:sz w:val="20"/>
          <w:szCs w:val="20"/>
        </w:rPr>
        <w:t xml:space="preserve"> de 2021, o fundo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Títulos de Valores Mobiliários - TVM de longo prazo, apresenta ganho financeiro de R$ </w:t>
      </w:r>
      <w:r w:rsidR="00972221" w:rsidRPr="00FD016C">
        <w:rPr>
          <w:rFonts w:ascii="Verdana" w:hAnsi="Verdana" w:cs="Arial"/>
          <w:sz w:val="20"/>
          <w:szCs w:val="20"/>
        </w:rPr>
        <w:t>57.800</w:t>
      </w:r>
      <w:r w:rsidRPr="00FD016C">
        <w:rPr>
          <w:rFonts w:ascii="Verdana" w:hAnsi="Verdana" w:cs="Arial"/>
          <w:sz w:val="20"/>
          <w:szCs w:val="20"/>
        </w:rPr>
        <w:t xml:space="preserve"> (nota 32), (R$ </w:t>
      </w:r>
      <w:r w:rsidR="00450D70" w:rsidRPr="00FD016C">
        <w:rPr>
          <w:rFonts w:ascii="Verdana" w:hAnsi="Verdana" w:cs="Arial"/>
          <w:sz w:val="20"/>
          <w:szCs w:val="20"/>
        </w:rPr>
        <w:t>515</w:t>
      </w:r>
      <w:r w:rsidRPr="00FD016C">
        <w:rPr>
          <w:rFonts w:ascii="Verdana" w:hAnsi="Verdana" w:cs="Arial"/>
          <w:sz w:val="20"/>
          <w:szCs w:val="20"/>
        </w:rPr>
        <w:t>.</w:t>
      </w:r>
      <w:r w:rsidR="00450D70" w:rsidRPr="00FD016C">
        <w:rPr>
          <w:rFonts w:ascii="Verdana" w:hAnsi="Verdana" w:cs="Arial"/>
          <w:sz w:val="20"/>
          <w:szCs w:val="20"/>
        </w:rPr>
        <w:t>836</w:t>
      </w:r>
      <w:r w:rsidRPr="00FD016C">
        <w:rPr>
          <w:rFonts w:ascii="Verdana" w:hAnsi="Verdana" w:cs="Arial"/>
          <w:sz w:val="20"/>
          <w:szCs w:val="20"/>
        </w:rPr>
        <w:t xml:space="preserve"> em 30 de </w:t>
      </w:r>
      <w:r w:rsidR="00BF5FA9" w:rsidRPr="00FD016C">
        <w:rPr>
          <w:rFonts w:ascii="Verdana" w:hAnsi="Verdana" w:cs="Arial"/>
          <w:sz w:val="20"/>
          <w:szCs w:val="20"/>
        </w:rPr>
        <w:t>setembro</w:t>
      </w:r>
      <w:r w:rsidRPr="00FD016C">
        <w:rPr>
          <w:rFonts w:ascii="Verdana" w:hAnsi="Verdana" w:cs="Arial"/>
          <w:sz w:val="20"/>
          <w:szCs w:val="20"/>
        </w:rPr>
        <w:t xml:space="preserve"> de 2020), em função da carteira do Fundo Financeiro do Banco do Brasil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conter título público vinculado à variação da moeda dólar norte-americano. Em 2021, foram aplicados R$ </w:t>
      </w:r>
      <w:r w:rsidR="00972221" w:rsidRPr="00FD016C">
        <w:rPr>
          <w:rFonts w:ascii="Verdana" w:hAnsi="Verdana" w:cs="Arial"/>
          <w:sz w:val="20"/>
          <w:szCs w:val="20"/>
        </w:rPr>
        <w:t>148.035</w:t>
      </w:r>
      <w:r w:rsidRPr="00FD016C">
        <w:rPr>
          <w:rFonts w:ascii="Verdana" w:hAnsi="Verdana" w:cs="Arial"/>
          <w:sz w:val="20"/>
          <w:szCs w:val="20"/>
        </w:rPr>
        <w:t xml:space="preserve"> no fundo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(R$ </w:t>
      </w:r>
      <w:r w:rsidR="00972221" w:rsidRPr="00FD016C">
        <w:rPr>
          <w:rFonts w:ascii="Verdana" w:hAnsi="Verdana" w:cs="Arial"/>
          <w:sz w:val="20"/>
          <w:szCs w:val="20"/>
        </w:rPr>
        <w:t>140.086</w:t>
      </w:r>
      <w:r w:rsidRPr="00FD016C">
        <w:rPr>
          <w:rFonts w:ascii="Verdana" w:hAnsi="Verdana" w:cs="Arial"/>
          <w:sz w:val="20"/>
          <w:szCs w:val="20"/>
        </w:rPr>
        <w:t xml:space="preserve"> referente aos recolhimentos mensais, R$ </w:t>
      </w:r>
      <w:r w:rsidR="00972221" w:rsidRPr="00FD016C">
        <w:rPr>
          <w:rFonts w:ascii="Verdana" w:hAnsi="Verdana" w:cs="Arial"/>
          <w:sz w:val="20"/>
          <w:szCs w:val="20"/>
        </w:rPr>
        <w:t>7.949</w:t>
      </w:r>
      <w:r w:rsidRPr="00FD016C">
        <w:rPr>
          <w:rFonts w:ascii="Verdana" w:hAnsi="Verdana" w:cs="Arial"/>
          <w:sz w:val="20"/>
          <w:szCs w:val="20"/>
        </w:rPr>
        <w:t xml:space="preserve"> referente aos recolhimentos adicionais)</w:t>
      </w:r>
      <w:r w:rsidRPr="00FD016C">
        <w:rPr>
          <w:rFonts w:ascii="Arial" w:hAnsi="Arial" w:cs="Arial"/>
        </w:rPr>
        <w:t xml:space="preserve"> </w:t>
      </w:r>
      <w:r w:rsidRPr="00FD016C">
        <w:rPr>
          <w:rFonts w:ascii="Verdana" w:hAnsi="Verdana" w:cs="Arial"/>
          <w:sz w:val="20"/>
          <w:szCs w:val="20"/>
        </w:rPr>
        <w:t xml:space="preserve">e foram retidos R$ </w:t>
      </w:r>
      <w:r w:rsidR="00972221" w:rsidRPr="00FD016C">
        <w:rPr>
          <w:rFonts w:ascii="Verdana" w:hAnsi="Verdana" w:cs="Arial"/>
          <w:sz w:val="20"/>
          <w:szCs w:val="20"/>
        </w:rPr>
        <w:t>799</w:t>
      </w:r>
      <w:r w:rsidRPr="00FD016C">
        <w:rPr>
          <w:rFonts w:ascii="Verdana" w:hAnsi="Verdana" w:cs="Arial"/>
          <w:sz w:val="20"/>
          <w:szCs w:val="20"/>
        </w:rPr>
        <w:t xml:space="preserve"> a título de IRRF sobre os rendimentos do Exercício de 2021.</w:t>
      </w:r>
    </w:p>
    <w:p w14:paraId="51735A3A" w14:textId="77777777" w:rsidR="00530DC8" w:rsidRPr="00FD016C" w:rsidRDefault="00530DC8" w:rsidP="005144E2">
      <w:pPr>
        <w:widowControl/>
        <w:tabs>
          <w:tab w:val="center" w:pos="4419"/>
          <w:tab w:val="right" w:pos="8838"/>
        </w:tabs>
        <w:jc w:val="both"/>
        <w:rPr>
          <w:rFonts w:ascii="Verdana" w:hAnsi="Verdana" w:cs="Arial"/>
          <w:sz w:val="20"/>
          <w:szCs w:val="20"/>
        </w:rPr>
      </w:pPr>
    </w:p>
    <w:p w14:paraId="6F089051" w14:textId="008E8DE7" w:rsidR="00BC46FA"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Abaixo, apresentamos o quadro da composição do fundo para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w:t>
      </w:r>
    </w:p>
    <w:p w14:paraId="41F324E9" w14:textId="77777777" w:rsidR="00D926C3" w:rsidRPr="00FD016C" w:rsidRDefault="00D926C3" w:rsidP="005144E2">
      <w:pPr>
        <w:widowControl/>
        <w:tabs>
          <w:tab w:val="center" w:pos="4419"/>
          <w:tab w:val="right" w:pos="8838"/>
        </w:tabs>
        <w:jc w:val="both"/>
        <w:rPr>
          <w:rFonts w:ascii="Verdana" w:hAnsi="Verdana" w:cs="Arial"/>
          <w:sz w:val="20"/>
          <w:szCs w:val="20"/>
        </w:rPr>
      </w:pPr>
    </w:p>
    <w:p w14:paraId="7D769154" w14:textId="0E1B73F5" w:rsidR="001E5F01" w:rsidRPr="00FD016C" w:rsidRDefault="00873B0D" w:rsidP="005144E2">
      <w:pPr>
        <w:widowControl/>
        <w:tabs>
          <w:tab w:val="center" w:pos="4419"/>
          <w:tab w:val="right" w:pos="8838"/>
        </w:tabs>
        <w:jc w:val="both"/>
        <w:rPr>
          <w:rFonts w:ascii="Verdana" w:hAnsi="Verdana" w:cs="Arial"/>
          <w:sz w:val="20"/>
          <w:szCs w:val="20"/>
        </w:rPr>
      </w:pPr>
      <w:r w:rsidRPr="00FD016C">
        <w:rPr>
          <w:noProof/>
        </w:rPr>
        <w:drawing>
          <wp:inline distT="0" distB="0" distL="0" distR="0" wp14:anchorId="39F046E6" wp14:editId="62AFD216">
            <wp:extent cx="5715000" cy="2105025"/>
            <wp:effectExtent l="0" t="0" r="0" b="952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2105025"/>
                    </a:xfrm>
                    <a:prstGeom prst="rect">
                      <a:avLst/>
                    </a:prstGeom>
                    <a:noFill/>
                    <a:ln>
                      <a:noFill/>
                    </a:ln>
                  </pic:spPr>
                </pic:pic>
              </a:graphicData>
            </a:graphic>
          </wp:inline>
        </w:drawing>
      </w:r>
    </w:p>
    <w:p w14:paraId="1CEF1D56" w14:textId="51FCE4A0" w:rsidR="008167EF" w:rsidRPr="00FD016C" w:rsidRDefault="008167EF" w:rsidP="005144E2">
      <w:pPr>
        <w:widowControl/>
        <w:jc w:val="both"/>
        <w:rPr>
          <w:rFonts w:ascii="Verdana" w:hAnsi="Verdana" w:cs="Arial"/>
          <w:b/>
          <w:sz w:val="20"/>
          <w:szCs w:val="20"/>
        </w:rPr>
      </w:pPr>
    </w:p>
    <w:p w14:paraId="1C4539DF" w14:textId="77777777" w:rsidR="009E3291" w:rsidRPr="00FD016C" w:rsidRDefault="009E3291" w:rsidP="005144E2">
      <w:pPr>
        <w:widowControl/>
        <w:jc w:val="both"/>
        <w:rPr>
          <w:rFonts w:ascii="Verdana" w:hAnsi="Verdana" w:cs="Arial"/>
          <w:b/>
          <w:sz w:val="20"/>
          <w:szCs w:val="20"/>
        </w:rPr>
      </w:pPr>
    </w:p>
    <w:p w14:paraId="584B411B" w14:textId="6D13EFA5" w:rsidR="00CF70E1" w:rsidRPr="00FD016C" w:rsidRDefault="00CF70E1" w:rsidP="005144E2">
      <w:pPr>
        <w:widowControl/>
        <w:jc w:val="both"/>
        <w:rPr>
          <w:rFonts w:ascii="Verdana" w:hAnsi="Verdana" w:cs="Arial"/>
          <w:b/>
          <w:sz w:val="20"/>
          <w:szCs w:val="20"/>
        </w:rPr>
      </w:pPr>
    </w:p>
    <w:p w14:paraId="27FFF0F6" w14:textId="77777777"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t xml:space="preserve">NOTA 12 – DEPÓSITOS VINCULADOS </w:t>
      </w:r>
    </w:p>
    <w:p w14:paraId="471EA8B2" w14:textId="77777777" w:rsidR="00A86013" w:rsidRPr="00FD016C" w:rsidRDefault="00A86013" w:rsidP="005144E2">
      <w:pPr>
        <w:widowControl/>
        <w:jc w:val="both"/>
        <w:rPr>
          <w:rFonts w:ascii="Verdana" w:hAnsi="Verdana" w:cs="Arial"/>
          <w:b/>
          <w:sz w:val="20"/>
          <w:szCs w:val="20"/>
        </w:rPr>
      </w:pPr>
    </w:p>
    <w:p w14:paraId="35E030DD" w14:textId="77777777" w:rsidR="005678EC" w:rsidRPr="00FD016C" w:rsidRDefault="005678EC" w:rsidP="005144E2">
      <w:pPr>
        <w:widowControl/>
        <w:jc w:val="both"/>
        <w:rPr>
          <w:rFonts w:ascii="Verdana" w:hAnsi="Verdana" w:cs="Arial"/>
          <w:b/>
          <w:sz w:val="20"/>
          <w:szCs w:val="20"/>
        </w:rPr>
      </w:pPr>
    </w:p>
    <w:p w14:paraId="4815D23D" w14:textId="77777777" w:rsidR="00905DE7" w:rsidRPr="00FD016C" w:rsidRDefault="003F4719" w:rsidP="005144E2">
      <w:pPr>
        <w:widowControl/>
        <w:jc w:val="both"/>
        <w:rPr>
          <w:rFonts w:ascii="Verdana" w:hAnsi="Verdana" w:cs="Arial"/>
          <w:b/>
          <w:color w:val="0070C0"/>
        </w:rPr>
      </w:pPr>
      <w:r w:rsidRPr="00FD016C">
        <w:rPr>
          <w:rFonts w:ascii="Verdana" w:hAnsi="Verdana" w:cs="Arial"/>
          <w:b/>
          <w:color w:val="0070C0"/>
        </w:rPr>
        <w:t>a) Composição</w:t>
      </w:r>
    </w:p>
    <w:p w14:paraId="7E3A971E" w14:textId="082F580A" w:rsidR="00021E38" w:rsidRPr="00FD016C" w:rsidRDefault="003F4719" w:rsidP="005144E2">
      <w:pPr>
        <w:widowControl/>
        <w:jc w:val="both"/>
        <w:rPr>
          <w:rFonts w:ascii="Verdana" w:hAnsi="Verdana" w:cs="Arial"/>
          <w:b/>
          <w:color w:val="0070C0"/>
          <w:sz w:val="20"/>
          <w:szCs w:val="20"/>
        </w:rPr>
      </w:pPr>
      <w:r w:rsidRPr="00FD016C">
        <w:rPr>
          <w:rFonts w:ascii="Verdana" w:hAnsi="Verdana" w:cs="Arial"/>
          <w:b/>
          <w:color w:val="0070C0"/>
        </w:rPr>
        <w:t xml:space="preserve"> </w:t>
      </w:r>
    </w:p>
    <w:p w14:paraId="687412B7" w14:textId="7B929FC6" w:rsidR="00EA6282" w:rsidRPr="00FD016C" w:rsidRDefault="002D4730" w:rsidP="005144E2">
      <w:pPr>
        <w:widowControl/>
        <w:jc w:val="both"/>
        <w:rPr>
          <w:rFonts w:ascii="Verdana" w:hAnsi="Verdana" w:cs="Arial"/>
          <w:b/>
          <w:sz w:val="20"/>
          <w:szCs w:val="20"/>
        </w:rPr>
      </w:pPr>
      <w:r w:rsidRPr="00FD016C">
        <w:rPr>
          <w:noProof/>
        </w:rPr>
        <w:drawing>
          <wp:inline distT="0" distB="0" distL="0" distR="0" wp14:anchorId="3A91E4F3" wp14:editId="6FC53517">
            <wp:extent cx="5848350" cy="21050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8350" cy="2105025"/>
                    </a:xfrm>
                    <a:prstGeom prst="rect">
                      <a:avLst/>
                    </a:prstGeom>
                    <a:noFill/>
                    <a:ln>
                      <a:noFill/>
                    </a:ln>
                  </pic:spPr>
                </pic:pic>
              </a:graphicData>
            </a:graphic>
          </wp:inline>
        </w:drawing>
      </w:r>
    </w:p>
    <w:p w14:paraId="180F5608" w14:textId="47E12D76" w:rsidR="00CF70E1" w:rsidRPr="00FD016C" w:rsidRDefault="00CF70E1" w:rsidP="005144E2">
      <w:pPr>
        <w:widowControl/>
        <w:jc w:val="both"/>
        <w:rPr>
          <w:rFonts w:ascii="Verdana" w:hAnsi="Verdana" w:cs="Arial"/>
          <w:b/>
          <w:sz w:val="20"/>
          <w:szCs w:val="20"/>
        </w:rPr>
      </w:pPr>
    </w:p>
    <w:p w14:paraId="2499E501" w14:textId="77777777" w:rsidR="00EA6282" w:rsidRPr="00FD016C" w:rsidRDefault="00EA6282" w:rsidP="005144E2">
      <w:pPr>
        <w:widowControl/>
        <w:jc w:val="both"/>
        <w:rPr>
          <w:rFonts w:ascii="Verdana" w:hAnsi="Verdana" w:cs="Arial"/>
          <w:b/>
          <w:sz w:val="20"/>
          <w:szCs w:val="20"/>
        </w:rPr>
      </w:pPr>
    </w:p>
    <w:p w14:paraId="32132AE4" w14:textId="6BACA0E2" w:rsidR="001408E2" w:rsidRPr="00FD016C" w:rsidRDefault="001408E2" w:rsidP="001408E2">
      <w:pPr>
        <w:widowControl/>
        <w:jc w:val="both"/>
        <w:rPr>
          <w:rFonts w:ascii="Verdana" w:hAnsi="Verdana" w:cs="Arial"/>
          <w:b/>
          <w:color w:val="0070C0"/>
        </w:rPr>
      </w:pPr>
      <w:r w:rsidRPr="00FD016C">
        <w:rPr>
          <w:rFonts w:ascii="Verdana" w:hAnsi="Verdana" w:cs="Arial"/>
          <w:b/>
          <w:color w:val="0070C0"/>
        </w:rPr>
        <w:lastRenderedPageBreak/>
        <w:t>b) Movimentação</w:t>
      </w:r>
    </w:p>
    <w:p w14:paraId="139CF0E6" w14:textId="77777777" w:rsidR="00D403E2" w:rsidRPr="00FD016C" w:rsidRDefault="00D403E2" w:rsidP="00D403E2">
      <w:pPr>
        <w:widowControl/>
        <w:jc w:val="both"/>
        <w:rPr>
          <w:rFonts w:ascii="Verdana" w:hAnsi="Verdana" w:cs="Arial"/>
          <w:b/>
          <w:sz w:val="20"/>
          <w:szCs w:val="20"/>
        </w:rPr>
      </w:pPr>
    </w:p>
    <w:p w14:paraId="4BF4E2F4" w14:textId="3FC8B862" w:rsidR="00686D4B" w:rsidRPr="00FD016C" w:rsidRDefault="002D4730" w:rsidP="00D403E2">
      <w:pPr>
        <w:widowControl/>
        <w:jc w:val="both"/>
        <w:rPr>
          <w:rFonts w:ascii="Verdana" w:hAnsi="Verdana" w:cs="Arial"/>
          <w:b/>
          <w:sz w:val="20"/>
          <w:szCs w:val="20"/>
        </w:rPr>
      </w:pPr>
      <w:r w:rsidRPr="00FD016C">
        <w:rPr>
          <w:noProof/>
        </w:rPr>
        <w:drawing>
          <wp:inline distT="0" distB="0" distL="0" distR="0" wp14:anchorId="41B3EA74" wp14:editId="6BBBC4BE">
            <wp:extent cx="6073140" cy="1095029"/>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3140" cy="1095029"/>
                    </a:xfrm>
                    <a:prstGeom prst="rect">
                      <a:avLst/>
                    </a:prstGeom>
                    <a:noFill/>
                    <a:ln>
                      <a:noFill/>
                    </a:ln>
                  </pic:spPr>
                </pic:pic>
              </a:graphicData>
            </a:graphic>
          </wp:inline>
        </w:drawing>
      </w:r>
    </w:p>
    <w:p w14:paraId="203B9626" w14:textId="77777777" w:rsidR="00811278" w:rsidRPr="00FD016C" w:rsidRDefault="00811278" w:rsidP="005144E2">
      <w:pPr>
        <w:widowControl/>
        <w:jc w:val="both"/>
        <w:rPr>
          <w:rFonts w:ascii="Verdana" w:hAnsi="Verdana" w:cs="Arial"/>
          <w:b/>
          <w:color w:val="0070C0"/>
          <w:sz w:val="26"/>
          <w:szCs w:val="26"/>
        </w:rPr>
      </w:pPr>
    </w:p>
    <w:p w14:paraId="5F7D05FE" w14:textId="77777777" w:rsidR="009B337F" w:rsidRPr="00FD016C" w:rsidRDefault="009B337F" w:rsidP="005144E2">
      <w:pPr>
        <w:widowControl/>
        <w:jc w:val="both"/>
        <w:rPr>
          <w:rFonts w:ascii="Verdana" w:hAnsi="Verdana" w:cs="Arial"/>
          <w:b/>
          <w:color w:val="0070C0"/>
          <w:sz w:val="26"/>
          <w:szCs w:val="26"/>
        </w:rPr>
      </w:pPr>
    </w:p>
    <w:p w14:paraId="5A5BBDCF" w14:textId="77777777" w:rsidR="009B337F" w:rsidRPr="00FD016C" w:rsidRDefault="009B337F" w:rsidP="005144E2">
      <w:pPr>
        <w:widowControl/>
        <w:jc w:val="both"/>
        <w:rPr>
          <w:rFonts w:ascii="Verdana" w:hAnsi="Verdana" w:cs="Arial"/>
          <w:b/>
          <w:color w:val="0070C0"/>
          <w:sz w:val="26"/>
          <w:szCs w:val="26"/>
        </w:rPr>
      </w:pPr>
    </w:p>
    <w:p w14:paraId="64180057" w14:textId="77777777" w:rsidR="003B1C1D" w:rsidRPr="00FD016C" w:rsidRDefault="003B1C1D" w:rsidP="005144E2">
      <w:pPr>
        <w:widowControl/>
        <w:jc w:val="both"/>
        <w:rPr>
          <w:rFonts w:ascii="Verdana" w:hAnsi="Verdana" w:cs="Arial"/>
          <w:b/>
          <w:color w:val="0070C0"/>
          <w:sz w:val="26"/>
          <w:szCs w:val="26"/>
        </w:rPr>
      </w:pPr>
      <w:r w:rsidRPr="00FD016C">
        <w:rPr>
          <w:rFonts w:ascii="Verdana" w:hAnsi="Verdana" w:cs="Arial"/>
          <w:b/>
          <w:color w:val="0070C0"/>
          <w:sz w:val="26"/>
          <w:szCs w:val="26"/>
        </w:rPr>
        <w:t>NOTA 13 – ATIVOS FISCAIS DIFERIDOS SOBRE PREJUÍZOS FISCAIS</w:t>
      </w:r>
    </w:p>
    <w:p w14:paraId="1A099E59" w14:textId="77777777" w:rsidR="00D408D3" w:rsidRPr="00FD016C" w:rsidRDefault="00D408D3" w:rsidP="005144E2">
      <w:pPr>
        <w:widowControl/>
        <w:jc w:val="both"/>
        <w:rPr>
          <w:rFonts w:ascii="Arial" w:hAnsi="Arial" w:cs="Arial"/>
          <w:sz w:val="20"/>
          <w:szCs w:val="20"/>
        </w:rPr>
      </w:pPr>
    </w:p>
    <w:p w14:paraId="598EE734" w14:textId="77777777" w:rsidR="00D403E2" w:rsidRPr="00FD016C" w:rsidRDefault="00D403E2" w:rsidP="005144E2">
      <w:pPr>
        <w:widowControl/>
        <w:jc w:val="both"/>
        <w:rPr>
          <w:rFonts w:ascii="Arial" w:hAnsi="Arial" w:cs="Arial"/>
          <w:sz w:val="20"/>
          <w:szCs w:val="20"/>
        </w:rPr>
      </w:pPr>
    </w:p>
    <w:p w14:paraId="1AFCB63B" w14:textId="77777777" w:rsidR="009F448C" w:rsidRPr="00FD016C" w:rsidRDefault="009F448C" w:rsidP="009F448C">
      <w:pPr>
        <w:jc w:val="both"/>
        <w:rPr>
          <w:rFonts w:ascii="Verdana" w:hAnsi="Verdana"/>
          <w:sz w:val="20"/>
          <w:szCs w:val="20"/>
        </w:rPr>
      </w:pPr>
      <w:r w:rsidRPr="00FD016C">
        <w:rPr>
          <w:rFonts w:ascii="Verdana" w:hAnsi="Verdana"/>
          <w:sz w:val="20"/>
          <w:szCs w:val="20"/>
        </w:rPr>
        <w:t xml:space="preserve">A Companhia possui prejuízo fiscal no montante de R$ 1.018.802 (R$ 1.037.697 em 31 de dezembro de 2020) e base negativa de contribuição social no montante de R$ 1.201.982 (R$ 1.220.835 em 31 de dezembro de 2020). </w:t>
      </w:r>
    </w:p>
    <w:p w14:paraId="6BE7BA24" w14:textId="77777777" w:rsidR="009F448C" w:rsidRPr="00FD016C" w:rsidRDefault="009F448C" w:rsidP="009F448C">
      <w:pPr>
        <w:jc w:val="both"/>
        <w:rPr>
          <w:rFonts w:ascii="Verdana" w:hAnsi="Verdana"/>
          <w:sz w:val="20"/>
          <w:szCs w:val="20"/>
        </w:rPr>
      </w:pPr>
    </w:p>
    <w:p w14:paraId="33DCE693" w14:textId="77777777" w:rsidR="009F448C" w:rsidRPr="00FD016C" w:rsidRDefault="009F448C" w:rsidP="009F448C">
      <w:pPr>
        <w:widowControl/>
        <w:spacing w:line="240" w:lineRule="auto"/>
        <w:jc w:val="both"/>
        <w:rPr>
          <w:rFonts w:ascii="Verdana" w:hAnsi="Verdana"/>
          <w:sz w:val="20"/>
          <w:szCs w:val="20"/>
        </w:rPr>
      </w:pPr>
      <w:r w:rsidRPr="00FD016C">
        <w:rPr>
          <w:rFonts w:ascii="Verdana" w:hAnsi="Verdana"/>
          <w:sz w:val="20"/>
          <w:szCs w:val="20"/>
        </w:rPr>
        <w:t>Pela legislação tributária em vigor, o prejuízo fiscal e a base negativa da contribuição social sobre o lucro líquido - CSLL são compensáveis com lucros tributáveis futuros, até o limite de 30% do resultado tributável do exercício, sem prazo de prescrição.</w:t>
      </w:r>
    </w:p>
    <w:p w14:paraId="3C8653AB" w14:textId="77777777" w:rsidR="009F448C" w:rsidRPr="00FD016C" w:rsidRDefault="009F448C" w:rsidP="009F448C">
      <w:pPr>
        <w:widowControl/>
        <w:spacing w:line="240" w:lineRule="auto"/>
        <w:jc w:val="both"/>
        <w:rPr>
          <w:rFonts w:ascii="Verdana" w:hAnsi="Verdana"/>
          <w:sz w:val="20"/>
          <w:szCs w:val="20"/>
        </w:rPr>
      </w:pPr>
    </w:p>
    <w:p w14:paraId="08449ECA" w14:textId="77777777" w:rsidR="009F448C" w:rsidRPr="00FD016C" w:rsidRDefault="009F448C" w:rsidP="009F448C">
      <w:pPr>
        <w:widowControl/>
        <w:spacing w:line="240" w:lineRule="auto"/>
        <w:jc w:val="both"/>
        <w:rPr>
          <w:rFonts w:ascii="Verdana" w:hAnsi="Verdana"/>
          <w:sz w:val="20"/>
          <w:szCs w:val="20"/>
        </w:rPr>
      </w:pPr>
      <w:r w:rsidRPr="00FD016C">
        <w:rPr>
          <w:rFonts w:ascii="Verdana" w:hAnsi="Verdana"/>
          <w:sz w:val="20"/>
          <w:szCs w:val="20"/>
        </w:rPr>
        <w:t>A Companhia não reconhece impostos diferidos ativos sobre prejuízos fiscais e base negativa, por não apresentar um histórico de resultados positivos seguidos nos três últimos anos e não ter expectativa de reverter a situação em curto prazo.</w:t>
      </w:r>
    </w:p>
    <w:p w14:paraId="4B8C72CA" w14:textId="77777777" w:rsidR="009F448C" w:rsidRPr="00FD016C" w:rsidRDefault="009F448C" w:rsidP="009F448C">
      <w:pPr>
        <w:widowControl/>
        <w:spacing w:line="240" w:lineRule="auto"/>
        <w:jc w:val="both"/>
        <w:rPr>
          <w:rFonts w:ascii="Verdana" w:hAnsi="Verdana"/>
          <w:sz w:val="20"/>
          <w:szCs w:val="20"/>
        </w:rPr>
      </w:pPr>
    </w:p>
    <w:p w14:paraId="661C8D31" w14:textId="77777777" w:rsidR="009F448C" w:rsidRPr="00FD016C" w:rsidRDefault="009F448C" w:rsidP="009F448C">
      <w:pPr>
        <w:widowControl/>
        <w:spacing w:line="240" w:lineRule="auto"/>
        <w:jc w:val="both"/>
        <w:rPr>
          <w:rFonts w:ascii="Verdana" w:hAnsi="Verdana"/>
          <w:sz w:val="20"/>
          <w:szCs w:val="20"/>
        </w:rPr>
      </w:pPr>
      <w:r w:rsidRPr="00FD016C">
        <w:rPr>
          <w:rFonts w:ascii="Verdana" w:hAnsi="Verdana"/>
          <w:sz w:val="20"/>
          <w:szCs w:val="20"/>
        </w:rPr>
        <w:t>O cálculo da taxa efetiva de imposto de renda, contribuição social e a composição dos tributos diferidos passivos encontram-se detalhados nas notas 18 e 33.</w:t>
      </w:r>
    </w:p>
    <w:p w14:paraId="03C66816" w14:textId="77777777" w:rsidR="0056570E" w:rsidRPr="00FD016C" w:rsidRDefault="0056570E" w:rsidP="005144E2">
      <w:pPr>
        <w:widowControl/>
        <w:rPr>
          <w:rFonts w:ascii="Arial" w:hAnsi="Arial" w:cs="Arial"/>
          <w:b/>
          <w:sz w:val="20"/>
          <w:szCs w:val="20"/>
        </w:rPr>
      </w:pPr>
    </w:p>
    <w:p w14:paraId="72E8343A" w14:textId="77777777" w:rsidR="00686D4B" w:rsidRPr="00FD016C" w:rsidRDefault="00686D4B" w:rsidP="005144E2">
      <w:pPr>
        <w:widowControl/>
        <w:rPr>
          <w:rFonts w:ascii="Arial" w:hAnsi="Arial" w:cs="Arial"/>
          <w:b/>
          <w:sz w:val="20"/>
          <w:szCs w:val="20"/>
        </w:rPr>
      </w:pPr>
    </w:p>
    <w:p w14:paraId="51288A68" w14:textId="77777777" w:rsidR="00686D4B" w:rsidRPr="00FD016C" w:rsidRDefault="00686D4B" w:rsidP="005144E2">
      <w:pPr>
        <w:widowControl/>
        <w:rPr>
          <w:rFonts w:ascii="Arial" w:hAnsi="Arial" w:cs="Arial"/>
          <w:b/>
          <w:sz w:val="20"/>
          <w:szCs w:val="20"/>
        </w:rPr>
      </w:pPr>
    </w:p>
    <w:p w14:paraId="4C44346E" w14:textId="77777777" w:rsidR="00686D4B" w:rsidRPr="00FD016C" w:rsidRDefault="00686D4B" w:rsidP="005144E2">
      <w:pPr>
        <w:widowControl/>
        <w:rPr>
          <w:rFonts w:ascii="Arial" w:hAnsi="Arial" w:cs="Arial"/>
          <w:b/>
          <w:sz w:val="20"/>
          <w:szCs w:val="20"/>
        </w:rPr>
      </w:pPr>
    </w:p>
    <w:p w14:paraId="6F9C3C58" w14:textId="77777777" w:rsidR="00686D4B" w:rsidRPr="00FD016C" w:rsidRDefault="00686D4B" w:rsidP="005144E2">
      <w:pPr>
        <w:widowControl/>
        <w:rPr>
          <w:rFonts w:ascii="Arial" w:hAnsi="Arial" w:cs="Arial"/>
          <w:b/>
          <w:sz w:val="20"/>
          <w:szCs w:val="20"/>
        </w:rPr>
      </w:pPr>
    </w:p>
    <w:p w14:paraId="57C3FABF" w14:textId="77777777" w:rsidR="00686D4B" w:rsidRPr="00FD016C" w:rsidRDefault="00686D4B" w:rsidP="005144E2">
      <w:pPr>
        <w:widowControl/>
        <w:rPr>
          <w:rFonts w:ascii="Arial" w:hAnsi="Arial" w:cs="Arial"/>
          <w:b/>
          <w:sz w:val="20"/>
          <w:szCs w:val="20"/>
        </w:rPr>
      </w:pPr>
    </w:p>
    <w:p w14:paraId="1477581E" w14:textId="77777777" w:rsidR="00686D4B" w:rsidRPr="00FD016C" w:rsidRDefault="00686D4B" w:rsidP="005144E2">
      <w:pPr>
        <w:widowControl/>
        <w:rPr>
          <w:rFonts w:ascii="Arial" w:hAnsi="Arial" w:cs="Arial"/>
          <w:b/>
          <w:sz w:val="20"/>
          <w:szCs w:val="20"/>
        </w:rPr>
      </w:pPr>
    </w:p>
    <w:p w14:paraId="417C2B80" w14:textId="77777777" w:rsidR="00686D4B" w:rsidRPr="00FD016C" w:rsidRDefault="00686D4B" w:rsidP="005144E2">
      <w:pPr>
        <w:widowControl/>
        <w:rPr>
          <w:rFonts w:ascii="Arial" w:hAnsi="Arial" w:cs="Arial"/>
          <w:b/>
          <w:sz w:val="20"/>
          <w:szCs w:val="20"/>
        </w:rPr>
      </w:pPr>
    </w:p>
    <w:p w14:paraId="539D949B" w14:textId="77777777" w:rsidR="00686D4B" w:rsidRPr="00FD016C" w:rsidRDefault="00686D4B" w:rsidP="005144E2">
      <w:pPr>
        <w:widowControl/>
        <w:rPr>
          <w:rFonts w:ascii="Arial" w:hAnsi="Arial" w:cs="Arial"/>
          <w:b/>
          <w:sz w:val="20"/>
          <w:szCs w:val="20"/>
        </w:rPr>
      </w:pPr>
    </w:p>
    <w:p w14:paraId="5F5AE69B" w14:textId="77777777" w:rsidR="00686D4B" w:rsidRPr="00FD016C" w:rsidRDefault="00686D4B" w:rsidP="005144E2">
      <w:pPr>
        <w:widowControl/>
        <w:rPr>
          <w:rFonts w:ascii="Arial" w:hAnsi="Arial" w:cs="Arial"/>
          <w:b/>
          <w:sz w:val="20"/>
          <w:szCs w:val="20"/>
        </w:rPr>
      </w:pPr>
    </w:p>
    <w:p w14:paraId="3D4DC284" w14:textId="77777777" w:rsidR="00686D4B" w:rsidRPr="00FD016C" w:rsidRDefault="00686D4B" w:rsidP="005144E2">
      <w:pPr>
        <w:widowControl/>
        <w:rPr>
          <w:rFonts w:ascii="Arial" w:hAnsi="Arial" w:cs="Arial"/>
          <w:b/>
          <w:sz w:val="20"/>
          <w:szCs w:val="20"/>
        </w:rPr>
      </w:pPr>
    </w:p>
    <w:p w14:paraId="6B2C259B" w14:textId="77777777" w:rsidR="00686D4B" w:rsidRPr="00FD016C" w:rsidRDefault="00686D4B" w:rsidP="005144E2">
      <w:pPr>
        <w:widowControl/>
        <w:rPr>
          <w:rFonts w:ascii="Arial" w:hAnsi="Arial" w:cs="Arial"/>
          <w:b/>
          <w:sz w:val="20"/>
          <w:szCs w:val="20"/>
        </w:rPr>
      </w:pPr>
    </w:p>
    <w:p w14:paraId="17AB9B7B" w14:textId="77777777" w:rsidR="00686D4B" w:rsidRPr="00FD016C" w:rsidRDefault="00686D4B" w:rsidP="005144E2">
      <w:pPr>
        <w:widowControl/>
        <w:rPr>
          <w:rFonts w:ascii="Arial" w:hAnsi="Arial" w:cs="Arial"/>
          <w:b/>
          <w:sz w:val="20"/>
          <w:szCs w:val="20"/>
        </w:rPr>
      </w:pPr>
    </w:p>
    <w:p w14:paraId="2D786E04" w14:textId="77777777" w:rsidR="00686D4B" w:rsidRPr="00FD016C" w:rsidRDefault="00686D4B" w:rsidP="005144E2">
      <w:pPr>
        <w:widowControl/>
        <w:rPr>
          <w:rFonts w:ascii="Arial" w:hAnsi="Arial" w:cs="Arial"/>
          <w:b/>
          <w:sz w:val="20"/>
          <w:szCs w:val="20"/>
        </w:rPr>
      </w:pPr>
    </w:p>
    <w:p w14:paraId="00214901" w14:textId="77777777" w:rsidR="00686D4B" w:rsidRPr="00FD016C" w:rsidRDefault="00686D4B" w:rsidP="005144E2">
      <w:pPr>
        <w:widowControl/>
        <w:rPr>
          <w:rFonts w:ascii="Arial" w:hAnsi="Arial" w:cs="Arial"/>
          <w:b/>
          <w:sz w:val="20"/>
          <w:szCs w:val="20"/>
        </w:rPr>
      </w:pPr>
    </w:p>
    <w:p w14:paraId="17FA4BA9" w14:textId="77777777" w:rsidR="00686D4B" w:rsidRPr="00FD016C" w:rsidRDefault="00686D4B" w:rsidP="005144E2">
      <w:pPr>
        <w:widowControl/>
        <w:rPr>
          <w:rFonts w:ascii="Arial" w:hAnsi="Arial" w:cs="Arial"/>
          <w:b/>
          <w:sz w:val="20"/>
          <w:szCs w:val="20"/>
        </w:rPr>
      </w:pPr>
    </w:p>
    <w:p w14:paraId="783550E2" w14:textId="77777777" w:rsidR="00686D4B" w:rsidRPr="00FD016C" w:rsidRDefault="00686D4B" w:rsidP="005144E2">
      <w:pPr>
        <w:widowControl/>
        <w:rPr>
          <w:rFonts w:ascii="Arial" w:hAnsi="Arial" w:cs="Arial"/>
          <w:b/>
          <w:sz w:val="20"/>
          <w:szCs w:val="20"/>
        </w:rPr>
      </w:pPr>
    </w:p>
    <w:p w14:paraId="306CE90B" w14:textId="77777777" w:rsidR="00686D4B" w:rsidRPr="00FD016C" w:rsidRDefault="00686D4B" w:rsidP="005144E2">
      <w:pPr>
        <w:widowControl/>
        <w:rPr>
          <w:rFonts w:ascii="Arial" w:hAnsi="Arial" w:cs="Arial"/>
          <w:b/>
          <w:sz w:val="20"/>
          <w:szCs w:val="20"/>
        </w:rPr>
      </w:pPr>
    </w:p>
    <w:p w14:paraId="5D35091C" w14:textId="77777777" w:rsidR="00686D4B" w:rsidRPr="00FD016C" w:rsidRDefault="00686D4B" w:rsidP="005144E2">
      <w:pPr>
        <w:widowControl/>
        <w:rPr>
          <w:rFonts w:ascii="Arial" w:hAnsi="Arial" w:cs="Arial"/>
          <w:b/>
          <w:sz w:val="20"/>
          <w:szCs w:val="20"/>
        </w:rPr>
      </w:pPr>
    </w:p>
    <w:p w14:paraId="56AB6743" w14:textId="77777777" w:rsidR="00686D4B" w:rsidRPr="00FD016C" w:rsidRDefault="00686D4B" w:rsidP="005144E2">
      <w:pPr>
        <w:widowControl/>
        <w:rPr>
          <w:rFonts w:ascii="Arial" w:hAnsi="Arial" w:cs="Arial"/>
          <w:b/>
          <w:sz w:val="20"/>
          <w:szCs w:val="20"/>
        </w:rPr>
      </w:pPr>
    </w:p>
    <w:p w14:paraId="7821417E" w14:textId="2EB7FBD3" w:rsidR="003F4719" w:rsidRPr="00FD016C" w:rsidRDefault="003F4719" w:rsidP="005144E2">
      <w:pPr>
        <w:widowControl/>
        <w:rPr>
          <w:rFonts w:ascii="Verdana" w:hAnsi="Verdana" w:cs="Arial"/>
          <w:b/>
          <w:color w:val="0070C0"/>
          <w:sz w:val="26"/>
          <w:szCs w:val="26"/>
        </w:rPr>
      </w:pPr>
      <w:r w:rsidRPr="00FD016C">
        <w:rPr>
          <w:rFonts w:ascii="Verdana" w:hAnsi="Verdana" w:cs="Arial"/>
          <w:b/>
          <w:color w:val="0070C0"/>
          <w:sz w:val="26"/>
          <w:szCs w:val="26"/>
        </w:rPr>
        <w:lastRenderedPageBreak/>
        <w:t>NOTA 14 – IMOBILIZADO</w:t>
      </w:r>
      <w:r w:rsidR="00E04856" w:rsidRPr="00FD016C">
        <w:rPr>
          <w:rFonts w:ascii="Verdana" w:hAnsi="Verdana" w:cs="Arial"/>
          <w:b/>
          <w:color w:val="0070C0"/>
          <w:sz w:val="26"/>
          <w:szCs w:val="26"/>
        </w:rPr>
        <w:t xml:space="preserve"> </w:t>
      </w:r>
    </w:p>
    <w:p w14:paraId="5A48A934" w14:textId="77777777" w:rsidR="00D403E2" w:rsidRPr="00FD016C" w:rsidRDefault="00D403E2" w:rsidP="005144E2">
      <w:pPr>
        <w:jc w:val="both"/>
        <w:rPr>
          <w:rFonts w:ascii="Verdana" w:hAnsi="Verdana" w:cs="Arial"/>
          <w:sz w:val="20"/>
          <w:szCs w:val="20"/>
        </w:rPr>
      </w:pPr>
    </w:p>
    <w:p w14:paraId="3E37FA52" w14:textId="77777777" w:rsidR="009D4087" w:rsidRPr="00FD016C" w:rsidRDefault="009D4087" w:rsidP="005144E2">
      <w:pPr>
        <w:jc w:val="both"/>
        <w:rPr>
          <w:rFonts w:ascii="Verdana" w:hAnsi="Verdana" w:cs="Arial"/>
          <w:sz w:val="20"/>
          <w:szCs w:val="20"/>
        </w:rPr>
      </w:pPr>
    </w:p>
    <w:p w14:paraId="77E6F873"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Os bens e instalações utilizados na produção são vinculados ao serviço público de energia elétrica, não podendo ser retirados, alienados, cedidos ou dados em garantia hipotecária, sem a prévia e expressa autorização do Órgão Regulador, segundo a legislação federal vigente. </w:t>
      </w:r>
    </w:p>
    <w:p w14:paraId="217C82C9" w14:textId="77777777" w:rsidR="00A55FE0" w:rsidRPr="00FD016C" w:rsidRDefault="00A55FE0" w:rsidP="005144E2">
      <w:pPr>
        <w:widowControl/>
        <w:jc w:val="both"/>
        <w:rPr>
          <w:rFonts w:ascii="Verdana" w:hAnsi="Verdana" w:cs="Arial"/>
          <w:sz w:val="20"/>
          <w:szCs w:val="20"/>
        </w:rPr>
      </w:pPr>
    </w:p>
    <w:p w14:paraId="46879165" w14:textId="3D1C888F" w:rsidR="00A55FE0" w:rsidRPr="00FD016C" w:rsidRDefault="00A55FE0" w:rsidP="00A55FE0">
      <w:pPr>
        <w:widowControl/>
        <w:jc w:val="both"/>
        <w:rPr>
          <w:rFonts w:ascii="Verdana" w:hAnsi="Verdana" w:cs="Arial"/>
          <w:sz w:val="20"/>
          <w:szCs w:val="20"/>
        </w:rPr>
      </w:pPr>
      <w:r w:rsidRPr="00FD016C">
        <w:rPr>
          <w:rFonts w:ascii="Verdana" w:hAnsi="Verdana" w:cs="Arial"/>
          <w:sz w:val="20"/>
          <w:szCs w:val="20"/>
        </w:rPr>
        <w:t xml:space="preserve">Os imobilizados em serviço são depreciados a taxa </w:t>
      </w:r>
      <w:r w:rsidR="009305C5" w:rsidRPr="00FD016C">
        <w:rPr>
          <w:rFonts w:ascii="Verdana" w:hAnsi="Verdana" w:cs="Arial"/>
          <w:sz w:val="20"/>
          <w:szCs w:val="20"/>
        </w:rPr>
        <w:t xml:space="preserve">média </w:t>
      </w:r>
      <w:r w:rsidRPr="00FD016C">
        <w:rPr>
          <w:rFonts w:ascii="Verdana" w:hAnsi="Verdana" w:cs="Arial"/>
          <w:sz w:val="20"/>
          <w:szCs w:val="20"/>
        </w:rPr>
        <w:t>anual de 3,26%.</w:t>
      </w:r>
    </w:p>
    <w:p w14:paraId="4F4CF5C7" w14:textId="77777777" w:rsidR="0056570E" w:rsidRPr="00FD016C" w:rsidRDefault="0056570E" w:rsidP="005144E2">
      <w:pPr>
        <w:widowControl/>
        <w:jc w:val="both"/>
        <w:rPr>
          <w:rFonts w:ascii="Verdana" w:hAnsi="Verdana" w:cs="Arial"/>
          <w:sz w:val="20"/>
          <w:szCs w:val="20"/>
        </w:rPr>
      </w:pPr>
    </w:p>
    <w:p w14:paraId="3CF55E1A" w14:textId="77777777" w:rsidR="0056570E" w:rsidRPr="00FD016C" w:rsidRDefault="0056570E" w:rsidP="005144E2">
      <w:pPr>
        <w:widowControl/>
        <w:jc w:val="both"/>
        <w:rPr>
          <w:rFonts w:ascii="Verdana" w:hAnsi="Verdana" w:cs="Arial"/>
          <w:sz w:val="20"/>
          <w:szCs w:val="20"/>
        </w:rPr>
      </w:pPr>
    </w:p>
    <w:p w14:paraId="23B6D20D" w14:textId="45EA5CC9" w:rsidR="001A06F6" w:rsidRPr="00FD016C" w:rsidRDefault="003F4719" w:rsidP="00BD17CA">
      <w:pPr>
        <w:pStyle w:val="PargrafodaLista"/>
        <w:widowControl/>
        <w:numPr>
          <w:ilvl w:val="0"/>
          <w:numId w:val="40"/>
        </w:numPr>
        <w:ind w:left="426" w:hanging="426"/>
        <w:jc w:val="both"/>
        <w:rPr>
          <w:rFonts w:ascii="Verdana" w:hAnsi="Verdana" w:cs="Arial"/>
          <w:b/>
          <w:color w:val="0070C0"/>
        </w:rPr>
      </w:pPr>
      <w:r w:rsidRPr="00FD016C">
        <w:rPr>
          <w:rFonts w:ascii="Verdana" w:hAnsi="Verdana" w:cs="Arial"/>
          <w:b/>
          <w:color w:val="0070C0"/>
        </w:rPr>
        <w:t>Composição do saldo do imobilizado</w:t>
      </w:r>
    </w:p>
    <w:p w14:paraId="21060FCC" w14:textId="77777777" w:rsidR="00D633EE" w:rsidRPr="00FD016C" w:rsidRDefault="00D633EE" w:rsidP="00D633EE">
      <w:pPr>
        <w:widowControl/>
        <w:jc w:val="both"/>
        <w:rPr>
          <w:rFonts w:ascii="Verdana" w:hAnsi="Verdana" w:cs="Arial"/>
          <w:b/>
          <w:color w:val="0070C0"/>
          <w:sz w:val="20"/>
          <w:szCs w:val="20"/>
        </w:rPr>
      </w:pPr>
    </w:p>
    <w:p w14:paraId="37A5149D" w14:textId="0D49F403" w:rsidR="001A06F6" w:rsidRPr="00FD016C" w:rsidRDefault="00007EC7" w:rsidP="001A06F6">
      <w:pPr>
        <w:widowControl/>
        <w:jc w:val="both"/>
        <w:rPr>
          <w:rFonts w:ascii="Verdana" w:hAnsi="Verdana" w:cs="Arial"/>
          <w:b/>
          <w:sz w:val="20"/>
          <w:szCs w:val="20"/>
        </w:rPr>
      </w:pPr>
      <w:r w:rsidRPr="00FD016C">
        <w:rPr>
          <w:noProof/>
        </w:rPr>
        <w:drawing>
          <wp:inline distT="0" distB="0" distL="0" distR="0" wp14:anchorId="1D2E22A0" wp14:editId="637CD19C">
            <wp:extent cx="6073140" cy="5879600"/>
            <wp:effectExtent l="0" t="0" r="3810" b="698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3140" cy="5879600"/>
                    </a:xfrm>
                    <a:prstGeom prst="rect">
                      <a:avLst/>
                    </a:prstGeom>
                    <a:noFill/>
                    <a:ln>
                      <a:noFill/>
                    </a:ln>
                  </pic:spPr>
                </pic:pic>
              </a:graphicData>
            </a:graphic>
          </wp:inline>
        </w:drawing>
      </w:r>
    </w:p>
    <w:p w14:paraId="6F39C0C9" w14:textId="6A5F3F96" w:rsidR="00626494" w:rsidRPr="00FD016C" w:rsidRDefault="00626494" w:rsidP="001A06F6">
      <w:pPr>
        <w:widowControl/>
        <w:jc w:val="both"/>
        <w:rPr>
          <w:rFonts w:ascii="Verdana" w:hAnsi="Verdana" w:cs="Arial"/>
          <w:b/>
          <w:sz w:val="20"/>
          <w:szCs w:val="20"/>
        </w:rPr>
      </w:pPr>
    </w:p>
    <w:p w14:paraId="5314A759" w14:textId="5BB1D14A" w:rsidR="00B90A6E" w:rsidRPr="00FD016C" w:rsidRDefault="00B90A6E" w:rsidP="001A06F6">
      <w:pPr>
        <w:widowControl/>
        <w:jc w:val="both"/>
        <w:rPr>
          <w:rFonts w:ascii="Verdana" w:hAnsi="Verdana" w:cs="Arial"/>
          <w:b/>
          <w:sz w:val="20"/>
          <w:szCs w:val="20"/>
        </w:rPr>
      </w:pPr>
    </w:p>
    <w:p w14:paraId="68F70723" w14:textId="6E1AB693" w:rsidR="003F4719" w:rsidRPr="00FD016C" w:rsidRDefault="00686D4B" w:rsidP="00BD17CA">
      <w:pPr>
        <w:pStyle w:val="PargrafodaLista"/>
        <w:widowControl/>
        <w:numPr>
          <w:ilvl w:val="0"/>
          <w:numId w:val="16"/>
        </w:numPr>
        <w:ind w:left="426" w:hanging="426"/>
        <w:jc w:val="both"/>
        <w:outlineLvl w:val="0"/>
        <w:rPr>
          <w:rFonts w:ascii="Verdana" w:hAnsi="Verdana" w:cs="Arial"/>
          <w:b/>
          <w:color w:val="0070C0"/>
        </w:rPr>
      </w:pPr>
      <w:r w:rsidRPr="00FD016C">
        <w:rPr>
          <w:rFonts w:ascii="Verdana" w:hAnsi="Verdana" w:cs="Arial"/>
          <w:b/>
          <w:color w:val="0070C0"/>
        </w:rPr>
        <w:lastRenderedPageBreak/>
        <w:t>Mo</w:t>
      </w:r>
      <w:r w:rsidR="003F4719" w:rsidRPr="00FD016C">
        <w:rPr>
          <w:rFonts w:ascii="Verdana" w:hAnsi="Verdana" w:cs="Arial"/>
          <w:b/>
          <w:color w:val="0070C0"/>
        </w:rPr>
        <w:t>vimentação do imobilizado</w:t>
      </w:r>
    </w:p>
    <w:p w14:paraId="0F81E5AF" w14:textId="77777777" w:rsidR="009F2627" w:rsidRPr="00FD016C" w:rsidRDefault="009F2627" w:rsidP="005144E2">
      <w:pPr>
        <w:widowControl/>
        <w:jc w:val="both"/>
        <w:outlineLvl w:val="0"/>
        <w:rPr>
          <w:rFonts w:ascii="Verdana" w:hAnsi="Verdana" w:cs="Arial"/>
          <w:b/>
          <w:sz w:val="20"/>
          <w:szCs w:val="20"/>
        </w:rPr>
      </w:pPr>
    </w:p>
    <w:p w14:paraId="6EB2A4DD" w14:textId="62F5B1A0" w:rsidR="005560F4" w:rsidRDefault="007667E1" w:rsidP="005144E2">
      <w:pPr>
        <w:widowControl/>
        <w:jc w:val="both"/>
        <w:outlineLvl w:val="0"/>
        <w:rPr>
          <w:rFonts w:ascii="Verdana" w:hAnsi="Verdana" w:cs="Arial"/>
          <w:b/>
          <w:sz w:val="20"/>
          <w:szCs w:val="20"/>
        </w:rPr>
      </w:pPr>
      <w:r w:rsidRPr="007667E1">
        <w:rPr>
          <w:noProof/>
        </w:rPr>
        <w:drawing>
          <wp:inline distT="0" distB="0" distL="0" distR="0" wp14:anchorId="0E9BDACB" wp14:editId="1E2B2E5D">
            <wp:extent cx="6073140" cy="2408569"/>
            <wp:effectExtent l="0" t="0" r="3810" b="0"/>
            <wp:docPr id="62" name="Image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3140" cy="2408569"/>
                    </a:xfrm>
                    <a:prstGeom prst="rect">
                      <a:avLst/>
                    </a:prstGeom>
                    <a:noFill/>
                    <a:ln>
                      <a:noFill/>
                    </a:ln>
                  </pic:spPr>
                </pic:pic>
              </a:graphicData>
            </a:graphic>
          </wp:inline>
        </w:drawing>
      </w:r>
    </w:p>
    <w:p w14:paraId="2CA7B02C" w14:textId="77777777" w:rsidR="007667E1" w:rsidRPr="00FD016C" w:rsidRDefault="007667E1" w:rsidP="005144E2">
      <w:pPr>
        <w:widowControl/>
        <w:jc w:val="both"/>
        <w:outlineLvl w:val="0"/>
        <w:rPr>
          <w:rFonts w:ascii="Verdana" w:hAnsi="Verdana" w:cs="Arial"/>
          <w:b/>
          <w:sz w:val="20"/>
          <w:szCs w:val="20"/>
        </w:rPr>
      </w:pPr>
    </w:p>
    <w:p w14:paraId="21792757" w14:textId="3EE379C0" w:rsidR="006624DE" w:rsidRDefault="006624DE" w:rsidP="005144E2">
      <w:pPr>
        <w:jc w:val="both"/>
        <w:rPr>
          <w:rFonts w:ascii="Verdana" w:hAnsi="Verdana" w:cs="Arial"/>
          <w:b/>
          <w:sz w:val="20"/>
          <w:szCs w:val="20"/>
        </w:rPr>
      </w:pPr>
    </w:p>
    <w:p w14:paraId="37C29EA1" w14:textId="671A7285" w:rsidR="00FC2786" w:rsidRPr="00FD016C" w:rsidRDefault="00FC2786" w:rsidP="005144E2">
      <w:pPr>
        <w:jc w:val="both"/>
        <w:rPr>
          <w:rFonts w:ascii="Verdana" w:hAnsi="Verdana" w:cs="Arial"/>
          <w:b/>
          <w:sz w:val="20"/>
          <w:szCs w:val="20"/>
        </w:rPr>
      </w:pPr>
      <w:r w:rsidRPr="00FC2786">
        <w:rPr>
          <w:noProof/>
        </w:rPr>
        <w:drawing>
          <wp:inline distT="0" distB="0" distL="0" distR="0" wp14:anchorId="120E291C" wp14:editId="64B86D46">
            <wp:extent cx="6073140" cy="2285431"/>
            <wp:effectExtent l="0" t="0" r="3810" b="635"/>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3140" cy="2285431"/>
                    </a:xfrm>
                    <a:prstGeom prst="rect">
                      <a:avLst/>
                    </a:prstGeom>
                    <a:noFill/>
                    <a:ln>
                      <a:noFill/>
                    </a:ln>
                  </pic:spPr>
                </pic:pic>
              </a:graphicData>
            </a:graphic>
          </wp:inline>
        </w:drawing>
      </w:r>
    </w:p>
    <w:p w14:paraId="283AB8A7" w14:textId="77777777" w:rsidR="005B268A" w:rsidRDefault="005B268A" w:rsidP="005144E2">
      <w:pPr>
        <w:jc w:val="both"/>
        <w:rPr>
          <w:rFonts w:ascii="Verdana" w:hAnsi="Verdana" w:cs="Arial"/>
          <w:b/>
          <w:sz w:val="20"/>
          <w:szCs w:val="20"/>
        </w:rPr>
      </w:pPr>
    </w:p>
    <w:p w14:paraId="69A4EB56" w14:textId="77777777" w:rsidR="003653AA" w:rsidRPr="00FD016C" w:rsidRDefault="003653AA" w:rsidP="005144E2">
      <w:pPr>
        <w:jc w:val="both"/>
        <w:rPr>
          <w:rFonts w:ascii="Verdana" w:hAnsi="Verdana" w:cs="Arial"/>
          <w:b/>
          <w:sz w:val="20"/>
          <w:szCs w:val="20"/>
        </w:rPr>
      </w:pPr>
    </w:p>
    <w:p w14:paraId="3E0D31BD" w14:textId="0439337E" w:rsidR="003F4719" w:rsidRPr="00FD016C" w:rsidRDefault="003F4719" w:rsidP="005144E2">
      <w:pPr>
        <w:jc w:val="both"/>
        <w:rPr>
          <w:rFonts w:ascii="Verdana" w:hAnsi="Verdana" w:cs="Arial"/>
          <w:b/>
          <w:color w:val="0070C0"/>
        </w:rPr>
      </w:pPr>
      <w:r w:rsidRPr="00FD016C">
        <w:rPr>
          <w:rFonts w:ascii="Verdana" w:hAnsi="Verdana" w:cs="Arial"/>
          <w:b/>
          <w:color w:val="0070C0"/>
        </w:rPr>
        <w:t>c) Valor recuperável dos ativos de longo prazo</w:t>
      </w:r>
    </w:p>
    <w:p w14:paraId="1B3A03EB" w14:textId="77777777" w:rsidR="003F4719" w:rsidRPr="00FD016C" w:rsidRDefault="003F4719" w:rsidP="005144E2">
      <w:pPr>
        <w:jc w:val="both"/>
        <w:rPr>
          <w:rFonts w:ascii="Verdana" w:hAnsi="Verdana" w:cs="Arial"/>
          <w:sz w:val="20"/>
          <w:szCs w:val="20"/>
        </w:rPr>
      </w:pPr>
    </w:p>
    <w:p w14:paraId="1BB50333" w14:textId="21FDA01E" w:rsidR="003F4719" w:rsidRPr="00FD016C" w:rsidRDefault="003F4719" w:rsidP="005144E2">
      <w:pPr>
        <w:jc w:val="both"/>
        <w:rPr>
          <w:rFonts w:ascii="Verdana" w:hAnsi="Verdana" w:cs="Arial"/>
          <w:sz w:val="20"/>
          <w:szCs w:val="20"/>
        </w:rPr>
      </w:pPr>
      <w:r w:rsidRPr="00FD016C">
        <w:rPr>
          <w:rFonts w:ascii="Verdana" w:hAnsi="Verdana" w:cs="Arial"/>
          <w:sz w:val="20"/>
          <w:szCs w:val="20"/>
        </w:rPr>
        <w:t xml:space="preserve">A Companhia estimou o valor recuperável de seus ativos de longo prazo </w:t>
      </w:r>
      <w:r w:rsidR="001A4E76" w:rsidRPr="00FD016C">
        <w:rPr>
          <w:rFonts w:ascii="Verdana" w:hAnsi="Verdana" w:cs="Arial"/>
          <w:sz w:val="20"/>
          <w:szCs w:val="20"/>
        </w:rPr>
        <w:t>em 31 de dezembro de 20</w:t>
      </w:r>
      <w:r w:rsidR="000A75C8" w:rsidRPr="00FD016C">
        <w:rPr>
          <w:rFonts w:ascii="Verdana" w:hAnsi="Verdana" w:cs="Arial"/>
          <w:sz w:val="20"/>
          <w:szCs w:val="20"/>
        </w:rPr>
        <w:t>20</w:t>
      </w:r>
      <w:r w:rsidR="001A4E76" w:rsidRPr="00FD016C">
        <w:rPr>
          <w:rFonts w:ascii="Verdana" w:hAnsi="Verdana" w:cs="Arial"/>
          <w:sz w:val="20"/>
          <w:szCs w:val="20"/>
        </w:rPr>
        <w:t xml:space="preserve"> </w:t>
      </w:r>
      <w:r w:rsidRPr="00FD016C">
        <w:rPr>
          <w:rFonts w:ascii="Verdana" w:hAnsi="Verdana" w:cs="Arial"/>
          <w:sz w:val="20"/>
          <w:szCs w:val="20"/>
        </w:rPr>
        <w:t>com base em valor em uso, tendo em vista não haver mercado ativo para a infraestrutura</w:t>
      </w:r>
      <w:r w:rsidR="003A4EF3" w:rsidRPr="00FD016C">
        <w:rPr>
          <w:rFonts w:ascii="Verdana" w:hAnsi="Verdana" w:cs="Arial"/>
          <w:sz w:val="20"/>
          <w:szCs w:val="20"/>
        </w:rPr>
        <w:t>.</w:t>
      </w:r>
      <w:r w:rsidRPr="00FD016C">
        <w:rPr>
          <w:rFonts w:ascii="Verdana" w:hAnsi="Verdana" w:cs="Arial"/>
          <w:sz w:val="20"/>
          <w:szCs w:val="20"/>
        </w:rPr>
        <w:t xml:space="preserve"> O valor em uso é avaliado com base no valor presente do fluxo de caixa futuro estimado.</w:t>
      </w:r>
    </w:p>
    <w:p w14:paraId="0A48712E" w14:textId="77777777" w:rsidR="003F4719" w:rsidRPr="00FD016C" w:rsidRDefault="003F4719" w:rsidP="005144E2">
      <w:pPr>
        <w:jc w:val="both"/>
        <w:rPr>
          <w:rFonts w:ascii="Verdana" w:hAnsi="Verdana" w:cs="Arial"/>
          <w:sz w:val="20"/>
          <w:szCs w:val="20"/>
        </w:rPr>
      </w:pPr>
    </w:p>
    <w:p w14:paraId="0F1ADC43" w14:textId="77777777" w:rsidR="0087405D" w:rsidRPr="00FD016C" w:rsidRDefault="003F4719" w:rsidP="00B30978">
      <w:pPr>
        <w:jc w:val="both"/>
        <w:rPr>
          <w:rFonts w:ascii="Verdana" w:hAnsi="Verdana" w:cs="Arial"/>
          <w:sz w:val="20"/>
          <w:szCs w:val="20"/>
        </w:rPr>
      </w:pPr>
      <w:r w:rsidRPr="00FD016C">
        <w:rPr>
          <w:rFonts w:ascii="Verdana" w:hAnsi="Verdana" w:cs="Arial"/>
          <w:sz w:val="20"/>
          <w:szCs w:val="20"/>
        </w:rPr>
        <w:t xml:space="preserve">Os valores alocados às premissas representam a avaliação da </w:t>
      </w:r>
      <w:r w:rsidR="000E578B" w:rsidRPr="00FD016C">
        <w:rPr>
          <w:rFonts w:ascii="Verdana" w:hAnsi="Verdana" w:cs="Arial"/>
          <w:sz w:val="20"/>
          <w:szCs w:val="20"/>
        </w:rPr>
        <w:t>a</w:t>
      </w:r>
      <w:r w:rsidRPr="00FD016C">
        <w:rPr>
          <w:rFonts w:ascii="Verdana" w:hAnsi="Verdana" w:cs="Arial"/>
          <w:sz w:val="20"/>
          <w:szCs w:val="20"/>
        </w:rPr>
        <w:t>dministração da Companhia sobre as tendências futuras do setor elétrico e</w:t>
      </w:r>
      <w:r w:rsidR="000E578B" w:rsidRPr="00FD016C">
        <w:rPr>
          <w:rFonts w:ascii="Verdana" w:hAnsi="Verdana" w:cs="Arial"/>
          <w:sz w:val="20"/>
          <w:szCs w:val="20"/>
        </w:rPr>
        <w:t xml:space="preserve"> são baseadas</w:t>
      </w:r>
      <w:r w:rsidRPr="00FD016C">
        <w:rPr>
          <w:rFonts w:ascii="Verdana" w:hAnsi="Verdana" w:cs="Arial"/>
          <w:sz w:val="20"/>
          <w:szCs w:val="20"/>
        </w:rPr>
        <w:t xml:space="preserve"> tanto em fontes externas de informações</w:t>
      </w:r>
      <w:r w:rsidR="000E578B" w:rsidRPr="00FD016C">
        <w:rPr>
          <w:rFonts w:ascii="Verdana" w:hAnsi="Verdana" w:cs="Arial"/>
          <w:sz w:val="20"/>
          <w:szCs w:val="20"/>
        </w:rPr>
        <w:t>,</w:t>
      </w:r>
      <w:r w:rsidRPr="00FD016C">
        <w:rPr>
          <w:rFonts w:ascii="Verdana" w:hAnsi="Verdana" w:cs="Arial"/>
          <w:sz w:val="20"/>
          <w:szCs w:val="20"/>
        </w:rPr>
        <w:t xml:space="preserve"> como</w:t>
      </w:r>
      <w:r w:rsidR="000E578B" w:rsidRPr="00FD016C">
        <w:rPr>
          <w:rFonts w:ascii="Verdana" w:hAnsi="Verdana" w:cs="Arial"/>
          <w:sz w:val="20"/>
          <w:szCs w:val="20"/>
        </w:rPr>
        <w:t xml:space="preserve"> também</w:t>
      </w:r>
      <w:r w:rsidRPr="00FD016C">
        <w:rPr>
          <w:rFonts w:ascii="Verdana" w:hAnsi="Verdana" w:cs="Arial"/>
          <w:sz w:val="20"/>
          <w:szCs w:val="20"/>
        </w:rPr>
        <w:t xml:space="preserve"> dados históricos. O fluxo de caixa foi projetado com base no resultado operacional e projeções da Companhia até o término da concessão. </w:t>
      </w:r>
    </w:p>
    <w:p w14:paraId="1539325E" w14:textId="77777777" w:rsidR="0087405D" w:rsidRPr="00FD016C" w:rsidRDefault="0087405D" w:rsidP="00B30978">
      <w:pPr>
        <w:jc w:val="both"/>
        <w:rPr>
          <w:rFonts w:ascii="Verdana" w:hAnsi="Verdana" w:cs="Arial"/>
          <w:sz w:val="20"/>
          <w:szCs w:val="20"/>
        </w:rPr>
      </w:pPr>
    </w:p>
    <w:p w14:paraId="182AA74A" w14:textId="2E2EE5CB" w:rsidR="003F4719" w:rsidRPr="00FD016C" w:rsidRDefault="00B30978" w:rsidP="00B30978">
      <w:pPr>
        <w:jc w:val="both"/>
        <w:rPr>
          <w:rFonts w:ascii="Verdana" w:hAnsi="Verdana" w:cs="Arial"/>
          <w:color w:val="000000" w:themeColor="text1"/>
          <w:sz w:val="20"/>
          <w:szCs w:val="20"/>
        </w:rPr>
      </w:pPr>
      <w:r w:rsidRPr="00FD016C">
        <w:rPr>
          <w:rFonts w:ascii="Verdana" w:hAnsi="Verdana" w:cs="Arial"/>
          <w:color w:val="000000" w:themeColor="text1"/>
          <w:sz w:val="20"/>
          <w:szCs w:val="20"/>
        </w:rPr>
        <w:t>A Companhia</w:t>
      </w:r>
      <w:r w:rsidR="0087405D" w:rsidRPr="00FD016C">
        <w:rPr>
          <w:rFonts w:ascii="Verdana" w:hAnsi="Verdana" w:cs="Arial"/>
          <w:color w:val="000000" w:themeColor="text1"/>
          <w:sz w:val="20"/>
          <w:szCs w:val="20"/>
        </w:rPr>
        <w:t xml:space="preserve"> não identificou indicadores de </w:t>
      </w:r>
      <w:proofErr w:type="spellStart"/>
      <w:r w:rsidR="0087405D" w:rsidRPr="00FD016C">
        <w:rPr>
          <w:rFonts w:ascii="Verdana" w:hAnsi="Verdana" w:cs="Arial"/>
          <w:i/>
          <w:sz w:val="20"/>
          <w:szCs w:val="20"/>
        </w:rPr>
        <w:t>impairment</w:t>
      </w:r>
      <w:proofErr w:type="spellEnd"/>
      <w:r w:rsidR="0087405D" w:rsidRPr="00FD016C">
        <w:rPr>
          <w:rFonts w:ascii="Verdana" w:hAnsi="Verdana" w:cs="Arial"/>
          <w:color w:val="000000" w:themeColor="text1"/>
          <w:sz w:val="20"/>
          <w:szCs w:val="20"/>
        </w:rPr>
        <w:t xml:space="preserve"> no </w:t>
      </w:r>
      <w:r w:rsidR="009723CE" w:rsidRPr="00FD016C">
        <w:rPr>
          <w:rFonts w:ascii="Verdana" w:hAnsi="Verdana" w:cs="Arial"/>
          <w:color w:val="000000" w:themeColor="text1"/>
          <w:sz w:val="20"/>
          <w:szCs w:val="20"/>
        </w:rPr>
        <w:t>terceiro</w:t>
      </w:r>
      <w:r w:rsidR="0087405D" w:rsidRPr="00FD016C">
        <w:rPr>
          <w:rFonts w:ascii="Verdana" w:hAnsi="Verdana" w:cs="Arial"/>
          <w:color w:val="000000" w:themeColor="text1"/>
          <w:sz w:val="20"/>
          <w:szCs w:val="20"/>
        </w:rPr>
        <w:t xml:space="preserve"> trimestre de 2021.</w:t>
      </w:r>
    </w:p>
    <w:p w14:paraId="5B2E8450" w14:textId="77777777" w:rsidR="009B280B" w:rsidRPr="00FD016C" w:rsidRDefault="009B280B" w:rsidP="00B30978">
      <w:pPr>
        <w:jc w:val="both"/>
        <w:rPr>
          <w:rFonts w:ascii="Verdana" w:hAnsi="Verdana"/>
          <w:sz w:val="20"/>
          <w:szCs w:val="20"/>
        </w:rPr>
      </w:pPr>
    </w:p>
    <w:p w14:paraId="09C84481" w14:textId="14E6BF96" w:rsidR="00B87BB6" w:rsidRPr="00FD016C" w:rsidRDefault="003F4719" w:rsidP="005144E2">
      <w:pPr>
        <w:jc w:val="both"/>
        <w:rPr>
          <w:rFonts w:ascii="Verdana" w:hAnsi="Verdana" w:cs="Arial"/>
          <w:sz w:val="20"/>
          <w:szCs w:val="20"/>
        </w:rPr>
      </w:pPr>
      <w:r w:rsidRPr="00FD016C">
        <w:rPr>
          <w:rFonts w:ascii="Verdana" w:hAnsi="Verdana" w:cs="Arial"/>
          <w:b/>
          <w:sz w:val="20"/>
          <w:szCs w:val="20"/>
        </w:rPr>
        <w:t>c.1)</w:t>
      </w:r>
      <w:r w:rsidRPr="00FD016C">
        <w:rPr>
          <w:rFonts w:ascii="Verdana" w:hAnsi="Verdana" w:cs="Arial"/>
          <w:sz w:val="20"/>
          <w:szCs w:val="20"/>
        </w:rPr>
        <w:t xml:space="preserve"> Crescimento orgânico compatível com os dados históricos</w:t>
      </w:r>
      <w:r w:rsidR="002D4B30" w:rsidRPr="00FD016C">
        <w:rPr>
          <w:rFonts w:ascii="Verdana" w:hAnsi="Verdana" w:cs="Arial"/>
          <w:sz w:val="20"/>
          <w:szCs w:val="20"/>
        </w:rPr>
        <w:t xml:space="preserve"> e reajustes tarifários contratuais </w:t>
      </w:r>
      <w:r w:rsidR="002D4B30" w:rsidRPr="00FD016C">
        <w:rPr>
          <w:rFonts w:ascii="Verdana" w:hAnsi="Verdana" w:cs="Arial"/>
          <w:sz w:val="20"/>
          <w:szCs w:val="20"/>
        </w:rPr>
        <w:lastRenderedPageBreak/>
        <w:t>de inflação</w:t>
      </w:r>
      <w:r w:rsidR="00600A36" w:rsidRPr="00FD016C">
        <w:rPr>
          <w:rFonts w:ascii="Verdana" w:hAnsi="Verdana" w:cs="Arial"/>
          <w:sz w:val="20"/>
          <w:szCs w:val="20"/>
        </w:rPr>
        <w:t xml:space="preserve">. </w:t>
      </w:r>
    </w:p>
    <w:p w14:paraId="735093E3" w14:textId="77777777" w:rsidR="00642077" w:rsidRDefault="00642077" w:rsidP="005144E2">
      <w:pPr>
        <w:jc w:val="both"/>
        <w:rPr>
          <w:rFonts w:ascii="Verdana" w:hAnsi="Verdana" w:cs="Arial"/>
          <w:sz w:val="20"/>
          <w:szCs w:val="20"/>
        </w:rPr>
      </w:pPr>
    </w:p>
    <w:p w14:paraId="76E52C56" w14:textId="77777777" w:rsidR="003653AA" w:rsidRPr="00FD016C" w:rsidRDefault="003653AA" w:rsidP="005144E2">
      <w:pPr>
        <w:jc w:val="both"/>
        <w:rPr>
          <w:rFonts w:ascii="Verdana" w:hAnsi="Verdana" w:cs="Arial"/>
          <w:sz w:val="20"/>
          <w:szCs w:val="20"/>
        </w:rPr>
      </w:pPr>
    </w:p>
    <w:p w14:paraId="36692E69" w14:textId="77777777" w:rsidR="00B87BB6" w:rsidRPr="00FD016C" w:rsidRDefault="00B87BB6" w:rsidP="005144E2">
      <w:pPr>
        <w:jc w:val="both"/>
        <w:rPr>
          <w:rFonts w:ascii="Verdana" w:hAnsi="Verdana" w:cs="Arial"/>
          <w:sz w:val="20"/>
          <w:szCs w:val="20"/>
        </w:rPr>
      </w:pPr>
      <w:r w:rsidRPr="00FD016C">
        <w:rPr>
          <w:rFonts w:ascii="Verdana" w:hAnsi="Verdana" w:cs="Arial"/>
          <w:b/>
          <w:sz w:val="20"/>
          <w:szCs w:val="20"/>
        </w:rPr>
        <w:t xml:space="preserve">c.2) </w:t>
      </w:r>
      <w:r w:rsidRPr="00FD016C">
        <w:rPr>
          <w:rFonts w:ascii="Verdana" w:hAnsi="Verdana" w:cs="Arial"/>
          <w:sz w:val="20"/>
          <w:szCs w:val="20"/>
        </w:rPr>
        <w:t>Taxa de desconto</w:t>
      </w:r>
    </w:p>
    <w:p w14:paraId="7C263401" w14:textId="77777777" w:rsidR="00B87BB6" w:rsidRPr="00FD016C" w:rsidRDefault="00B87BB6" w:rsidP="00B55A89">
      <w:pPr>
        <w:jc w:val="both"/>
        <w:rPr>
          <w:rFonts w:ascii="Verdana" w:hAnsi="Verdana" w:cs="Arial"/>
          <w:sz w:val="20"/>
          <w:szCs w:val="20"/>
        </w:rPr>
      </w:pPr>
    </w:p>
    <w:p w14:paraId="60A5FD9A" w14:textId="3EB9E856" w:rsidR="000F16C5" w:rsidRPr="00FD016C" w:rsidRDefault="00B93159" w:rsidP="00B55A89">
      <w:pPr>
        <w:widowControl/>
        <w:autoSpaceDE w:val="0"/>
        <w:autoSpaceDN w:val="0"/>
        <w:adjustRightInd w:val="0"/>
        <w:spacing w:line="240" w:lineRule="auto"/>
        <w:jc w:val="both"/>
        <w:rPr>
          <w:rFonts w:ascii="Verdana" w:hAnsi="Verdana" w:cs="Arial"/>
          <w:sz w:val="20"/>
          <w:szCs w:val="20"/>
        </w:rPr>
      </w:pPr>
      <w:r>
        <w:rPr>
          <w:rFonts w:ascii="Verdana" w:hAnsi="Verdana" w:cs="Arial"/>
          <w:sz w:val="20"/>
          <w:szCs w:val="20"/>
        </w:rPr>
        <w:t>T</w:t>
      </w:r>
      <w:r w:rsidR="000F16C5" w:rsidRPr="00FD016C">
        <w:rPr>
          <w:rFonts w:ascii="Verdana" w:hAnsi="Verdana" w:cs="Arial"/>
          <w:sz w:val="20"/>
          <w:szCs w:val="20"/>
        </w:rPr>
        <w:t>axa de desconto (</w:t>
      </w:r>
      <w:r w:rsidR="00EF1747" w:rsidRPr="00FD016C">
        <w:rPr>
          <w:rFonts w:ascii="Verdana" w:hAnsi="Verdana" w:cs="Arial"/>
          <w:sz w:val="20"/>
          <w:szCs w:val="20"/>
        </w:rPr>
        <w:t>antes d</w:t>
      </w:r>
      <w:r w:rsidR="000F16C5" w:rsidRPr="00FD016C">
        <w:rPr>
          <w:rFonts w:ascii="Verdana" w:hAnsi="Verdana" w:cs="Arial"/>
          <w:sz w:val="20"/>
          <w:szCs w:val="20"/>
        </w:rPr>
        <w:t xml:space="preserve">os impostos) para as Usinas Angra 1 e 2 - foi utilizada a taxa específica para o segmento de geração de </w:t>
      </w:r>
      <w:r w:rsidR="0092092C" w:rsidRPr="00FD016C">
        <w:rPr>
          <w:rFonts w:ascii="Verdana" w:hAnsi="Verdana" w:cs="Arial"/>
          <w:sz w:val="20"/>
          <w:szCs w:val="20"/>
        </w:rPr>
        <w:t>6,11</w:t>
      </w:r>
      <w:r w:rsidR="000F16C5" w:rsidRPr="00FD016C">
        <w:rPr>
          <w:rFonts w:ascii="Verdana" w:hAnsi="Verdana" w:cs="Arial"/>
          <w:sz w:val="20"/>
          <w:szCs w:val="20"/>
        </w:rPr>
        <w:t>%,</w:t>
      </w:r>
      <w:r w:rsidR="00CF7D63" w:rsidRPr="00FD016C">
        <w:rPr>
          <w:rFonts w:ascii="Verdana" w:hAnsi="Verdana" w:cs="Arial"/>
          <w:sz w:val="20"/>
          <w:szCs w:val="20"/>
        </w:rPr>
        <w:t xml:space="preserve"> </w:t>
      </w:r>
      <w:r w:rsidR="000F16C5" w:rsidRPr="00FD016C">
        <w:rPr>
          <w:rFonts w:ascii="Verdana" w:hAnsi="Verdana" w:cs="Arial"/>
          <w:sz w:val="20"/>
          <w:szCs w:val="20"/>
        </w:rPr>
        <w:t>obtida através de metodologia usualmente aplicada pelo mercado.</w:t>
      </w:r>
      <w:r w:rsidR="00B55A89" w:rsidRPr="00FD016C">
        <w:rPr>
          <w:rFonts w:ascii="Verdana" w:hAnsi="Verdana" w:cs="Arial"/>
          <w:sz w:val="20"/>
          <w:szCs w:val="20"/>
        </w:rPr>
        <w:t xml:space="preserve"> A </w:t>
      </w:r>
      <w:r w:rsidR="0015138A">
        <w:rPr>
          <w:rFonts w:ascii="Verdana" w:hAnsi="Verdana" w:cs="Arial"/>
          <w:sz w:val="20"/>
          <w:szCs w:val="20"/>
        </w:rPr>
        <w:t>C</w:t>
      </w:r>
      <w:r w:rsidR="00B55A89" w:rsidRPr="00FD016C">
        <w:rPr>
          <w:rFonts w:ascii="Verdana" w:hAnsi="Verdana" w:cs="Arial"/>
          <w:sz w:val="20"/>
          <w:szCs w:val="20"/>
        </w:rPr>
        <w:t xml:space="preserve">ompanhia efetuou o monitoramento das unidades geradoras de caixa </w:t>
      </w:r>
      <w:r w:rsidR="007746AD" w:rsidRPr="00FD016C">
        <w:rPr>
          <w:rFonts w:ascii="Verdana" w:hAnsi="Verdana" w:cs="Arial"/>
          <w:sz w:val="20"/>
          <w:szCs w:val="20"/>
        </w:rPr>
        <w:t xml:space="preserve">Angra 1 e 2 </w:t>
      </w:r>
      <w:r w:rsidR="00B55A89" w:rsidRPr="00FD016C">
        <w:rPr>
          <w:rFonts w:ascii="Verdana" w:hAnsi="Verdana" w:cs="Arial"/>
          <w:sz w:val="20"/>
          <w:szCs w:val="20"/>
        </w:rPr>
        <w:t>e não identific</w:t>
      </w:r>
      <w:r w:rsidR="00CE1CC5" w:rsidRPr="00FD016C">
        <w:rPr>
          <w:rFonts w:ascii="Verdana" w:hAnsi="Verdana" w:cs="Arial"/>
          <w:sz w:val="20"/>
          <w:szCs w:val="20"/>
        </w:rPr>
        <w:t>ou a</w:t>
      </w:r>
      <w:r w:rsidR="00B55A89" w:rsidRPr="00FD016C">
        <w:rPr>
          <w:rFonts w:ascii="Verdana" w:hAnsi="Verdana" w:cs="Arial"/>
          <w:sz w:val="20"/>
          <w:szCs w:val="20"/>
        </w:rPr>
        <w:t xml:space="preserve"> necessidade de aplicação de teste de </w:t>
      </w:r>
      <w:proofErr w:type="spellStart"/>
      <w:r w:rsidR="00B55A89" w:rsidRPr="00FD016C">
        <w:rPr>
          <w:rFonts w:ascii="Verdana" w:hAnsi="Verdana" w:cs="Arial"/>
          <w:i/>
          <w:sz w:val="20"/>
          <w:szCs w:val="20"/>
        </w:rPr>
        <w:t>impairment</w:t>
      </w:r>
      <w:proofErr w:type="spellEnd"/>
      <w:r w:rsidR="00CE1CC5" w:rsidRPr="00FD016C">
        <w:rPr>
          <w:rFonts w:ascii="Verdana" w:hAnsi="Verdana" w:cs="Arial"/>
          <w:sz w:val="20"/>
          <w:szCs w:val="20"/>
        </w:rPr>
        <w:t xml:space="preserve"> em 31 de dezembro de 2020.</w:t>
      </w:r>
    </w:p>
    <w:p w14:paraId="5AFEE4DF" w14:textId="77777777" w:rsidR="00782DCE" w:rsidRPr="00FD016C" w:rsidRDefault="00782DCE" w:rsidP="005144E2">
      <w:pPr>
        <w:jc w:val="both"/>
        <w:rPr>
          <w:rFonts w:ascii="Verdana" w:hAnsi="Verdana" w:cs="Arial"/>
          <w:sz w:val="20"/>
          <w:szCs w:val="20"/>
        </w:rPr>
      </w:pPr>
    </w:p>
    <w:p w14:paraId="7F9F1660" w14:textId="3A7BB503" w:rsidR="000F16C5" w:rsidRPr="00FD016C" w:rsidRDefault="000F16C5" w:rsidP="005144E2">
      <w:pPr>
        <w:jc w:val="both"/>
        <w:rPr>
          <w:rFonts w:ascii="Verdana" w:hAnsi="Verdana" w:cs="Arial"/>
          <w:sz w:val="20"/>
          <w:szCs w:val="20"/>
        </w:rPr>
      </w:pPr>
      <w:r w:rsidRPr="00FD016C">
        <w:rPr>
          <w:rFonts w:ascii="Verdana" w:hAnsi="Verdana" w:cs="Arial"/>
          <w:sz w:val="20"/>
          <w:szCs w:val="20"/>
        </w:rPr>
        <w:t xml:space="preserve">Para a Usina Angra 3, em função das características peculiares de financiamento, a taxa de desconto foi calculada considerando a estrutura de capital específica do projeto, o que resultou na taxa de desconto para a base </w:t>
      </w:r>
      <w:r w:rsidR="00243482" w:rsidRPr="00FD016C">
        <w:rPr>
          <w:rFonts w:ascii="Verdana" w:hAnsi="Verdana" w:cs="Arial"/>
          <w:sz w:val="20"/>
          <w:szCs w:val="20"/>
        </w:rPr>
        <w:t xml:space="preserve">dezembro de </w:t>
      </w:r>
      <w:r w:rsidR="0092092C" w:rsidRPr="00FD016C">
        <w:rPr>
          <w:rFonts w:ascii="Verdana" w:hAnsi="Verdana" w:cs="Arial"/>
          <w:sz w:val="20"/>
          <w:szCs w:val="20"/>
          <w:lang w:eastAsia="en-US"/>
        </w:rPr>
        <w:t>2020</w:t>
      </w:r>
      <w:r w:rsidRPr="00FD016C">
        <w:rPr>
          <w:rFonts w:ascii="Verdana" w:hAnsi="Verdana" w:cs="Arial"/>
          <w:sz w:val="20"/>
          <w:szCs w:val="20"/>
        </w:rPr>
        <w:t xml:space="preserve"> de </w:t>
      </w:r>
      <w:r w:rsidR="009C45BB" w:rsidRPr="00FD016C">
        <w:rPr>
          <w:rFonts w:ascii="Verdana" w:hAnsi="Verdana" w:cs="Arial"/>
          <w:sz w:val="20"/>
          <w:szCs w:val="20"/>
        </w:rPr>
        <w:t>6</w:t>
      </w:r>
      <w:r w:rsidR="00FB1391" w:rsidRPr="00FD016C">
        <w:rPr>
          <w:rFonts w:ascii="Verdana" w:hAnsi="Verdana" w:cs="Arial"/>
          <w:sz w:val="20"/>
          <w:szCs w:val="20"/>
        </w:rPr>
        <w:t>,</w:t>
      </w:r>
      <w:r w:rsidR="0092092C" w:rsidRPr="00FD016C">
        <w:rPr>
          <w:rFonts w:ascii="Verdana" w:hAnsi="Verdana" w:cs="Arial"/>
          <w:sz w:val="20"/>
          <w:szCs w:val="20"/>
          <w:lang w:eastAsia="en-US"/>
        </w:rPr>
        <w:t>79% (6,</w:t>
      </w:r>
      <w:r w:rsidR="009C45BB" w:rsidRPr="00FD016C">
        <w:rPr>
          <w:rFonts w:ascii="Verdana" w:hAnsi="Verdana" w:cs="Arial"/>
          <w:sz w:val="20"/>
          <w:szCs w:val="20"/>
        </w:rPr>
        <w:t>52</w:t>
      </w:r>
      <w:r w:rsidRPr="00FD016C">
        <w:rPr>
          <w:rFonts w:ascii="Verdana" w:hAnsi="Verdana" w:cs="Arial"/>
          <w:sz w:val="20"/>
          <w:szCs w:val="20"/>
        </w:rPr>
        <w:t>%</w:t>
      </w:r>
      <w:r w:rsidR="009C45BB" w:rsidRPr="00FD016C">
        <w:rPr>
          <w:rFonts w:ascii="Verdana" w:hAnsi="Verdana" w:cs="Arial"/>
          <w:sz w:val="20"/>
          <w:szCs w:val="20"/>
        </w:rPr>
        <w:t xml:space="preserve"> em dezembro de </w:t>
      </w:r>
      <w:r w:rsidR="0092092C" w:rsidRPr="00FD016C">
        <w:rPr>
          <w:rFonts w:ascii="Verdana" w:hAnsi="Verdana" w:cs="Arial"/>
          <w:sz w:val="20"/>
          <w:szCs w:val="20"/>
          <w:lang w:eastAsia="en-US"/>
        </w:rPr>
        <w:t>2019</w:t>
      </w:r>
      <w:r w:rsidR="009C45BB" w:rsidRPr="00FD016C">
        <w:rPr>
          <w:rFonts w:ascii="Verdana" w:hAnsi="Verdana" w:cs="Arial"/>
          <w:sz w:val="20"/>
          <w:szCs w:val="20"/>
        </w:rPr>
        <w:t>)</w:t>
      </w:r>
      <w:r w:rsidRPr="00FD016C">
        <w:rPr>
          <w:rFonts w:ascii="Verdana" w:hAnsi="Verdana" w:cs="Arial"/>
          <w:sz w:val="20"/>
          <w:szCs w:val="20"/>
        </w:rPr>
        <w:t xml:space="preserve">. Nesses cálculos foram utilizados parâmetros conforme Informação Técnica </w:t>
      </w:r>
      <w:r w:rsidR="009D09C1" w:rsidRPr="00FD016C">
        <w:rPr>
          <w:rFonts w:ascii="Verdana" w:hAnsi="Verdana" w:cs="Arial"/>
          <w:sz w:val="20"/>
          <w:szCs w:val="20"/>
        </w:rPr>
        <w:t xml:space="preserve">do Departamento de Planejamento Econômico-financeiro da </w:t>
      </w:r>
      <w:r w:rsidRPr="00FD016C">
        <w:rPr>
          <w:rFonts w:ascii="Verdana" w:hAnsi="Verdana" w:cs="Arial"/>
          <w:sz w:val="20"/>
          <w:szCs w:val="20"/>
        </w:rPr>
        <w:t xml:space="preserve">Eletrobras </w:t>
      </w:r>
      <w:r w:rsidR="009D09C1" w:rsidRPr="00FD016C">
        <w:rPr>
          <w:rFonts w:ascii="Verdana" w:hAnsi="Verdana" w:cs="Arial"/>
          <w:sz w:val="20"/>
          <w:szCs w:val="20"/>
        </w:rPr>
        <w:t>nº</w:t>
      </w:r>
      <w:r w:rsidRPr="00FD016C">
        <w:rPr>
          <w:rFonts w:ascii="Verdana" w:hAnsi="Verdana" w:cs="Arial"/>
          <w:sz w:val="20"/>
          <w:szCs w:val="20"/>
        </w:rPr>
        <w:t xml:space="preserve"> </w:t>
      </w:r>
      <w:r w:rsidR="0092092C" w:rsidRPr="00FD016C">
        <w:rPr>
          <w:rFonts w:ascii="Verdana" w:hAnsi="Verdana" w:cs="Arial"/>
          <w:sz w:val="20"/>
          <w:szCs w:val="20"/>
          <w:lang w:eastAsia="en-US"/>
        </w:rPr>
        <w:t>002/2021</w:t>
      </w:r>
      <w:r w:rsidRPr="00FD016C">
        <w:rPr>
          <w:rFonts w:ascii="Verdana" w:hAnsi="Verdana" w:cs="Arial"/>
          <w:sz w:val="20"/>
          <w:szCs w:val="20"/>
        </w:rPr>
        <w:t xml:space="preserve"> de </w:t>
      </w:r>
      <w:r w:rsidR="0092092C" w:rsidRPr="00FD016C">
        <w:rPr>
          <w:rFonts w:ascii="Verdana" w:hAnsi="Verdana" w:cs="Arial"/>
          <w:sz w:val="20"/>
          <w:szCs w:val="20"/>
          <w:lang w:eastAsia="en-US"/>
        </w:rPr>
        <w:t>22</w:t>
      </w:r>
      <w:r w:rsidR="008E6B5F" w:rsidRPr="00FD016C">
        <w:rPr>
          <w:rFonts w:ascii="Verdana" w:hAnsi="Verdana" w:cs="Arial"/>
          <w:sz w:val="20"/>
          <w:szCs w:val="20"/>
        </w:rPr>
        <w:t xml:space="preserve"> de fevereiro de </w:t>
      </w:r>
      <w:r w:rsidR="0092092C" w:rsidRPr="00FD016C">
        <w:rPr>
          <w:rFonts w:ascii="Verdana" w:hAnsi="Verdana" w:cs="Arial"/>
          <w:sz w:val="20"/>
          <w:szCs w:val="20"/>
          <w:lang w:eastAsia="en-US"/>
        </w:rPr>
        <w:t>2021</w:t>
      </w:r>
      <w:r w:rsidR="009C45BB" w:rsidRPr="00FD016C">
        <w:rPr>
          <w:rFonts w:ascii="Verdana" w:hAnsi="Verdana" w:cs="Arial"/>
          <w:sz w:val="20"/>
          <w:szCs w:val="20"/>
        </w:rPr>
        <w:t>.</w:t>
      </w:r>
    </w:p>
    <w:p w14:paraId="152A5923" w14:textId="77777777" w:rsidR="001C05A0" w:rsidRPr="00FD016C" w:rsidRDefault="001C05A0" w:rsidP="005144E2">
      <w:pPr>
        <w:jc w:val="both"/>
        <w:rPr>
          <w:rFonts w:ascii="Verdana" w:hAnsi="Verdana" w:cs="Arial"/>
          <w:sz w:val="20"/>
          <w:szCs w:val="20"/>
        </w:rPr>
      </w:pPr>
    </w:p>
    <w:p w14:paraId="61492EA8" w14:textId="77777777" w:rsidR="009D4087" w:rsidRPr="00FD016C" w:rsidRDefault="009D4087" w:rsidP="005144E2">
      <w:pPr>
        <w:jc w:val="both"/>
        <w:rPr>
          <w:rFonts w:ascii="Verdana" w:hAnsi="Verdana" w:cs="Arial"/>
          <w:sz w:val="20"/>
          <w:szCs w:val="20"/>
        </w:rPr>
      </w:pPr>
    </w:p>
    <w:p w14:paraId="14AA5BB9" w14:textId="62B075AA" w:rsidR="003F4719" w:rsidRPr="00FD016C" w:rsidRDefault="003F4719" w:rsidP="005144E2">
      <w:pPr>
        <w:jc w:val="both"/>
        <w:rPr>
          <w:rFonts w:ascii="Verdana" w:hAnsi="Verdana" w:cs="Arial"/>
          <w:sz w:val="20"/>
          <w:szCs w:val="20"/>
        </w:rPr>
      </w:pPr>
      <w:proofErr w:type="gramStart"/>
      <w:r w:rsidRPr="00FD016C">
        <w:rPr>
          <w:rFonts w:ascii="Verdana" w:hAnsi="Verdana" w:cs="Arial"/>
          <w:b/>
          <w:sz w:val="20"/>
          <w:szCs w:val="20"/>
        </w:rPr>
        <w:t>c.3 )</w:t>
      </w:r>
      <w:proofErr w:type="gramEnd"/>
      <w:r w:rsidR="000E578B" w:rsidRPr="00FD016C">
        <w:rPr>
          <w:rFonts w:ascii="Verdana" w:hAnsi="Verdana" w:cs="Arial"/>
          <w:b/>
          <w:sz w:val="20"/>
          <w:szCs w:val="20"/>
        </w:rPr>
        <w:t xml:space="preserve"> </w:t>
      </w:r>
      <w:proofErr w:type="spellStart"/>
      <w:r w:rsidRPr="00FD016C">
        <w:rPr>
          <w:rFonts w:ascii="Verdana" w:hAnsi="Verdana" w:cs="Arial"/>
          <w:i/>
          <w:sz w:val="20"/>
          <w:szCs w:val="20"/>
        </w:rPr>
        <w:t>Impairment</w:t>
      </w:r>
      <w:proofErr w:type="spellEnd"/>
    </w:p>
    <w:p w14:paraId="668D9109" w14:textId="77777777" w:rsidR="002B7A04" w:rsidRPr="00FD016C" w:rsidRDefault="002B7A04" w:rsidP="005144E2">
      <w:pPr>
        <w:jc w:val="both"/>
        <w:rPr>
          <w:rFonts w:ascii="Verdana" w:hAnsi="Verdana" w:cs="Arial"/>
          <w:sz w:val="20"/>
          <w:szCs w:val="20"/>
        </w:rPr>
      </w:pPr>
    </w:p>
    <w:p w14:paraId="3A4B72E9" w14:textId="0BD92637" w:rsidR="00096765" w:rsidRPr="00FD016C" w:rsidRDefault="00096765" w:rsidP="00096765">
      <w:pPr>
        <w:jc w:val="both"/>
        <w:rPr>
          <w:rFonts w:ascii="Verdana" w:hAnsi="Verdana" w:cs="Arial"/>
          <w:sz w:val="20"/>
          <w:szCs w:val="20"/>
          <w:lang w:eastAsia="en-US"/>
        </w:rPr>
      </w:pPr>
      <w:r w:rsidRPr="00FD016C">
        <w:rPr>
          <w:rFonts w:ascii="Verdana" w:hAnsi="Verdana" w:cs="Arial"/>
          <w:sz w:val="20"/>
          <w:szCs w:val="20"/>
          <w:lang w:eastAsia="en-US"/>
        </w:rPr>
        <w:t xml:space="preserve">O resultado do teste de </w:t>
      </w:r>
      <w:proofErr w:type="spellStart"/>
      <w:r w:rsidRPr="00FD016C">
        <w:rPr>
          <w:rFonts w:ascii="Verdana" w:hAnsi="Verdana" w:cs="Arial"/>
          <w:i/>
          <w:sz w:val="20"/>
          <w:szCs w:val="20"/>
          <w:lang w:eastAsia="en-US"/>
        </w:rPr>
        <w:t>Impairment</w:t>
      </w:r>
      <w:proofErr w:type="spellEnd"/>
      <w:r w:rsidRPr="00FD016C">
        <w:rPr>
          <w:rFonts w:ascii="Verdana" w:hAnsi="Verdana" w:cs="Arial"/>
          <w:sz w:val="20"/>
          <w:szCs w:val="20"/>
          <w:lang w:eastAsia="en-US"/>
        </w:rPr>
        <w:t xml:space="preserve"> referente ao empreendimento Angra 3 na data base de 31 de dezembro de 2020, não revelou a necessidade de alteração nas provisões já constituídas, no valor de R$ 4.508.76</w:t>
      </w:r>
      <w:r w:rsidR="007A7967" w:rsidRPr="00FD016C">
        <w:rPr>
          <w:rFonts w:ascii="Verdana" w:hAnsi="Verdana" w:cs="Arial"/>
          <w:sz w:val="20"/>
          <w:szCs w:val="20"/>
          <w:lang w:eastAsia="en-US"/>
        </w:rPr>
        <w:t>4</w:t>
      </w:r>
      <w:r w:rsidRPr="00FD016C">
        <w:rPr>
          <w:rFonts w:ascii="Verdana" w:hAnsi="Verdana" w:cs="Arial"/>
          <w:sz w:val="20"/>
          <w:szCs w:val="20"/>
          <w:lang w:eastAsia="en-US"/>
        </w:rPr>
        <w:t xml:space="preserve"> em 31 de dezembro de 2020.</w:t>
      </w:r>
    </w:p>
    <w:p w14:paraId="7B84269D" w14:textId="77777777" w:rsidR="00096765" w:rsidRPr="00FD016C" w:rsidRDefault="00096765" w:rsidP="00096765">
      <w:pPr>
        <w:jc w:val="both"/>
        <w:rPr>
          <w:rFonts w:ascii="Verdana" w:hAnsi="Verdana" w:cs="Arial"/>
          <w:sz w:val="20"/>
          <w:szCs w:val="20"/>
          <w:lang w:eastAsia="en-US"/>
        </w:rPr>
      </w:pPr>
    </w:p>
    <w:p w14:paraId="17CA4A4D" w14:textId="30DB18BC" w:rsidR="00096765" w:rsidRDefault="00096765" w:rsidP="00096765">
      <w:pPr>
        <w:jc w:val="both"/>
        <w:rPr>
          <w:rFonts w:ascii="Verdana" w:hAnsi="Verdana" w:cs="Arial"/>
          <w:color w:val="000000" w:themeColor="text1"/>
          <w:sz w:val="20"/>
          <w:szCs w:val="20"/>
          <w:lang w:eastAsia="en-US"/>
        </w:rPr>
      </w:pPr>
      <w:r w:rsidRPr="00FD016C">
        <w:rPr>
          <w:rFonts w:ascii="Verdana" w:hAnsi="Verdana" w:cs="Arial"/>
          <w:sz w:val="20"/>
          <w:szCs w:val="20"/>
        </w:rPr>
        <w:t xml:space="preserve">As principais premissas e julgamentos </w:t>
      </w:r>
      <w:r w:rsidRPr="00FD016C">
        <w:rPr>
          <w:rFonts w:ascii="Verdana" w:hAnsi="Verdana" w:cs="Arial"/>
          <w:sz w:val="20"/>
          <w:szCs w:val="20"/>
          <w:lang w:eastAsia="en-US"/>
        </w:rPr>
        <w:t xml:space="preserve">que impactaram o resultado do teste realizado na base dezembro de 2020 estão a seguir resumidos: </w:t>
      </w:r>
      <w:bookmarkStart w:id="6" w:name="_Hlk66661114"/>
      <w:r w:rsidRPr="00FD016C">
        <w:rPr>
          <w:rFonts w:ascii="Verdana" w:hAnsi="Verdana" w:cs="Arial"/>
          <w:sz w:val="20"/>
          <w:szCs w:val="20"/>
          <w:lang w:eastAsia="en-US"/>
        </w:rPr>
        <w:t xml:space="preserve">(i) atualização do orçamento de </w:t>
      </w:r>
      <w:r w:rsidRPr="00FD016C">
        <w:rPr>
          <w:rFonts w:ascii="Verdana" w:hAnsi="Verdana" w:cs="Arial"/>
          <w:i/>
          <w:sz w:val="20"/>
          <w:szCs w:val="20"/>
          <w:lang w:eastAsia="en-US"/>
        </w:rPr>
        <w:t xml:space="preserve">Capital </w:t>
      </w:r>
      <w:proofErr w:type="spellStart"/>
      <w:r w:rsidRPr="00FD016C">
        <w:rPr>
          <w:rFonts w:ascii="Verdana" w:hAnsi="Verdana" w:cs="Arial"/>
          <w:i/>
          <w:sz w:val="20"/>
          <w:szCs w:val="20"/>
          <w:lang w:eastAsia="en-US"/>
        </w:rPr>
        <w:t>Expenditure</w:t>
      </w:r>
      <w:proofErr w:type="spellEnd"/>
      <w:r w:rsidRPr="00FD016C">
        <w:rPr>
          <w:rFonts w:ascii="Verdana" w:hAnsi="Verdana" w:cs="Arial"/>
          <w:sz w:val="20"/>
          <w:szCs w:val="20"/>
          <w:lang w:eastAsia="en-US"/>
        </w:rPr>
        <w:t xml:space="preserve"> - CAPEX do projeto, que registrou crescimento impactado pelo fim do RENUCLEAR, </w:t>
      </w:r>
      <w:bookmarkStart w:id="7" w:name="_Hlk66661127"/>
      <w:bookmarkEnd w:id="6"/>
      <w:r w:rsidRPr="00FD016C">
        <w:rPr>
          <w:rFonts w:ascii="Verdana" w:hAnsi="Verdana" w:cs="Arial"/>
          <w:sz w:val="20"/>
          <w:szCs w:val="20"/>
          <w:lang w:eastAsia="en-US"/>
        </w:rPr>
        <w:t>(</w:t>
      </w:r>
      <w:proofErr w:type="spellStart"/>
      <w:r w:rsidRPr="00FD016C">
        <w:rPr>
          <w:rFonts w:ascii="Verdana" w:hAnsi="Verdana" w:cs="Arial"/>
          <w:sz w:val="20"/>
          <w:szCs w:val="20"/>
          <w:lang w:eastAsia="en-US"/>
        </w:rPr>
        <w:t>ii</w:t>
      </w:r>
      <w:proofErr w:type="spellEnd"/>
      <w:r w:rsidRPr="00FD016C">
        <w:rPr>
          <w:rFonts w:ascii="Verdana" w:hAnsi="Verdana" w:cs="Arial"/>
          <w:sz w:val="20"/>
          <w:szCs w:val="20"/>
          <w:lang w:eastAsia="en-US"/>
        </w:rPr>
        <w:t>) pela forte apreciação do Euro em relação ao Real e a inserção da estimativa de aquisição de novos elementos combustíveis para a carga inicial, que foram utilizados em Angra 2;</w:t>
      </w:r>
      <w:bookmarkEnd w:id="7"/>
      <w:r w:rsidRPr="00FD016C">
        <w:rPr>
          <w:rFonts w:ascii="Verdana" w:hAnsi="Verdana" w:cs="Arial"/>
          <w:sz w:val="20"/>
          <w:szCs w:val="20"/>
          <w:lang w:eastAsia="en-US"/>
        </w:rPr>
        <w:t xml:space="preserve"> </w:t>
      </w:r>
      <w:bookmarkStart w:id="8" w:name="_Hlk66661135"/>
      <w:r w:rsidRPr="00FD016C">
        <w:rPr>
          <w:rFonts w:ascii="Verdana" w:hAnsi="Verdana" w:cs="Arial"/>
          <w:sz w:val="20"/>
          <w:szCs w:val="20"/>
          <w:lang w:eastAsia="en-US"/>
        </w:rPr>
        <w:t>(</w:t>
      </w:r>
      <w:proofErr w:type="spellStart"/>
      <w:r w:rsidRPr="00FD016C">
        <w:rPr>
          <w:rFonts w:ascii="Verdana" w:hAnsi="Verdana" w:cs="Arial"/>
          <w:sz w:val="20"/>
          <w:szCs w:val="20"/>
          <w:lang w:eastAsia="en-US"/>
        </w:rPr>
        <w:t>iii</w:t>
      </w:r>
      <w:proofErr w:type="spellEnd"/>
      <w:r w:rsidRPr="00FD016C">
        <w:rPr>
          <w:rFonts w:ascii="Verdana" w:hAnsi="Verdana" w:cs="Arial"/>
          <w:sz w:val="20"/>
          <w:szCs w:val="20"/>
          <w:lang w:eastAsia="en-US"/>
        </w:rPr>
        <w:t xml:space="preserve">) utilização de tarifa de energia </w:t>
      </w:r>
      <w:r w:rsidRPr="00FD016C">
        <w:rPr>
          <w:rFonts w:ascii="Verdana" w:hAnsi="Verdana" w:cs="Arial"/>
          <w:color w:val="000000" w:themeColor="text1"/>
          <w:sz w:val="20"/>
          <w:szCs w:val="20"/>
        </w:rPr>
        <w:t xml:space="preserve">estimada que considera os parâmetros especificados na Lei nº 14.120/21 </w:t>
      </w:r>
      <w:r w:rsidRPr="00FD016C">
        <w:rPr>
          <w:rFonts w:ascii="Verdana" w:hAnsi="Verdana" w:cs="Arial"/>
          <w:color w:val="000000" w:themeColor="text1"/>
          <w:sz w:val="20"/>
          <w:szCs w:val="20"/>
          <w:lang w:eastAsia="en-US"/>
        </w:rPr>
        <w:t xml:space="preserve">que garantiu ao projeto uma tarifa que garanta a sua viabilidade econômico-financeira; </w:t>
      </w:r>
      <w:bookmarkStart w:id="9" w:name="_Hlk66661142"/>
      <w:bookmarkEnd w:id="8"/>
      <w:r w:rsidRPr="00FD016C">
        <w:rPr>
          <w:rFonts w:ascii="Verdana" w:hAnsi="Verdana" w:cs="Arial"/>
          <w:color w:val="000000" w:themeColor="text1"/>
          <w:sz w:val="20"/>
          <w:szCs w:val="20"/>
          <w:lang w:eastAsia="en-US"/>
        </w:rPr>
        <w:t>(</w:t>
      </w:r>
      <w:proofErr w:type="spellStart"/>
      <w:r w:rsidRPr="00FD016C">
        <w:rPr>
          <w:rFonts w:ascii="Verdana" w:hAnsi="Verdana" w:cs="Arial"/>
          <w:color w:val="000000" w:themeColor="text1"/>
          <w:sz w:val="20"/>
          <w:szCs w:val="20"/>
          <w:lang w:eastAsia="en-US"/>
        </w:rPr>
        <w:t>iv</w:t>
      </w:r>
      <w:proofErr w:type="spellEnd"/>
      <w:r w:rsidRPr="00FD016C">
        <w:rPr>
          <w:rFonts w:ascii="Verdana" w:hAnsi="Verdana" w:cs="Arial"/>
          <w:color w:val="000000" w:themeColor="text1"/>
          <w:sz w:val="20"/>
          <w:szCs w:val="20"/>
          <w:lang w:eastAsia="en-US"/>
        </w:rPr>
        <w:t xml:space="preserve">) alteração na taxa de desconto </w:t>
      </w:r>
      <w:r w:rsidRPr="00FD016C">
        <w:rPr>
          <w:rFonts w:ascii="Verdana" w:hAnsi="Verdana" w:cs="Arial"/>
          <w:color w:val="000000" w:themeColor="text1"/>
          <w:sz w:val="20"/>
          <w:szCs w:val="20"/>
        </w:rPr>
        <w:t>de 6,79%</w:t>
      </w:r>
      <w:r w:rsidRPr="00FD016C">
        <w:rPr>
          <w:rFonts w:ascii="Verdana" w:hAnsi="Verdana" w:cs="Arial"/>
          <w:color w:val="000000" w:themeColor="text1"/>
          <w:sz w:val="20"/>
          <w:szCs w:val="20"/>
          <w:lang w:eastAsia="en-US"/>
        </w:rPr>
        <w:t>.</w:t>
      </w:r>
      <w:bookmarkEnd w:id="9"/>
    </w:p>
    <w:p w14:paraId="60509FDD" w14:textId="63638AD7" w:rsidR="00B51C6D" w:rsidRDefault="00B51C6D" w:rsidP="00096765">
      <w:pPr>
        <w:jc w:val="both"/>
        <w:rPr>
          <w:rFonts w:ascii="Verdana" w:hAnsi="Verdana" w:cs="Arial"/>
          <w:color w:val="000000" w:themeColor="text1"/>
          <w:sz w:val="20"/>
          <w:szCs w:val="20"/>
          <w:lang w:eastAsia="en-US"/>
        </w:rPr>
      </w:pPr>
    </w:p>
    <w:p w14:paraId="7CD25489" w14:textId="5F1A6CD5" w:rsidR="00B51C6D" w:rsidRPr="00FD016C" w:rsidRDefault="00B51C6D" w:rsidP="00096765">
      <w:pPr>
        <w:jc w:val="both"/>
        <w:rPr>
          <w:rFonts w:ascii="Verdana" w:hAnsi="Verdana" w:cs="Arial"/>
          <w:color w:val="000000" w:themeColor="text1"/>
          <w:sz w:val="20"/>
          <w:szCs w:val="20"/>
          <w:lang w:eastAsia="en-US"/>
        </w:rPr>
      </w:pPr>
      <w:r>
        <w:rPr>
          <w:rFonts w:ascii="Verdana" w:hAnsi="Verdana" w:cs="Arial"/>
          <w:color w:val="000000" w:themeColor="text1"/>
          <w:sz w:val="20"/>
          <w:szCs w:val="20"/>
        </w:rPr>
        <w:t xml:space="preserve">Não foram identificados, ao longo do terceiro trimestre de 2021, indicadores de deterioração das premissas adotadas no teste de </w:t>
      </w:r>
      <w:proofErr w:type="spellStart"/>
      <w:r w:rsidRPr="00A745D2">
        <w:rPr>
          <w:rFonts w:ascii="Verdana" w:hAnsi="Verdana" w:cs="Arial"/>
          <w:i/>
          <w:iCs/>
          <w:color w:val="000000" w:themeColor="text1"/>
          <w:sz w:val="20"/>
          <w:szCs w:val="20"/>
        </w:rPr>
        <w:t>impairment</w:t>
      </w:r>
      <w:proofErr w:type="spellEnd"/>
      <w:r>
        <w:rPr>
          <w:rFonts w:ascii="Verdana" w:hAnsi="Verdana" w:cs="Arial"/>
          <w:color w:val="000000" w:themeColor="text1"/>
          <w:sz w:val="20"/>
          <w:szCs w:val="20"/>
        </w:rPr>
        <w:t xml:space="preserve"> realizado para a data de 31 de dezembro de 2020. Um novo teste deverá ser realizado em conexão com a elaboração das demonstrações financeiras do exercício a findar em 31 de dezembro de 2021</w:t>
      </w:r>
    </w:p>
    <w:p w14:paraId="1C359E86" w14:textId="4C0720F2" w:rsidR="00BC7FFB" w:rsidRDefault="00BC7FFB" w:rsidP="00805D51">
      <w:pPr>
        <w:jc w:val="both"/>
        <w:rPr>
          <w:rFonts w:ascii="Verdana" w:hAnsi="Verdana" w:cs="Arial"/>
          <w:color w:val="000000" w:themeColor="text1"/>
          <w:sz w:val="20"/>
          <w:szCs w:val="20"/>
        </w:rPr>
      </w:pPr>
    </w:p>
    <w:p w14:paraId="374B93C3" w14:textId="77777777" w:rsidR="003B746A" w:rsidRPr="00FD016C" w:rsidRDefault="003B746A" w:rsidP="005144E2">
      <w:pPr>
        <w:jc w:val="both"/>
        <w:rPr>
          <w:rFonts w:ascii="Verdana" w:hAnsi="Verdana" w:cs="Arial"/>
          <w:sz w:val="20"/>
          <w:szCs w:val="20"/>
        </w:rPr>
      </w:pPr>
    </w:p>
    <w:p w14:paraId="5D0975BB" w14:textId="77777777" w:rsidR="003F4719" w:rsidRPr="00FD016C" w:rsidRDefault="003F4719" w:rsidP="005144E2">
      <w:pPr>
        <w:jc w:val="both"/>
        <w:rPr>
          <w:rFonts w:ascii="Verdana" w:hAnsi="Verdana" w:cs="Arial"/>
          <w:sz w:val="20"/>
          <w:szCs w:val="20"/>
        </w:rPr>
      </w:pPr>
      <w:r w:rsidRPr="00FD016C">
        <w:rPr>
          <w:rFonts w:ascii="Verdana" w:hAnsi="Verdana" w:cs="Arial"/>
          <w:b/>
          <w:sz w:val="20"/>
          <w:szCs w:val="20"/>
        </w:rPr>
        <w:t>c.4)</w:t>
      </w:r>
      <w:r w:rsidRPr="00FD016C">
        <w:rPr>
          <w:rFonts w:ascii="Verdana" w:hAnsi="Verdana" w:cs="Arial"/>
          <w:sz w:val="20"/>
          <w:szCs w:val="20"/>
        </w:rPr>
        <w:t xml:space="preserve"> Tarifa </w:t>
      </w:r>
    </w:p>
    <w:p w14:paraId="4EF6765A" w14:textId="77777777" w:rsidR="003F4719" w:rsidRPr="00FD016C" w:rsidRDefault="003F4719" w:rsidP="005144E2">
      <w:pPr>
        <w:jc w:val="both"/>
        <w:rPr>
          <w:rFonts w:ascii="Verdana" w:hAnsi="Verdana" w:cs="Arial"/>
          <w:sz w:val="20"/>
          <w:szCs w:val="20"/>
        </w:rPr>
      </w:pPr>
    </w:p>
    <w:p w14:paraId="6027385B" w14:textId="7259DD0D" w:rsidR="00562759" w:rsidRPr="00FD016C" w:rsidRDefault="00562759" w:rsidP="00600A36">
      <w:pPr>
        <w:jc w:val="both"/>
        <w:rPr>
          <w:rFonts w:ascii="Verdana" w:hAnsi="Verdana" w:cs="Arial"/>
          <w:sz w:val="20"/>
          <w:szCs w:val="20"/>
        </w:rPr>
      </w:pPr>
      <w:r w:rsidRPr="00FD016C">
        <w:rPr>
          <w:rFonts w:ascii="Verdana" w:hAnsi="Verdana" w:cs="Arial"/>
          <w:sz w:val="20"/>
          <w:szCs w:val="20"/>
        </w:rPr>
        <w:t xml:space="preserve">A receita calculada para o </w:t>
      </w:r>
      <w:r w:rsidRPr="00FD016C">
        <w:rPr>
          <w:rFonts w:ascii="Verdana" w:hAnsi="Verdana" w:cs="Arial"/>
          <w:color w:val="000000" w:themeColor="text1"/>
          <w:sz w:val="20"/>
          <w:szCs w:val="20"/>
        </w:rPr>
        <w:t>teste de </w:t>
      </w:r>
      <w:proofErr w:type="spellStart"/>
      <w:r w:rsidRPr="00FD016C">
        <w:rPr>
          <w:rFonts w:ascii="Verdana" w:hAnsi="Verdana" w:cs="Arial"/>
          <w:i/>
          <w:color w:val="000000" w:themeColor="text1"/>
          <w:sz w:val="20"/>
          <w:szCs w:val="20"/>
        </w:rPr>
        <w:t>impairment</w:t>
      </w:r>
      <w:proofErr w:type="spellEnd"/>
      <w:r w:rsidRPr="00FD016C">
        <w:rPr>
          <w:rFonts w:ascii="Verdana" w:hAnsi="Verdana" w:cs="Arial"/>
          <w:color w:val="000000" w:themeColor="text1"/>
          <w:sz w:val="20"/>
          <w:szCs w:val="20"/>
        </w:rPr>
        <w:t> </w:t>
      </w:r>
      <w:r w:rsidR="00374966" w:rsidRPr="00FD016C">
        <w:rPr>
          <w:rFonts w:ascii="Verdana" w:hAnsi="Verdana" w:cs="Arial"/>
          <w:color w:val="000000" w:themeColor="text1"/>
          <w:sz w:val="20"/>
          <w:szCs w:val="20"/>
        </w:rPr>
        <w:t xml:space="preserve">na data base </w:t>
      </w:r>
      <w:r w:rsidRPr="00FD016C">
        <w:rPr>
          <w:rFonts w:ascii="Verdana" w:hAnsi="Verdana" w:cs="Arial"/>
          <w:color w:val="000000" w:themeColor="text1"/>
          <w:sz w:val="20"/>
          <w:szCs w:val="20"/>
        </w:rPr>
        <w:t xml:space="preserve">de dezembro de </w:t>
      </w:r>
      <w:r w:rsidR="00497044" w:rsidRPr="00FD016C">
        <w:rPr>
          <w:rFonts w:ascii="Verdana" w:hAnsi="Verdana" w:cs="Arial"/>
          <w:color w:val="000000" w:themeColor="text1"/>
          <w:sz w:val="20"/>
          <w:szCs w:val="20"/>
          <w:lang w:eastAsia="en-US"/>
        </w:rPr>
        <w:t>2020</w:t>
      </w:r>
      <w:r w:rsidRPr="00FD016C">
        <w:rPr>
          <w:rFonts w:ascii="Verdana" w:hAnsi="Verdana" w:cs="Arial"/>
          <w:color w:val="000000" w:themeColor="text1"/>
          <w:sz w:val="20"/>
          <w:szCs w:val="20"/>
        </w:rPr>
        <w:t xml:space="preserve">, teve </w:t>
      </w:r>
      <w:r w:rsidR="002B45A1" w:rsidRPr="00FD016C">
        <w:rPr>
          <w:rFonts w:ascii="Verdana" w:hAnsi="Verdana" w:cs="Arial"/>
          <w:color w:val="000000" w:themeColor="text1"/>
          <w:sz w:val="20"/>
          <w:szCs w:val="20"/>
        </w:rPr>
        <w:t xml:space="preserve">como </w:t>
      </w:r>
      <w:r w:rsidR="00374966" w:rsidRPr="00FD016C">
        <w:rPr>
          <w:rFonts w:ascii="Verdana" w:hAnsi="Verdana" w:cs="Arial"/>
          <w:color w:val="000000" w:themeColor="text1"/>
          <w:sz w:val="20"/>
          <w:szCs w:val="20"/>
        </w:rPr>
        <w:t xml:space="preserve">premissa </w:t>
      </w:r>
      <w:r w:rsidRPr="00FD016C">
        <w:rPr>
          <w:rFonts w:ascii="Verdana" w:hAnsi="Verdana" w:cs="Arial"/>
          <w:color w:val="000000" w:themeColor="text1"/>
          <w:sz w:val="20"/>
          <w:szCs w:val="20"/>
        </w:rPr>
        <w:t xml:space="preserve">a tarifa </w:t>
      </w:r>
      <w:r w:rsidR="00600A36" w:rsidRPr="00FD016C">
        <w:rPr>
          <w:rFonts w:ascii="Verdana" w:hAnsi="Verdana" w:cs="Arial"/>
          <w:color w:val="000000" w:themeColor="text1"/>
          <w:sz w:val="20"/>
          <w:szCs w:val="20"/>
        </w:rPr>
        <w:t xml:space="preserve">estimada </w:t>
      </w:r>
      <w:r w:rsidR="0018623C" w:rsidRPr="00FD016C">
        <w:rPr>
          <w:rFonts w:ascii="Verdana" w:hAnsi="Verdana" w:cs="Arial"/>
          <w:color w:val="000000" w:themeColor="text1"/>
          <w:sz w:val="20"/>
          <w:szCs w:val="20"/>
          <w:lang w:eastAsia="en-US"/>
        </w:rPr>
        <w:t xml:space="preserve">de energia </w:t>
      </w:r>
      <w:r w:rsidR="0018623C" w:rsidRPr="00FD016C">
        <w:rPr>
          <w:rFonts w:ascii="Verdana" w:hAnsi="Verdana" w:cs="Arial"/>
          <w:color w:val="000000" w:themeColor="text1"/>
          <w:sz w:val="20"/>
          <w:szCs w:val="20"/>
        </w:rPr>
        <w:t>estimada que considera os parâmetros especificados na Lei nº 14.120/21</w:t>
      </w:r>
      <w:r w:rsidR="00497044" w:rsidRPr="00FD016C">
        <w:rPr>
          <w:rFonts w:ascii="Verdana" w:hAnsi="Verdana" w:cs="Arial"/>
          <w:color w:val="000000" w:themeColor="text1"/>
          <w:sz w:val="20"/>
          <w:szCs w:val="20"/>
          <w:lang w:eastAsia="en-US"/>
        </w:rPr>
        <w:t>, que garantiu ao projeto uma</w:t>
      </w:r>
      <w:r w:rsidRPr="00FD016C">
        <w:rPr>
          <w:rFonts w:ascii="Verdana" w:hAnsi="Verdana" w:cs="Arial"/>
          <w:color w:val="000000" w:themeColor="text1"/>
          <w:sz w:val="20"/>
          <w:szCs w:val="20"/>
        </w:rPr>
        <w:t xml:space="preserve"> tarifa </w:t>
      </w:r>
      <w:r w:rsidR="00497044" w:rsidRPr="00FD016C">
        <w:rPr>
          <w:rFonts w:ascii="Verdana" w:hAnsi="Verdana" w:cs="Arial"/>
          <w:color w:val="000000" w:themeColor="text1"/>
          <w:sz w:val="20"/>
          <w:szCs w:val="20"/>
          <w:lang w:eastAsia="en-US"/>
        </w:rPr>
        <w:t>que garanta a sua viabilidade econômico-financeira</w:t>
      </w:r>
      <w:r w:rsidR="00374966" w:rsidRPr="00FD016C">
        <w:rPr>
          <w:rFonts w:ascii="Verdana" w:hAnsi="Verdana" w:cs="Arial"/>
          <w:color w:val="000000" w:themeColor="text1"/>
          <w:sz w:val="20"/>
          <w:szCs w:val="20"/>
        </w:rPr>
        <w:t xml:space="preserve">. O novo preço da tarifa de referência para </w:t>
      </w:r>
      <w:r w:rsidR="00D7696F" w:rsidRPr="00FD016C">
        <w:rPr>
          <w:rFonts w:ascii="Verdana" w:hAnsi="Verdana" w:cs="Arial"/>
          <w:color w:val="000000" w:themeColor="text1"/>
          <w:sz w:val="20"/>
          <w:szCs w:val="20"/>
        </w:rPr>
        <w:t xml:space="preserve">a energia proveniente da Usina </w:t>
      </w:r>
      <w:r w:rsidR="00374966" w:rsidRPr="00FD016C">
        <w:rPr>
          <w:rFonts w:ascii="Verdana" w:hAnsi="Verdana" w:cs="Arial"/>
          <w:color w:val="000000" w:themeColor="text1"/>
          <w:sz w:val="20"/>
          <w:szCs w:val="20"/>
        </w:rPr>
        <w:t xml:space="preserve">Angra 3, atualizado a preços de dezembro de </w:t>
      </w:r>
      <w:r w:rsidR="00497044" w:rsidRPr="00FD016C">
        <w:rPr>
          <w:rFonts w:ascii="Verdana" w:hAnsi="Verdana" w:cs="Arial"/>
          <w:color w:val="000000" w:themeColor="text1"/>
          <w:sz w:val="20"/>
          <w:szCs w:val="20"/>
          <w:lang w:eastAsia="en-US"/>
        </w:rPr>
        <w:t>2020</w:t>
      </w:r>
      <w:r w:rsidR="00753258" w:rsidRPr="00FD016C">
        <w:rPr>
          <w:rFonts w:ascii="Verdana" w:hAnsi="Verdana" w:cs="Arial"/>
          <w:color w:val="000000" w:themeColor="text1"/>
          <w:sz w:val="20"/>
          <w:szCs w:val="20"/>
        </w:rPr>
        <w:t xml:space="preserve"> e</w:t>
      </w:r>
      <w:r w:rsidR="00374966" w:rsidRPr="00FD016C">
        <w:rPr>
          <w:rFonts w:ascii="Verdana" w:hAnsi="Verdana" w:cs="Arial"/>
          <w:color w:val="000000" w:themeColor="text1"/>
          <w:sz w:val="20"/>
          <w:szCs w:val="20"/>
        </w:rPr>
        <w:t xml:space="preserve"> utilizado para fins de teste de</w:t>
      </w:r>
      <w:r w:rsidR="00374966" w:rsidRPr="00FD016C">
        <w:rPr>
          <w:rFonts w:ascii="Verdana" w:hAnsi="Verdana" w:cs="Arial"/>
          <w:i/>
          <w:color w:val="000000" w:themeColor="text1"/>
          <w:sz w:val="20"/>
          <w:szCs w:val="20"/>
        </w:rPr>
        <w:t xml:space="preserve"> </w:t>
      </w:r>
      <w:proofErr w:type="spellStart"/>
      <w:r w:rsidR="00374966" w:rsidRPr="00FD016C">
        <w:rPr>
          <w:rFonts w:ascii="Verdana" w:hAnsi="Verdana" w:cs="Arial"/>
          <w:i/>
          <w:color w:val="000000" w:themeColor="text1"/>
          <w:sz w:val="20"/>
          <w:szCs w:val="20"/>
        </w:rPr>
        <w:t>impairment</w:t>
      </w:r>
      <w:proofErr w:type="spellEnd"/>
      <w:r w:rsidR="00374966" w:rsidRPr="00FD016C">
        <w:rPr>
          <w:rFonts w:ascii="Verdana" w:hAnsi="Verdana" w:cs="Arial"/>
          <w:color w:val="000000" w:themeColor="text1"/>
          <w:sz w:val="20"/>
          <w:szCs w:val="20"/>
        </w:rPr>
        <w:t xml:space="preserve"> foi de R$ </w:t>
      </w:r>
      <w:r w:rsidR="00497044" w:rsidRPr="00FD016C">
        <w:rPr>
          <w:rFonts w:ascii="Verdana" w:hAnsi="Verdana" w:cs="Arial"/>
          <w:color w:val="000000" w:themeColor="text1"/>
          <w:sz w:val="20"/>
          <w:szCs w:val="20"/>
          <w:lang w:eastAsia="en-US"/>
        </w:rPr>
        <w:t>692,17</w:t>
      </w:r>
      <w:r w:rsidR="00374966" w:rsidRPr="00FD016C">
        <w:rPr>
          <w:rFonts w:ascii="Verdana" w:hAnsi="Verdana" w:cs="Arial"/>
          <w:color w:val="000000" w:themeColor="text1"/>
          <w:sz w:val="20"/>
          <w:szCs w:val="20"/>
        </w:rPr>
        <w:t>/</w:t>
      </w:r>
      <w:proofErr w:type="spellStart"/>
      <w:r w:rsidR="00374966" w:rsidRPr="00FD016C">
        <w:rPr>
          <w:rFonts w:ascii="Verdana" w:hAnsi="Verdana" w:cs="Arial"/>
          <w:color w:val="000000" w:themeColor="text1"/>
          <w:sz w:val="20"/>
          <w:szCs w:val="20"/>
        </w:rPr>
        <w:t>MWh</w:t>
      </w:r>
      <w:proofErr w:type="spellEnd"/>
      <w:r w:rsidR="00374966" w:rsidRPr="00FD016C">
        <w:rPr>
          <w:rFonts w:ascii="Verdana" w:hAnsi="Verdana" w:cs="Arial"/>
          <w:color w:val="000000" w:themeColor="text1"/>
          <w:sz w:val="20"/>
          <w:szCs w:val="20"/>
        </w:rPr>
        <w:t xml:space="preserve">. </w:t>
      </w:r>
    </w:p>
    <w:p w14:paraId="55AEE678" w14:textId="77777777" w:rsidR="003B0516" w:rsidRPr="00FD016C" w:rsidRDefault="003B0516" w:rsidP="005144E2">
      <w:pPr>
        <w:widowControl/>
        <w:jc w:val="both"/>
        <w:rPr>
          <w:rStyle w:val="NormalWebChar"/>
          <w:rFonts w:ascii="Verdana" w:hAnsi="Verdana" w:cs="Arial"/>
          <w:sz w:val="20"/>
          <w:szCs w:val="20"/>
        </w:rPr>
      </w:pPr>
    </w:p>
    <w:p w14:paraId="626E59F1" w14:textId="2C680B52" w:rsidR="004C711B" w:rsidRDefault="004C711B" w:rsidP="005144E2">
      <w:pPr>
        <w:widowControl/>
        <w:jc w:val="both"/>
        <w:rPr>
          <w:rStyle w:val="NormalWebChar"/>
          <w:rFonts w:ascii="Verdana" w:hAnsi="Verdana" w:cs="Arial"/>
          <w:sz w:val="20"/>
          <w:szCs w:val="20"/>
        </w:rPr>
      </w:pPr>
    </w:p>
    <w:p w14:paraId="2E871285" w14:textId="77777777" w:rsidR="00B51C6D" w:rsidRPr="00FD016C" w:rsidRDefault="00B51C6D" w:rsidP="005144E2">
      <w:pPr>
        <w:widowControl/>
        <w:jc w:val="both"/>
        <w:rPr>
          <w:rStyle w:val="NormalWebChar"/>
          <w:rFonts w:ascii="Verdana" w:hAnsi="Verdana" w:cs="Arial"/>
          <w:sz w:val="20"/>
          <w:szCs w:val="20"/>
        </w:rPr>
      </w:pPr>
    </w:p>
    <w:p w14:paraId="732E5D14" w14:textId="77777777" w:rsidR="003F4719" w:rsidRPr="00FD016C" w:rsidRDefault="00782DCE" w:rsidP="005144E2">
      <w:pPr>
        <w:widowControl/>
        <w:jc w:val="both"/>
        <w:rPr>
          <w:rStyle w:val="NormalWebChar"/>
          <w:rFonts w:ascii="Verdana" w:hAnsi="Verdana" w:cs="Arial"/>
          <w:b/>
          <w:color w:val="0070C0"/>
        </w:rPr>
      </w:pPr>
      <w:r w:rsidRPr="00FD016C">
        <w:rPr>
          <w:rStyle w:val="NormalWebChar"/>
          <w:rFonts w:ascii="Verdana" w:hAnsi="Verdana" w:cs="Arial"/>
          <w:b/>
          <w:color w:val="0070C0"/>
        </w:rPr>
        <w:lastRenderedPageBreak/>
        <w:t>d) Licenciamento das U</w:t>
      </w:r>
      <w:r w:rsidR="003F4719" w:rsidRPr="00FD016C">
        <w:rPr>
          <w:rStyle w:val="NormalWebChar"/>
          <w:rFonts w:ascii="Verdana" w:hAnsi="Verdana" w:cs="Arial"/>
          <w:b/>
          <w:color w:val="0070C0"/>
        </w:rPr>
        <w:t>sinas Angra 1 e 2</w:t>
      </w:r>
    </w:p>
    <w:p w14:paraId="54B5CD1D" w14:textId="77777777" w:rsidR="003F4719" w:rsidRPr="00FD016C" w:rsidRDefault="003F4719" w:rsidP="005144E2">
      <w:pPr>
        <w:widowControl/>
        <w:jc w:val="both"/>
        <w:rPr>
          <w:rFonts w:ascii="Arial" w:hAnsi="Arial" w:cs="Arial"/>
          <w:sz w:val="20"/>
          <w:szCs w:val="20"/>
        </w:rPr>
      </w:pPr>
    </w:p>
    <w:p w14:paraId="5D8AAD52" w14:textId="77777777" w:rsidR="003F4719" w:rsidRPr="00FD016C" w:rsidRDefault="003F4719" w:rsidP="005144E2">
      <w:pPr>
        <w:widowControl/>
        <w:jc w:val="both"/>
        <w:outlineLvl w:val="0"/>
        <w:rPr>
          <w:rFonts w:ascii="Verdana" w:hAnsi="Verdana" w:cs="Arial"/>
          <w:sz w:val="20"/>
          <w:szCs w:val="20"/>
        </w:rPr>
      </w:pPr>
      <w:r w:rsidRPr="00FD016C">
        <w:rPr>
          <w:rFonts w:ascii="Verdana" w:hAnsi="Verdana" w:cs="Arial"/>
          <w:sz w:val="20"/>
          <w:szCs w:val="20"/>
        </w:rPr>
        <w:t>As usinas nucleares são su</w:t>
      </w:r>
      <w:r w:rsidR="00DB02A3" w:rsidRPr="00FD016C">
        <w:rPr>
          <w:rFonts w:ascii="Verdana" w:hAnsi="Verdana" w:cs="Arial"/>
          <w:sz w:val="20"/>
          <w:szCs w:val="20"/>
        </w:rPr>
        <w:t>b</w:t>
      </w:r>
      <w:r w:rsidRPr="00FD016C">
        <w:rPr>
          <w:rFonts w:ascii="Verdana" w:hAnsi="Verdana" w:cs="Arial"/>
          <w:sz w:val="20"/>
          <w:szCs w:val="20"/>
        </w:rPr>
        <w:t xml:space="preserve">metidas a dois processos de licenciamento: Licenciamento Ambiental, de competência do </w:t>
      </w:r>
      <w:r w:rsidR="00EE399A" w:rsidRPr="00FD016C">
        <w:rPr>
          <w:rFonts w:ascii="Verdana" w:hAnsi="Verdana" w:cs="Arial"/>
          <w:color w:val="222222"/>
          <w:sz w:val="20"/>
          <w:szCs w:val="20"/>
          <w:shd w:val="clear" w:color="auto" w:fill="FFFFFF"/>
        </w:rPr>
        <w:t>Instituto Brasileiro de Meio Ambiente e dos Recursos Naturais Renováveis</w:t>
      </w:r>
      <w:r w:rsidR="00BB74A6" w:rsidRPr="00FD016C">
        <w:rPr>
          <w:rFonts w:ascii="Verdana" w:hAnsi="Verdana" w:cs="Arial"/>
          <w:color w:val="222222"/>
          <w:sz w:val="20"/>
          <w:szCs w:val="20"/>
          <w:shd w:val="clear" w:color="auto" w:fill="FFFFFF"/>
        </w:rPr>
        <w:t xml:space="preserve"> - </w:t>
      </w:r>
      <w:r w:rsidRPr="00FD016C">
        <w:rPr>
          <w:rFonts w:ascii="Verdana" w:hAnsi="Verdana" w:cs="Arial"/>
          <w:sz w:val="20"/>
          <w:szCs w:val="20"/>
        </w:rPr>
        <w:t>I</w:t>
      </w:r>
      <w:r w:rsidR="00DB02A3" w:rsidRPr="00FD016C">
        <w:rPr>
          <w:rFonts w:ascii="Verdana" w:hAnsi="Verdana" w:cs="Arial"/>
          <w:sz w:val="20"/>
          <w:szCs w:val="20"/>
        </w:rPr>
        <w:t>bama</w:t>
      </w:r>
      <w:r w:rsidRPr="00FD016C">
        <w:rPr>
          <w:rFonts w:ascii="Verdana" w:hAnsi="Verdana" w:cs="Arial"/>
          <w:sz w:val="20"/>
          <w:szCs w:val="20"/>
        </w:rPr>
        <w:t xml:space="preserve"> e Licenciamento Nuclear, conduzido pela Comissão Nacional de Energia Nuclear </w:t>
      </w:r>
      <w:r w:rsidR="00BB74A6" w:rsidRPr="00FD016C">
        <w:rPr>
          <w:rFonts w:ascii="Verdana" w:hAnsi="Verdana" w:cs="Arial"/>
          <w:sz w:val="20"/>
          <w:szCs w:val="20"/>
        </w:rPr>
        <w:t xml:space="preserve">- </w:t>
      </w:r>
      <w:r w:rsidRPr="00FD016C">
        <w:rPr>
          <w:rFonts w:ascii="Verdana" w:hAnsi="Verdana" w:cs="Arial"/>
          <w:sz w:val="20"/>
          <w:szCs w:val="20"/>
        </w:rPr>
        <w:t xml:space="preserve">CNEN </w:t>
      </w:r>
    </w:p>
    <w:p w14:paraId="2C281030" w14:textId="77777777" w:rsidR="003F4719" w:rsidRPr="00FD016C" w:rsidRDefault="003F4719" w:rsidP="005144E2">
      <w:pPr>
        <w:widowControl/>
        <w:jc w:val="both"/>
        <w:outlineLvl w:val="0"/>
        <w:rPr>
          <w:rFonts w:ascii="Verdana" w:hAnsi="Verdana" w:cs="Arial"/>
          <w:sz w:val="20"/>
          <w:szCs w:val="20"/>
        </w:rPr>
      </w:pPr>
    </w:p>
    <w:p w14:paraId="1801BC69" w14:textId="7022B2F1" w:rsidR="003F4719" w:rsidRPr="00FD016C" w:rsidRDefault="003F4719" w:rsidP="005144E2">
      <w:pPr>
        <w:widowControl/>
        <w:jc w:val="both"/>
        <w:outlineLvl w:val="0"/>
        <w:rPr>
          <w:rFonts w:ascii="Verdana" w:hAnsi="Verdana" w:cs="Arial"/>
          <w:sz w:val="20"/>
          <w:szCs w:val="20"/>
        </w:rPr>
      </w:pPr>
      <w:r w:rsidRPr="00FD016C">
        <w:rPr>
          <w:rFonts w:ascii="Verdana" w:hAnsi="Verdana" w:cs="Arial"/>
          <w:sz w:val="20"/>
          <w:szCs w:val="20"/>
        </w:rPr>
        <w:t xml:space="preserve">Atualmente, a Usina Angra 1 possui a Autorização para Operação Permanente </w:t>
      </w:r>
      <w:r w:rsidR="00BB74A6" w:rsidRPr="00FD016C">
        <w:rPr>
          <w:rFonts w:ascii="Verdana" w:hAnsi="Verdana" w:cs="Arial"/>
          <w:sz w:val="20"/>
          <w:szCs w:val="20"/>
        </w:rPr>
        <w:t xml:space="preserve">- </w:t>
      </w:r>
      <w:r w:rsidRPr="00FD016C">
        <w:rPr>
          <w:rFonts w:ascii="Verdana" w:hAnsi="Verdana" w:cs="Arial"/>
          <w:sz w:val="20"/>
          <w:szCs w:val="20"/>
        </w:rPr>
        <w:t>AOP, emitida pela CNEN em 1994 e renovada por 14 anos,</w:t>
      </w:r>
      <w:r w:rsidR="00DD2342" w:rsidRPr="00FD016C">
        <w:rPr>
          <w:rFonts w:ascii="Verdana" w:hAnsi="Verdana" w:cs="Arial"/>
          <w:sz w:val="20"/>
          <w:szCs w:val="20"/>
        </w:rPr>
        <w:t xml:space="preserve"> </w:t>
      </w:r>
      <w:r w:rsidRPr="00FD016C">
        <w:rPr>
          <w:rFonts w:ascii="Verdana" w:hAnsi="Verdana" w:cs="Arial"/>
          <w:sz w:val="20"/>
          <w:szCs w:val="20"/>
        </w:rPr>
        <w:t>pelo Ofício CNEN n° 124/2010 – CGRC/CNEN de 09</w:t>
      </w:r>
      <w:r w:rsidR="00A5017B" w:rsidRPr="00FD016C">
        <w:rPr>
          <w:rFonts w:ascii="Verdana" w:hAnsi="Verdana" w:cs="Arial"/>
          <w:sz w:val="20"/>
          <w:szCs w:val="20"/>
        </w:rPr>
        <w:t xml:space="preserve"> de agosto de </w:t>
      </w:r>
      <w:r w:rsidRPr="00FD016C">
        <w:rPr>
          <w:rFonts w:ascii="Verdana" w:hAnsi="Verdana" w:cs="Arial"/>
          <w:sz w:val="20"/>
          <w:szCs w:val="20"/>
        </w:rPr>
        <w:t>2010</w:t>
      </w:r>
      <w:r w:rsidR="00753258" w:rsidRPr="00FD016C">
        <w:rPr>
          <w:rFonts w:ascii="Verdana" w:hAnsi="Verdana" w:cs="Arial"/>
          <w:sz w:val="20"/>
          <w:szCs w:val="20"/>
        </w:rPr>
        <w:t>. A</w:t>
      </w:r>
      <w:r w:rsidRPr="00FD016C">
        <w:rPr>
          <w:rFonts w:ascii="Verdana" w:hAnsi="Verdana" w:cs="Arial"/>
          <w:sz w:val="20"/>
          <w:szCs w:val="20"/>
        </w:rPr>
        <w:t xml:space="preserve"> Usina Angra 2 possui a Autorização para Operação Permanente </w:t>
      </w:r>
      <w:r w:rsidR="00C133BB" w:rsidRPr="00FD016C">
        <w:rPr>
          <w:rFonts w:ascii="Verdana" w:hAnsi="Verdana" w:cs="Arial"/>
          <w:sz w:val="20"/>
          <w:szCs w:val="20"/>
        </w:rPr>
        <w:t xml:space="preserve">- </w:t>
      </w:r>
      <w:r w:rsidRPr="00FD016C">
        <w:rPr>
          <w:rFonts w:ascii="Verdana" w:hAnsi="Verdana" w:cs="Arial"/>
          <w:sz w:val="20"/>
          <w:szCs w:val="20"/>
        </w:rPr>
        <w:t>AOP, concedida pela Resolução CNEN n.º 106/2011, válida por 30 anos a partir de 15</w:t>
      </w:r>
      <w:r w:rsidR="00A5017B" w:rsidRPr="00FD016C">
        <w:rPr>
          <w:rFonts w:ascii="Verdana" w:hAnsi="Verdana" w:cs="Arial"/>
          <w:sz w:val="20"/>
          <w:szCs w:val="20"/>
        </w:rPr>
        <w:t xml:space="preserve"> de junho de </w:t>
      </w:r>
      <w:r w:rsidRPr="00FD016C">
        <w:rPr>
          <w:rFonts w:ascii="Verdana" w:hAnsi="Verdana" w:cs="Arial"/>
          <w:sz w:val="20"/>
          <w:szCs w:val="20"/>
        </w:rPr>
        <w:t xml:space="preserve">2011. </w:t>
      </w:r>
    </w:p>
    <w:p w14:paraId="15A5B9C0" w14:textId="77777777" w:rsidR="003F4719" w:rsidRPr="00FD016C" w:rsidRDefault="003F4719" w:rsidP="005144E2">
      <w:pPr>
        <w:widowControl/>
        <w:jc w:val="both"/>
        <w:outlineLvl w:val="0"/>
        <w:rPr>
          <w:rFonts w:ascii="Verdana" w:hAnsi="Verdana" w:cs="Arial"/>
          <w:sz w:val="20"/>
          <w:szCs w:val="20"/>
        </w:rPr>
      </w:pPr>
    </w:p>
    <w:p w14:paraId="11D3B7AB" w14:textId="77777777" w:rsidR="003F4719" w:rsidRPr="00FD016C" w:rsidRDefault="003F4719" w:rsidP="005144E2">
      <w:pPr>
        <w:widowControl/>
        <w:jc w:val="both"/>
        <w:outlineLvl w:val="0"/>
        <w:rPr>
          <w:rFonts w:ascii="Arial" w:hAnsi="Arial" w:cs="Arial"/>
          <w:sz w:val="20"/>
          <w:szCs w:val="20"/>
        </w:rPr>
      </w:pPr>
      <w:r w:rsidRPr="00FD016C">
        <w:rPr>
          <w:rFonts w:ascii="Verdana" w:hAnsi="Verdana" w:cs="Arial"/>
          <w:sz w:val="20"/>
          <w:szCs w:val="20"/>
        </w:rPr>
        <w:t>Em 12 de março de 2014, o I</w:t>
      </w:r>
      <w:r w:rsidR="00DB02A3" w:rsidRPr="00FD016C">
        <w:rPr>
          <w:rFonts w:ascii="Verdana" w:hAnsi="Verdana" w:cs="Arial"/>
          <w:sz w:val="20"/>
          <w:szCs w:val="20"/>
        </w:rPr>
        <w:t>bama</w:t>
      </w:r>
      <w:r w:rsidRPr="00FD016C">
        <w:rPr>
          <w:rFonts w:ascii="Verdana" w:hAnsi="Verdana" w:cs="Arial"/>
          <w:sz w:val="20"/>
          <w:szCs w:val="20"/>
        </w:rPr>
        <w:t xml:space="preserve"> emitiu a Licença de Operação nº 1217/2014</w:t>
      </w:r>
      <w:r w:rsidR="0020290F" w:rsidRPr="00FD016C">
        <w:rPr>
          <w:rFonts w:ascii="Verdana" w:hAnsi="Verdana" w:cs="Arial"/>
          <w:sz w:val="20"/>
          <w:szCs w:val="20"/>
        </w:rPr>
        <w:t>, que</w:t>
      </w:r>
      <w:r w:rsidRPr="00FD016C">
        <w:rPr>
          <w:rFonts w:ascii="Verdana" w:hAnsi="Verdana" w:cs="Arial"/>
          <w:sz w:val="20"/>
          <w:szCs w:val="20"/>
        </w:rPr>
        <w:t xml:space="preserve"> autoriz</w:t>
      </w:r>
      <w:r w:rsidR="0020290F" w:rsidRPr="00FD016C">
        <w:rPr>
          <w:rFonts w:ascii="Verdana" w:hAnsi="Verdana" w:cs="Arial"/>
          <w:sz w:val="20"/>
          <w:szCs w:val="20"/>
        </w:rPr>
        <w:t>ou</w:t>
      </w:r>
      <w:r w:rsidRPr="00FD016C">
        <w:rPr>
          <w:rFonts w:ascii="Verdana" w:hAnsi="Verdana" w:cs="Arial"/>
          <w:sz w:val="20"/>
          <w:szCs w:val="20"/>
        </w:rPr>
        <w:t xml:space="preserve"> a operação das Usinas Angra 1 e 2, válida por 10 anos</w:t>
      </w:r>
      <w:r w:rsidRPr="00FD016C">
        <w:rPr>
          <w:rFonts w:ascii="Arial" w:hAnsi="Arial" w:cs="Arial"/>
          <w:sz w:val="20"/>
          <w:szCs w:val="20"/>
        </w:rPr>
        <w:t>.</w:t>
      </w:r>
    </w:p>
    <w:p w14:paraId="0B4C8723" w14:textId="77777777" w:rsidR="002B45A1" w:rsidRPr="00FD016C" w:rsidRDefault="002B45A1" w:rsidP="005144E2">
      <w:pPr>
        <w:widowControl/>
        <w:jc w:val="both"/>
        <w:outlineLvl w:val="0"/>
        <w:rPr>
          <w:rFonts w:ascii="Arial" w:hAnsi="Arial" w:cs="Arial"/>
          <w:sz w:val="20"/>
          <w:szCs w:val="20"/>
        </w:rPr>
      </w:pPr>
    </w:p>
    <w:p w14:paraId="11E8F5ED" w14:textId="77777777" w:rsidR="002B45A1" w:rsidRPr="00FD016C" w:rsidRDefault="002B45A1" w:rsidP="005144E2">
      <w:pPr>
        <w:widowControl/>
        <w:jc w:val="both"/>
        <w:outlineLvl w:val="0"/>
        <w:rPr>
          <w:rFonts w:ascii="Arial" w:hAnsi="Arial" w:cs="Arial"/>
          <w:sz w:val="20"/>
          <w:szCs w:val="20"/>
        </w:rPr>
      </w:pPr>
    </w:p>
    <w:p w14:paraId="00CA6C4A" w14:textId="77777777" w:rsidR="003F4719" w:rsidRPr="00FD016C" w:rsidRDefault="003F4719" w:rsidP="005144E2">
      <w:pPr>
        <w:widowControl/>
        <w:jc w:val="both"/>
        <w:rPr>
          <w:rStyle w:val="NormalWebChar"/>
          <w:rFonts w:ascii="Verdana" w:hAnsi="Verdana" w:cs="Arial"/>
          <w:b/>
          <w:color w:val="0070C0"/>
        </w:rPr>
      </w:pPr>
      <w:r w:rsidRPr="00FD016C">
        <w:rPr>
          <w:rStyle w:val="NormalWebChar"/>
          <w:rFonts w:ascii="Verdana" w:hAnsi="Verdana" w:cs="Arial"/>
          <w:b/>
          <w:color w:val="0070C0"/>
        </w:rPr>
        <w:t>e) Interpretação Técnica ICPC 12 – Mudanças em Passivos</w:t>
      </w:r>
    </w:p>
    <w:p w14:paraId="70A8F98A" w14:textId="77777777" w:rsidR="003F4719" w:rsidRPr="00FD016C" w:rsidRDefault="003F4719" w:rsidP="005144E2">
      <w:pPr>
        <w:widowControl/>
        <w:jc w:val="both"/>
        <w:rPr>
          <w:rStyle w:val="NormalWebChar"/>
          <w:rFonts w:ascii="Arial" w:hAnsi="Arial" w:cs="Arial"/>
          <w:b/>
          <w:sz w:val="20"/>
          <w:szCs w:val="20"/>
        </w:rPr>
      </w:pPr>
    </w:p>
    <w:p w14:paraId="1D7A1138" w14:textId="5DDF78F6" w:rsidR="003F4719" w:rsidRPr="00FD016C" w:rsidRDefault="003F4719" w:rsidP="005144E2">
      <w:pPr>
        <w:widowControl/>
        <w:jc w:val="both"/>
        <w:rPr>
          <w:rFonts w:ascii="Verdana" w:hAnsi="Verdana" w:cs="Arial"/>
          <w:bCs/>
          <w:sz w:val="20"/>
          <w:szCs w:val="20"/>
        </w:rPr>
      </w:pPr>
      <w:r w:rsidRPr="00FD016C">
        <w:rPr>
          <w:rStyle w:val="NormalWebChar"/>
          <w:rFonts w:ascii="Verdana" w:hAnsi="Verdana" w:cs="Arial"/>
          <w:sz w:val="20"/>
          <w:szCs w:val="20"/>
        </w:rPr>
        <w:t xml:space="preserve">A </w:t>
      </w:r>
      <w:r w:rsidRPr="00FD016C">
        <w:rPr>
          <w:rFonts w:ascii="Verdana" w:hAnsi="Verdana" w:cs="Arial"/>
          <w:bCs/>
          <w:sz w:val="20"/>
          <w:szCs w:val="20"/>
        </w:rPr>
        <w:t xml:space="preserve">Interpretação Técnica </w:t>
      </w:r>
      <w:r w:rsidRPr="00FD016C">
        <w:rPr>
          <w:rStyle w:val="NormalWebChar"/>
          <w:rFonts w:ascii="Verdana" w:hAnsi="Verdana" w:cs="Arial"/>
          <w:sz w:val="20"/>
          <w:szCs w:val="20"/>
        </w:rPr>
        <w:t>ICPC 12 -</w:t>
      </w:r>
      <w:r w:rsidRPr="00FD016C">
        <w:rPr>
          <w:rFonts w:ascii="Verdana" w:hAnsi="Verdana" w:cs="Arial"/>
          <w:bCs/>
          <w:sz w:val="20"/>
          <w:szCs w:val="20"/>
        </w:rPr>
        <w:t xml:space="preserve"> Mudanças em </w:t>
      </w:r>
      <w:r w:rsidR="00C320CF" w:rsidRPr="00FD016C">
        <w:rPr>
          <w:rFonts w:ascii="Verdana" w:hAnsi="Verdana" w:cs="Arial"/>
          <w:bCs/>
          <w:sz w:val="20"/>
          <w:szCs w:val="20"/>
        </w:rPr>
        <w:t>P</w:t>
      </w:r>
      <w:r w:rsidRPr="00FD016C">
        <w:rPr>
          <w:rFonts w:ascii="Verdana" w:hAnsi="Verdana" w:cs="Arial"/>
          <w:bCs/>
          <w:sz w:val="20"/>
          <w:szCs w:val="20"/>
        </w:rPr>
        <w:t>assivos</w:t>
      </w:r>
      <w:r w:rsidR="00C320CF" w:rsidRPr="00FD016C">
        <w:rPr>
          <w:rFonts w:ascii="Verdana" w:hAnsi="Verdana" w:cs="Arial"/>
          <w:bCs/>
          <w:sz w:val="20"/>
          <w:szCs w:val="20"/>
        </w:rPr>
        <w:t xml:space="preserve"> por Desativação, Restauração e Outros Passivos Similares</w:t>
      </w:r>
      <w:r w:rsidR="00DD2342" w:rsidRPr="00FD016C">
        <w:rPr>
          <w:rFonts w:ascii="Verdana" w:hAnsi="Verdana" w:cs="Arial"/>
          <w:bCs/>
          <w:sz w:val="20"/>
          <w:szCs w:val="20"/>
        </w:rPr>
        <w:t xml:space="preserve"> </w:t>
      </w:r>
      <w:r w:rsidRPr="00FD016C">
        <w:rPr>
          <w:rFonts w:ascii="Verdana" w:hAnsi="Verdana" w:cs="Arial"/>
          <w:bCs/>
          <w:sz w:val="20"/>
          <w:szCs w:val="20"/>
        </w:rPr>
        <w:t xml:space="preserve">determina que </w:t>
      </w:r>
      <w:r w:rsidR="00FF7261" w:rsidRPr="00FD016C">
        <w:rPr>
          <w:rFonts w:ascii="Verdana" w:hAnsi="Verdana" w:cs="Arial"/>
          <w:bCs/>
          <w:sz w:val="20"/>
          <w:szCs w:val="20"/>
        </w:rPr>
        <w:t>mudanças na mensuração de passivos por desativação que resultem da alteração nas estimativas de valor ou período de fluxo de desembolso de recursos ou d</w:t>
      </w:r>
      <w:r w:rsidRPr="00FD016C">
        <w:rPr>
          <w:rFonts w:ascii="Verdana" w:hAnsi="Verdana" w:cs="Arial"/>
          <w:bCs/>
          <w:sz w:val="20"/>
          <w:szCs w:val="20"/>
        </w:rPr>
        <w:t>a alteração de taxa de desconto aplicada</w:t>
      </w:r>
      <w:r w:rsidR="00005117" w:rsidRPr="00FD016C">
        <w:rPr>
          <w:rFonts w:ascii="Verdana" w:hAnsi="Verdana" w:cs="Arial"/>
          <w:bCs/>
          <w:sz w:val="20"/>
          <w:szCs w:val="20"/>
        </w:rPr>
        <w:t xml:space="preserve"> no</w:t>
      </w:r>
      <w:r w:rsidRPr="00FD016C">
        <w:rPr>
          <w:rFonts w:ascii="Verdana" w:hAnsi="Verdana" w:cs="Arial"/>
          <w:bCs/>
          <w:sz w:val="20"/>
          <w:szCs w:val="20"/>
        </w:rPr>
        <w:t xml:space="preserve"> ajuste a valor presente desse passivo, </w:t>
      </w:r>
      <w:r w:rsidR="00FF7261" w:rsidRPr="00FD016C">
        <w:rPr>
          <w:rFonts w:ascii="Verdana" w:hAnsi="Verdana" w:cs="Arial"/>
          <w:bCs/>
          <w:sz w:val="20"/>
          <w:szCs w:val="20"/>
        </w:rPr>
        <w:t>devem</w:t>
      </w:r>
      <w:r w:rsidRPr="00FD016C">
        <w:rPr>
          <w:rFonts w:ascii="Verdana" w:hAnsi="Verdana" w:cs="Arial"/>
          <w:bCs/>
          <w:sz w:val="20"/>
          <w:szCs w:val="20"/>
        </w:rPr>
        <w:t xml:space="preserve"> ser adicionad</w:t>
      </w:r>
      <w:r w:rsidR="001E6236" w:rsidRPr="00FD016C">
        <w:rPr>
          <w:rFonts w:ascii="Verdana" w:hAnsi="Verdana" w:cs="Arial"/>
          <w:bCs/>
          <w:sz w:val="20"/>
          <w:szCs w:val="20"/>
        </w:rPr>
        <w:t>as</w:t>
      </w:r>
      <w:r w:rsidRPr="00FD016C">
        <w:rPr>
          <w:rFonts w:ascii="Verdana" w:hAnsi="Verdana" w:cs="Arial"/>
          <w:bCs/>
          <w:sz w:val="20"/>
          <w:szCs w:val="20"/>
        </w:rPr>
        <w:t xml:space="preserve"> ao</w:t>
      </w:r>
      <w:r w:rsidR="00C320CF" w:rsidRPr="00FD016C">
        <w:rPr>
          <w:rFonts w:ascii="Verdana" w:hAnsi="Verdana" w:cs="Arial"/>
          <w:bCs/>
          <w:sz w:val="20"/>
          <w:szCs w:val="20"/>
        </w:rPr>
        <w:t xml:space="preserve"> (reduzida</w:t>
      </w:r>
      <w:r w:rsidR="001E6236" w:rsidRPr="00FD016C">
        <w:rPr>
          <w:rFonts w:ascii="Verdana" w:hAnsi="Verdana" w:cs="Arial"/>
          <w:bCs/>
          <w:sz w:val="20"/>
          <w:szCs w:val="20"/>
        </w:rPr>
        <w:t>s</w:t>
      </w:r>
      <w:r w:rsidR="00C320CF" w:rsidRPr="00FD016C">
        <w:rPr>
          <w:rFonts w:ascii="Verdana" w:hAnsi="Verdana" w:cs="Arial"/>
          <w:bCs/>
          <w:sz w:val="20"/>
          <w:szCs w:val="20"/>
        </w:rPr>
        <w:t xml:space="preserve"> do)</w:t>
      </w:r>
      <w:r w:rsidRPr="00FD016C">
        <w:rPr>
          <w:rFonts w:ascii="Verdana" w:hAnsi="Verdana" w:cs="Arial"/>
          <w:bCs/>
          <w:sz w:val="20"/>
          <w:szCs w:val="20"/>
        </w:rPr>
        <w:t xml:space="preserve"> ativo correspondente</w:t>
      </w:r>
      <w:r w:rsidR="00600A36" w:rsidRPr="00FD016C">
        <w:rPr>
          <w:rFonts w:ascii="Verdana" w:hAnsi="Verdana" w:cs="Arial"/>
          <w:bCs/>
          <w:sz w:val="20"/>
          <w:szCs w:val="20"/>
        </w:rPr>
        <w:t xml:space="preserve"> (nota 24)</w:t>
      </w:r>
      <w:r w:rsidRPr="00FD016C">
        <w:rPr>
          <w:rFonts w:ascii="Verdana" w:hAnsi="Verdana" w:cs="Arial"/>
          <w:bCs/>
          <w:sz w:val="20"/>
          <w:szCs w:val="20"/>
        </w:rPr>
        <w:t>.</w:t>
      </w:r>
    </w:p>
    <w:p w14:paraId="02C25CCF" w14:textId="516A2D9B" w:rsidR="004E0596" w:rsidRPr="00FD016C" w:rsidRDefault="004E0596" w:rsidP="005144E2">
      <w:pPr>
        <w:widowControl/>
        <w:jc w:val="both"/>
        <w:rPr>
          <w:rFonts w:ascii="Arial" w:hAnsi="Arial" w:cs="Arial"/>
          <w:bCs/>
          <w:sz w:val="20"/>
          <w:szCs w:val="20"/>
        </w:rPr>
      </w:pPr>
    </w:p>
    <w:p w14:paraId="0290CC46" w14:textId="77777777" w:rsidR="007A2A01" w:rsidRPr="00FD016C" w:rsidRDefault="007A2A01" w:rsidP="005144E2">
      <w:pPr>
        <w:widowControl/>
        <w:jc w:val="both"/>
        <w:rPr>
          <w:rFonts w:ascii="Arial" w:hAnsi="Arial" w:cs="Arial"/>
          <w:bCs/>
          <w:sz w:val="20"/>
          <w:szCs w:val="20"/>
        </w:rPr>
      </w:pPr>
    </w:p>
    <w:p w14:paraId="4725C531" w14:textId="22B7BE6B" w:rsidR="003F4719" w:rsidRPr="00FD016C" w:rsidRDefault="00DA56CF" w:rsidP="00DA56CF">
      <w:pPr>
        <w:widowControl/>
        <w:jc w:val="both"/>
        <w:rPr>
          <w:rStyle w:val="NormalWebChar"/>
          <w:rFonts w:ascii="Verdana" w:hAnsi="Verdana" w:cs="Arial"/>
          <w:b/>
          <w:color w:val="0070C0"/>
        </w:rPr>
      </w:pPr>
      <w:r w:rsidRPr="00FD016C">
        <w:rPr>
          <w:rStyle w:val="NormalWebChar"/>
          <w:rFonts w:ascii="Verdana" w:hAnsi="Verdana" w:cs="Arial"/>
          <w:b/>
          <w:color w:val="0070C0"/>
        </w:rPr>
        <w:t xml:space="preserve">f) </w:t>
      </w:r>
      <w:r w:rsidR="003F4719" w:rsidRPr="00FD016C">
        <w:rPr>
          <w:rStyle w:val="NormalWebChar"/>
          <w:rFonts w:ascii="Verdana" w:hAnsi="Verdana" w:cs="Arial"/>
          <w:b/>
          <w:color w:val="0070C0"/>
        </w:rPr>
        <w:t>Pronunciamento Técnico CPC 27 – Sobressalentes no Imobilizado</w:t>
      </w:r>
    </w:p>
    <w:p w14:paraId="0F0ABD06" w14:textId="77777777" w:rsidR="003F4719" w:rsidRPr="00FD016C" w:rsidRDefault="003F4719" w:rsidP="005144E2">
      <w:pPr>
        <w:widowControl/>
        <w:jc w:val="both"/>
        <w:rPr>
          <w:rFonts w:ascii="Arial" w:hAnsi="Arial" w:cs="Arial"/>
          <w:b/>
          <w:sz w:val="20"/>
          <w:szCs w:val="20"/>
        </w:rPr>
      </w:pPr>
    </w:p>
    <w:p w14:paraId="2A0248F3"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A Companhia mantém em seu </w:t>
      </w:r>
      <w:r w:rsidR="00C320CF" w:rsidRPr="00FD016C">
        <w:rPr>
          <w:rFonts w:ascii="Verdana" w:hAnsi="Verdana" w:cs="Arial"/>
          <w:sz w:val="20"/>
          <w:szCs w:val="20"/>
        </w:rPr>
        <w:t>estoque</w:t>
      </w:r>
      <w:r w:rsidRPr="00FD016C">
        <w:rPr>
          <w:rFonts w:ascii="Verdana" w:hAnsi="Verdana" w:cs="Arial"/>
          <w:sz w:val="20"/>
          <w:szCs w:val="20"/>
        </w:rPr>
        <w:t xml:space="preserve"> uma gama de material de valor compatível às necessidades específicas de cada uma de suas usinas, devido às características próprias e individuais dos projetos. Trata-se de componentes e respectivos sobressalentes de fabricação restrita, de disponibilidade reduzida e, na sua quase totalidade, adquirida do exterior, necessários de modo a garantir a performance e fluxo contínuo de operação.</w:t>
      </w:r>
    </w:p>
    <w:p w14:paraId="34B56DD7" w14:textId="77777777" w:rsidR="002D5D8F" w:rsidRPr="00FD016C" w:rsidRDefault="002D5D8F" w:rsidP="005144E2">
      <w:pPr>
        <w:widowControl/>
        <w:jc w:val="both"/>
        <w:rPr>
          <w:rFonts w:ascii="Arial" w:hAnsi="Arial" w:cs="Arial"/>
          <w:sz w:val="20"/>
          <w:szCs w:val="20"/>
        </w:rPr>
      </w:pPr>
    </w:p>
    <w:p w14:paraId="56CE4750" w14:textId="77777777" w:rsidR="003B746A" w:rsidRPr="00FD016C" w:rsidRDefault="003B746A" w:rsidP="005144E2">
      <w:pPr>
        <w:widowControl/>
        <w:jc w:val="both"/>
        <w:rPr>
          <w:rFonts w:ascii="Arial" w:hAnsi="Arial" w:cs="Arial"/>
          <w:sz w:val="20"/>
          <w:szCs w:val="20"/>
        </w:rPr>
      </w:pPr>
    </w:p>
    <w:p w14:paraId="2F43A999" w14:textId="6502C994" w:rsidR="003F4719" w:rsidRPr="00FD016C" w:rsidRDefault="003F4719" w:rsidP="00DA56CF">
      <w:pPr>
        <w:pStyle w:val="PargrafodaLista"/>
        <w:widowControl/>
        <w:numPr>
          <w:ilvl w:val="0"/>
          <w:numId w:val="41"/>
        </w:numPr>
        <w:tabs>
          <w:tab w:val="num" w:pos="426"/>
        </w:tabs>
        <w:ind w:left="284" w:hanging="284"/>
        <w:jc w:val="both"/>
        <w:rPr>
          <w:rFonts w:ascii="Verdana" w:hAnsi="Verdana" w:cs="Arial"/>
          <w:b/>
          <w:bCs/>
          <w:color w:val="0070C0"/>
        </w:rPr>
      </w:pPr>
      <w:r w:rsidRPr="00FD016C">
        <w:rPr>
          <w:rFonts w:ascii="Verdana" w:hAnsi="Verdana" w:cs="Arial"/>
          <w:b/>
          <w:bCs/>
          <w:color w:val="0070C0"/>
        </w:rPr>
        <w:t>Empreendimento Angra 3</w:t>
      </w:r>
    </w:p>
    <w:p w14:paraId="51CE19EA" w14:textId="77777777" w:rsidR="003F4719" w:rsidRPr="00FD016C" w:rsidRDefault="003F4719" w:rsidP="005144E2">
      <w:pPr>
        <w:widowControl/>
        <w:tabs>
          <w:tab w:val="num" w:pos="284"/>
        </w:tabs>
        <w:jc w:val="both"/>
        <w:rPr>
          <w:rFonts w:ascii="Arial" w:hAnsi="Arial" w:cs="Arial"/>
          <w:b/>
          <w:bCs/>
          <w:sz w:val="20"/>
          <w:szCs w:val="20"/>
        </w:rPr>
      </w:pPr>
    </w:p>
    <w:p w14:paraId="3ADF7F75" w14:textId="6C926160" w:rsidR="00182DB6" w:rsidRPr="00FD016C" w:rsidRDefault="00182DB6" w:rsidP="00182DB6">
      <w:pPr>
        <w:jc w:val="both"/>
        <w:rPr>
          <w:rFonts w:ascii="Verdana" w:hAnsi="Verdana" w:cs="Arial"/>
          <w:iCs/>
          <w:sz w:val="20"/>
          <w:szCs w:val="20"/>
        </w:rPr>
      </w:pPr>
      <w:r w:rsidRPr="00FD016C">
        <w:rPr>
          <w:rFonts w:ascii="Verdana" w:hAnsi="Verdana" w:cs="Arial"/>
          <w:iCs/>
          <w:sz w:val="20"/>
          <w:szCs w:val="20"/>
        </w:rPr>
        <w:t>Em 01 de março de 2021, o texto da MP 998/20 foi sancionado pelo Sr. Presidente da República e convertida na Lei 14.120/2021. A Lei estabelece um marco legal para diversas questões relacionadas ao empreendimento, dando segurança jurídica para que a ELETRONUCLEAR possa investir na retomada da usina. A lei estabelece novos parâmetros para outorga da usina, além da autorização para celebração de um novo Contrato de Energia de Reserva - CER e, principalmente, definindo que o preço de venda da energia deverá garantir a viabilidade econômico-financeira do projeto.</w:t>
      </w:r>
    </w:p>
    <w:p w14:paraId="17CD9313" w14:textId="77777777" w:rsidR="00182DB6" w:rsidRPr="00FD016C" w:rsidRDefault="00182DB6" w:rsidP="003C2634">
      <w:pPr>
        <w:jc w:val="both"/>
        <w:rPr>
          <w:rFonts w:ascii="Verdana" w:hAnsi="Verdana" w:cs="Arial"/>
          <w:sz w:val="20"/>
          <w:szCs w:val="20"/>
          <w:lang w:eastAsia="en-US"/>
        </w:rPr>
      </w:pPr>
    </w:p>
    <w:p w14:paraId="33CE4206" w14:textId="4A825313" w:rsidR="003C2634" w:rsidRPr="00FD016C" w:rsidRDefault="00D42928" w:rsidP="003C2634">
      <w:pPr>
        <w:jc w:val="both"/>
        <w:rPr>
          <w:rFonts w:ascii="Verdana" w:hAnsi="Verdana" w:cs="Arial"/>
          <w:sz w:val="20"/>
          <w:szCs w:val="20"/>
          <w:lang w:eastAsia="en-US"/>
        </w:rPr>
      </w:pPr>
      <w:r w:rsidRPr="00FD016C">
        <w:rPr>
          <w:rFonts w:ascii="Verdana" w:hAnsi="Verdana" w:cs="Arial"/>
          <w:sz w:val="20"/>
          <w:szCs w:val="20"/>
          <w:lang w:eastAsia="en-US"/>
        </w:rPr>
        <w:t>Ta</w:t>
      </w:r>
      <w:r w:rsidR="00182DB6" w:rsidRPr="00FD016C">
        <w:rPr>
          <w:rFonts w:ascii="Verdana" w:hAnsi="Verdana" w:cs="Arial"/>
          <w:sz w:val="20"/>
          <w:szCs w:val="20"/>
          <w:lang w:eastAsia="en-US"/>
        </w:rPr>
        <w:t>l</w:t>
      </w:r>
      <w:r w:rsidR="003C2634" w:rsidRPr="00FD016C">
        <w:rPr>
          <w:rFonts w:ascii="Verdana" w:hAnsi="Verdana" w:cs="Arial"/>
          <w:sz w:val="20"/>
          <w:szCs w:val="20"/>
          <w:lang w:eastAsia="en-US"/>
        </w:rPr>
        <w:t xml:space="preserve"> medida representa o avanço do processo de retomada do empreendimento de Angra 3, principalmente no sentido de garantir o equilíbrio econômico-financeiro do projeto, considerando que os eventos que representaram aumento no </w:t>
      </w:r>
      <w:r w:rsidR="00753258" w:rsidRPr="00FD016C">
        <w:rPr>
          <w:rFonts w:ascii="Verdana" w:hAnsi="Verdana" w:cs="Arial"/>
          <w:sz w:val="20"/>
          <w:szCs w:val="20"/>
          <w:lang w:eastAsia="en-US"/>
        </w:rPr>
        <w:t xml:space="preserve">CAPEX </w:t>
      </w:r>
      <w:r w:rsidR="003C2634" w:rsidRPr="00FD016C">
        <w:rPr>
          <w:rFonts w:ascii="Verdana" w:hAnsi="Verdana" w:cs="Arial"/>
          <w:sz w:val="20"/>
          <w:szCs w:val="20"/>
          <w:lang w:eastAsia="en-US"/>
        </w:rPr>
        <w:t xml:space="preserve">do projeto deverão ser refletidos no cálculo da tarifa, conforme marco legal. Além disso, os aportes de recursos pela </w:t>
      </w:r>
      <w:r w:rsidR="003C2634" w:rsidRPr="00FD016C">
        <w:rPr>
          <w:rFonts w:ascii="Verdana" w:hAnsi="Verdana" w:cs="Arial"/>
          <w:sz w:val="20"/>
          <w:szCs w:val="20"/>
          <w:lang w:eastAsia="en-US"/>
        </w:rPr>
        <w:lastRenderedPageBreak/>
        <w:t xml:space="preserve">sua </w:t>
      </w:r>
      <w:r w:rsidR="003C2634" w:rsidRPr="00FD016C">
        <w:rPr>
          <w:rFonts w:ascii="Verdana" w:hAnsi="Verdana" w:cs="Arial"/>
          <w:i/>
          <w:sz w:val="20"/>
          <w:szCs w:val="20"/>
          <w:lang w:eastAsia="en-US"/>
        </w:rPr>
        <w:t xml:space="preserve">holding </w:t>
      </w:r>
      <w:r w:rsidR="003C2634" w:rsidRPr="00FD016C">
        <w:rPr>
          <w:rFonts w:ascii="Verdana" w:hAnsi="Verdana" w:cs="Arial"/>
          <w:sz w:val="20"/>
          <w:szCs w:val="20"/>
          <w:lang w:eastAsia="en-US"/>
        </w:rPr>
        <w:t xml:space="preserve">e a implementação do Plano de Aceleração da Linha Crítica do empreendimento buscam garantir a manutenção do cronograma de início de operação de Angra 3 para novembro de 2026.    </w:t>
      </w:r>
    </w:p>
    <w:p w14:paraId="0AC7A38B" w14:textId="77777777" w:rsidR="003C2634" w:rsidRPr="00FD016C" w:rsidRDefault="003C2634" w:rsidP="005144E2">
      <w:pPr>
        <w:jc w:val="both"/>
        <w:rPr>
          <w:rFonts w:ascii="Verdana" w:hAnsi="Verdana" w:cs="Arial"/>
          <w:sz w:val="20"/>
          <w:szCs w:val="20"/>
        </w:rPr>
      </w:pPr>
    </w:p>
    <w:p w14:paraId="27D9CA4A" w14:textId="1763DC21" w:rsidR="003C2634" w:rsidRPr="00FD016C" w:rsidRDefault="003C2634" w:rsidP="005144E2">
      <w:pPr>
        <w:jc w:val="both"/>
        <w:rPr>
          <w:rFonts w:ascii="Verdana" w:hAnsi="Verdana" w:cs="Arial"/>
          <w:sz w:val="20"/>
          <w:szCs w:val="20"/>
        </w:rPr>
      </w:pPr>
    </w:p>
    <w:p w14:paraId="43D3F74B" w14:textId="77777777" w:rsidR="0056570E" w:rsidRPr="00FD016C" w:rsidRDefault="0056570E" w:rsidP="005144E2">
      <w:pPr>
        <w:jc w:val="both"/>
        <w:rPr>
          <w:rFonts w:ascii="Verdana" w:hAnsi="Verdana" w:cs="Arial"/>
          <w:sz w:val="20"/>
          <w:szCs w:val="20"/>
        </w:rPr>
      </w:pPr>
    </w:p>
    <w:p w14:paraId="7C5753CC" w14:textId="77777777"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t>NOTA 15 – INTANGÍVEL</w:t>
      </w:r>
    </w:p>
    <w:p w14:paraId="7484A56E" w14:textId="77777777" w:rsidR="00BB74A6" w:rsidRPr="00FD016C" w:rsidRDefault="00BB74A6" w:rsidP="005144E2">
      <w:pPr>
        <w:widowControl/>
        <w:jc w:val="both"/>
        <w:rPr>
          <w:rFonts w:ascii="Verdana" w:hAnsi="Verdana" w:cs="Arial"/>
          <w:b/>
          <w:sz w:val="20"/>
          <w:szCs w:val="20"/>
        </w:rPr>
      </w:pPr>
    </w:p>
    <w:p w14:paraId="35C2CF17" w14:textId="77777777" w:rsidR="0056570E" w:rsidRPr="00FD016C" w:rsidRDefault="0056570E" w:rsidP="005144E2">
      <w:pPr>
        <w:widowControl/>
        <w:jc w:val="both"/>
        <w:rPr>
          <w:rFonts w:ascii="Verdana" w:hAnsi="Verdana" w:cs="Arial"/>
          <w:b/>
          <w:sz w:val="20"/>
          <w:szCs w:val="20"/>
        </w:rPr>
      </w:pPr>
    </w:p>
    <w:p w14:paraId="1FCB70FD"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 ativo intangível da Companhia compõe-se, basicamente: da aquisição de</w:t>
      </w:r>
      <w:r w:rsidRPr="00FD016C">
        <w:rPr>
          <w:rFonts w:ascii="Verdana" w:hAnsi="Verdana" w:cs="Arial"/>
          <w:bCs/>
          <w:sz w:val="20"/>
          <w:szCs w:val="20"/>
        </w:rPr>
        <w:t xml:space="preserve"> licença de uso do software do seu </w:t>
      </w:r>
      <w:r w:rsidRPr="00FD016C">
        <w:rPr>
          <w:rFonts w:ascii="Verdana" w:hAnsi="Verdana" w:cs="Arial"/>
          <w:sz w:val="20"/>
          <w:szCs w:val="20"/>
        </w:rPr>
        <w:t>sistema corporativo central, denominado SAP R/3, e de outros software</w:t>
      </w:r>
      <w:r w:rsidR="007410ED" w:rsidRPr="00FD016C">
        <w:rPr>
          <w:rFonts w:ascii="Verdana" w:hAnsi="Verdana" w:cs="Arial"/>
          <w:sz w:val="20"/>
          <w:szCs w:val="20"/>
        </w:rPr>
        <w:t>s</w:t>
      </w:r>
      <w:r w:rsidRPr="00FD016C">
        <w:rPr>
          <w:rFonts w:ascii="Verdana" w:hAnsi="Verdana" w:cs="Arial"/>
          <w:sz w:val="20"/>
          <w:szCs w:val="20"/>
        </w:rPr>
        <w:t xml:space="preserve"> aplicativos de uso específico e geral</w:t>
      </w:r>
      <w:r w:rsidR="00E6336A" w:rsidRPr="00FD016C">
        <w:rPr>
          <w:rFonts w:ascii="Verdana" w:hAnsi="Verdana" w:cs="Arial"/>
          <w:sz w:val="20"/>
          <w:szCs w:val="20"/>
        </w:rPr>
        <w:t>,</w:t>
      </w:r>
      <w:r w:rsidRPr="00FD016C">
        <w:rPr>
          <w:rFonts w:ascii="Verdana" w:hAnsi="Verdana" w:cs="Arial"/>
          <w:sz w:val="20"/>
          <w:szCs w:val="20"/>
        </w:rPr>
        <w:t xml:space="preserve"> de valores substanciais, estando os mesmos registrados pelo custo de aquisição.</w:t>
      </w:r>
    </w:p>
    <w:p w14:paraId="1DD58D1A" w14:textId="77777777" w:rsidR="00AF6540" w:rsidRPr="00FD016C" w:rsidRDefault="00AF6540" w:rsidP="005144E2">
      <w:pPr>
        <w:widowControl/>
        <w:jc w:val="both"/>
        <w:rPr>
          <w:rFonts w:ascii="Verdana" w:hAnsi="Verdana" w:cs="Arial"/>
          <w:sz w:val="20"/>
          <w:szCs w:val="20"/>
        </w:rPr>
      </w:pPr>
    </w:p>
    <w:p w14:paraId="45946576" w14:textId="77777777" w:rsidR="00AF6540" w:rsidRPr="00FD016C" w:rsidRDefault="00AF6540" w:rsidP="00AF6540">
      <w:pPr>
        <w:widowControl/>
        <w:jc w:val="both"/>
        <w:rPr>
          <w:rFonts w:ascii="Verdana" w:hAnsi="Verdana" w:cs="Arial"/>
          <w:sz w:val="20"/>
          <w:szCs w:val="20"/>
        </w:rPr>
      </w:pPr>
      <w:r w:rsidRPr="00FD016C">
        <w:rPr>
          <w:rFonts w:ascii="Verdana" w:hAnsi="Verdana" w:cs="Arial"/>
          <w:sz w:val="20"/>
          <w:szCs w:val="20"/>
        </w:rPr>
        <w:t>Os intangíveis em serviço são amortizados a taxa anual de 20%.</w:t>
      </w:r>
    </w:p>
    <w:p w14:paraId="5ABA4F7C" w14:textId="77777777" w:rsidR="00C1775B" w:rsidRPr="00FD016C" w:rsidRDefault="00C1775B" w:rsidP="005144E2">
      <w:pPr>
        <w:widowControl/>
        <w:ind w:right="-28"/>
        <w:jc w:val="both"/>
        <w:rPr>
          <w:rFonts w:ascii="Verdana" w:hAnsi="Verdana" w:cs="Arial"/>
          <w:sz w:val="20"/>
          <w:szCs w:val="20"/>
        </w:rPr>
      </w:pPr>
    </w:p>
    <w:p w14:paraId="47917052" w14:textId="1223FF0C" w:rsidR="00DA600F" w:rsidRPr="00FD016C" w:rsidRDefault="003F4719" w:rsidP="005144E2">
      <w:pPr>
        <w:widowControl/>
        <w:ind w:right="-28"/>
        <w:jc w:val="both"/>
        <w:rPr>
          <w:rFonts w:ascii="Verdana" w:hAnsi="Verdana" w:cs="Arial"/>
          <w:sz w:val="20"/>
          <w:szCs w:val="20"/>
        </w:rPr>
      </w:pPr>
      <w:r w:rsidRPr="00FD016C">
        <w:rPr>
          <w:rFonts w:ascii="Verdana" w:hAnsi="Verdana" w:cs="Arial"/>
          <w:sz w:val="20"/>
          <w:szCs w:val="20"/>
        </w:rPr>
        <w:t>A movimentação do ativo intangível está assim constituída:</w:t>
      </w:r>
    </w:p>
    <w:p w14:paraId="0B7C6B7D" w14:textId="77777777" w:rsidR="009B280B" w:rsidRPr="00FD016C" w:rsidRDefault="009B280B" w:rsidP="005144E2">
      <w:pPr>
        <w:widowControl/>
        <w:ind w:right="-28"/>
        <w:jc w:val="both"/>
        <w:rPr>
          <w:rFonts w:ascii="Verdana" w:hAnsi="Verdana" w:cs="Arial"/>
          <w:sz w:val="20"/>
          <w:szCs w:val="20"/>
        </w:rPr>
      </w:pPr>
    </w:p>
    <w:p w14:paraId="4F4AD771" w14:textId="09EFC7AE" w:rsidR="007553D5" w:rsidRPr="00FD016C" w:rsidRDefault="009B280B" w:rsidP="005144E2">
      <w:pPr>
        <w:widowControl/>
        <w:ind w:right="-28"/>
        <w:jc w:val="both"/>
        <w:rPr>
          <w:rFonts w:ascii="Verdana" w:hAnsi="Verdana" w:cs="Arial"/>
          <w:sz w:val="20"/>
          <w:szCs w:val="20"/>
        </w:rPr>
      </w:pPr>
      <w:r w:rsidRPr="00FD016C">
        <w:rPr>
          <w:noProof/>
        </w:rPr>
        <w:drawing>
          <wp:inline distT="0" distB="0" distL="0" distR="0" wp14:anchorId="404F2C5D" wp14:editId="5604A6B6">
            <wp:extent cx="6073140" cy="1454783"/>
            <wp:effectExtent l="0" t="0" r="381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3140" cy="1454783"/>
                    </a:xfrm>
                    <a:prstGeom prst="rect">
                      <a:avLst/>
                    </a:prstGeom>
                    <a:noFill/>
                    <a:ln>
                      <a:noFill/>
                    </a:ln>
                  </pic:spPr>
                </pic:pic>
              </a:graphicData>
            </a:graphic>
          </wp:inline>
        </w:drawing>
      </w:r>
    </w:p>
    <w:p w14:paraId="70BCB217" w14:textId="77777777" w:rsidR="007553D5" w:rsidRPr="00FD016C" w:rsidRDefault="007553D5" w:rsidP="005144E2">
      <w:pPr>
        <w:widowControl/>
        <w:ind w:right="-28"/>
        <w:jc w:val="both"/>
        <w:rPr>
          <w:rFonts w:ascii="Verdana" w:hAnsi="Verdana" w:cs="Arial"/>
          <w:sz w:val="20"/>
          <w:szCs w:val="20"/>
        </w:rPr>
      </w:pPr>
    </w:p>
    <w:p w14:paraId="7137DC35" w14:textId="6B1E791B" w:rsidR="00652727" w:rsidRPr="00FD016C" w:rsidRDefault="00A7244B" w:rsidP="005144E2">
      <w:pPr>
        <w:widowControl/>
        <w:ind w:right="-28"/>
        <w:jc w:val="both"/>
        <w:rPr>
          <w:rFonts w:ascii="Verdana" w:hAnsi="Verdana" w:cs="Arial"/>
          <w:sz w:val="20"/>
          <w:szCs w:val="20"/>
        </w:rPr>
      </w:pPr>
      <w:r w:rsidRPr="00FD016C">
        <w:rPr>
          <w:noProof/>
        </w:rPr>
        <w:drawing>
          <wp:inline distT="0" distB="0" distL="0" distR="0" wp14:anchorId="1010F7B7" wp14:editId="0BBBB4B1">
            <wp:extent cx="6073140" cy="1455953"/>
            <wp:effectExtent l="0" t="0" r="381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3140" cy="1455953"/>
                    </a:xfrm>
                    <a:prstGeom prst="rect">
                      <a:avLst/>
                    </a:prstGeom>
                    <a:noFill/>
                    <a:ln>
                      <a:noFill/>
                    </a:ln>
                  </pic:spPr>
                </pic:pic>
              </a:graphicData>
            </a:graphic>
          </wp:inline>
        </w:drawing>
      </w:r>
    </w:p>
    <w:p w14:paraId="0707DFDC" w14:textId="47E42C0E" w:rsidR="00795977" w:rsidRPr="00FD016C" w:rsidRDefault="00795977" w:rsidP="005144E2">
      <w:pPr>
        <w:widowControl/>
        <w:ind w:right="-28"/>
        <w:jc w:val="both"/>
        <w:rPr>
          <w:rFonts w:ascii="Verdana" w:hAnsi="Verdana" w:cs="Arial"/>
          <w:sz w:val="20"/>
          <w:szCs w:val="20"/>
        </w:rPr>
      </w:pPr>
    </w:p>
    <w:p w14:paraId="79976743" w14:textId="77777777" w:rsidR="00AC287D" w:rsidRPr="00FD016C" w:rsidRDefault="00AC287D" w:rsidP="005144E2">
      <w:pPr>
        <w:widowControl/>
        <w:ind w:right="-28"/>
        <w:jc w:val="both"/>
        <w:rPr>
          <w:rFonts w:ascii="Verdana" w:hAnsi="Verdana" w:cs="Arial"/>
          <w:sz w:val="20"/>
          <w:szCs w:val="20"/>
        </w:rPr>
      </w:pPr>
    </w:p>
    <w:p w14:paraId="40616A4E" w14:textId="77777777" w:rsidR="00C1775B" w:rsidRPr="00FD016C" w:rsidRDefault="00C1775B" w:rsidP="005144E2">
      <w:pPr>
        <w:widowControl/>
        <w:ind w:right="-28"/>
        <w:jc w:val="both"/>
        <w:rPr>
          <w:rFonts w:ascii="Arial" w:hAnsi="Arial" w:cs="Arial"/>
          <w:b/>
        </w:rPr>
      </w:pPr>
    </w:p>
    <w:p w14:paraId="22974A49" w14:textId="6568A78B" w:rsidR="003F4719" w:rsidRPr="00FD016C" w:rsidRDefault="008532FA" w:rsidP="005144E2">
      <w:pPr>
        <w:widowControl/>
        <w:ind w:right="-28"/>
        <w:jc w:val="both"/>
        <w:rPr>
          <w:rFonts w:ascii="Verdana" w:hAnsi="Verdana" w:cs="Arial"/>
          <w:b/>
          <w:color w:val="0070C0"/>
          <w:sz w:val="26"/>
          <w:szCs w:val="26"/>
        </w:rPr>
      </w:pPr>
      <w:r w:rsidRPr="00FD016C">
        <w:rPr>
          <w:rFonts w:ascii="Verdana" w:hAnsi="Verdana" w:cs="Arial"/>
          <w:b/>
          <w:color w:val="0070C0"/>
          <w:sz w:val="26"/>
          <w:szCs w:val="26"/>
        </w:rPr>
        <w:t>16 – FORNECEDORES</w:t>
      </w:r>
    </w:p>
    <w:p w14:paraId="21098ACB" w14:textId="77777777" w:rsidR="00230059" w:rsidRPr="00FD016C" w:rsidRDefault="00230059" w:rsidP="005144E2">
      <w:pPr>
        <w:widowControl/>
        <w:ind w:right="-28"/>
        <w:jc w:val="both"/>
        <w:rPr>
          <w:rFonts w:ascii="Verdana" w:hAnsi="Verdana" w:cs="Arial"/>
          <w:b/>
          <w:sz w:val="20"/>
          <w:szCs w:val="20"/>
        </w:rPr>
      </w:pPr>
    </w:p>
    <w:p w14:paraId="061E5109" w14:textId="77777777" w:rsidR="00BB74A6" w:rsidRPr="00FD016C" w:rsidRDefault="00BB74A6" w:rsidP="005144E2">
      <w:pPr>
        <w:widowControl/>
        <w:ind w:right="-28"/>
        <w:jc w:val="both"/>
        <w:rPr>
          <w:rFonts w:ascii="Verdana" w:hAnsi="Verdana" w:cs="Arial"/>
          <w:b/>
          <w:sz w:val="20"/>
          <w:szCs w:val="20"/>
        </w:rPr>
      </w:pPr>
    </w:p>
    <w:p w14:paraId="54177E17" w14:textId="29A33304"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 saldo de fornecedores está composto de contas a pagar a empresas que fornecem materiais para o estoque do almoxarifado da operação, concentrado de urânio e serviços para o estoque de combustível nuclear e para aplicação direta no investimento e nas atividades estruturais da ELETRONUCLEAR.</w:t>
      </w:r>
    </w:p>
    <w:p w14:paraId="74E8DDF7" w14:textId="1D1A6CCC" w:rsidR="004602C4" w:rsidRPr="00FD016C" w:rsidRDefault="004602C4" w:rsidP="005144E2">
      <w:pPr>
        <w:widowControl/>
        <w:jc w:val="both"/>
        <w:rPr>
          <w:rFonts w:ascii="Verdana" w:hAnsi="Verdana" w:cs="Arial"/>
          <w:sz w:val="20"/>
          <w:szCs w:val="20"/>
        </w:rPr>
      </w:pPr>
    </w:p>
    <w:p w14:paraId="74D259C2" w14:textId="77777777" w:rsidR="00084F0F" w:rsidRPr="00FD016C" w:rsidRDefault="00084F0F" w:rsidP="005144E2">
      <w:pPr>
        <w:widowControl/>
        <w:jc w:val="both"/>
        <w:rPr>
          <w:rFonts w:ascii="Verdana" w:hAnsi="Verdana" w:cs="Arial"/>
          <w:sz w:val="20"/>
          <w:szCs w:val="20"/>
        </w:rPr>
      </w:pPr>
    </w:p>
    <w:p w14:paraId="394B5809"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lastRenderedPageBreak/>
        <w:t>Abaixo, quadro com a composição da dívida com fornecedores:</w:t>
      </w:r>
    </w:p>
    <w:p w14:paraId="1A7D1768" w14:textId="4120AE92" w:rsidR="00E23179" w:rsidRPr="00FD016C" w:rsidRDefault="00E23179" w:rsidP="005144E2">
      <w:pPr>
        <w:widowControl/>
        <w:jc w:val="both"/>
        <w:rPr>
          <w:rFonts w:ascii="Verdana" w:hAnsi="Verdana" w:cs="Arial"/>
          <w:sz w:val="20"/>
          <w:szCs w:val="20"/>
        </w:rPr>
      </w:pPr>
    </w:p>
    <w:p w14:paraId="1DD5F23B" w14:textId="66108322" w:rsidR="0002779E" w:rsidRPr="00FD016C" w:rsidRDefault="00647B6F" w:rsidP="005144E2">
      <w:pPr>
        <w:widowControl/>
        <w:jc w:val="both"/>
        <w:rPr>
          <w:rFonts w:ascii="Verdana" w:hAnsi="Verdana" w:cs="Arial"/>
          <w:sz w:val="20"/>
          <w:szCs w:val="20"/>
        </w:rPr>
      </w:pPr>
      <w:r w:rsidRPr="00FD016C">
        <w:rPr>
          <w:noProof/>
        </w:rPr>
        <w:drawing>
          <wp:inline distT="0" distB="0" distL="0" distR="0" wp14:anchorId="28929F5B" wp14:editId="7034BCFC">
            <wp:extent cx="6073140" cy="1168889"/>
            <wp:effectExtent l="0" t="0" r="381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3140" cy="1168889"/>
                    </a:xfrm>
                    <a:prstGeom prst="rect">
                      <a:avLst/>
                    </a:prstGeom>
                    <a:noFill/>
                    <a:ln>
                      <a:noFill/>
                    </a:ln>
                  </pic:spPr>
                </pic:pic>
              </a:graphicData>
            </a:graphic>
          </wp:inline>
        </w:drawing>
      </w:r>
    </w:p>
    <w:p w14:paraId="4BF7A4DB" w14:textId="5D5D1C5F" w:rsidR="00E23179" w:rsidRPr="00FD016C" w:rsidRDefault="00E23179" w:rsidP="005144E2">
      <w:pPr>
        <w:widowControl/>
        <w:jc w:val="both"/>
        <w:rPr>
          <w:rFonts w:ascii="Verdana" w:hAnsi="Verdana" w:cs="Arial"/>
          <w:sz w:val="20"/>
          <w:szCs w:val="20"/>
        </w:rPr>
      </w:pPr>
    </w:p>
    <w:p w14:paraId="767C489C" w14:textId="38CBF4D5" w:rsidR="00996CFF" w:rsidRPr="00FD016C" w:rsidRDefault="0002779E" w:rsidP="005144E2">
      <w:pPr>
        <w:widowControl/>
        <w:jc w:val="both"/>
        <w:rPr>
          <w:rFonts w:ascii="Verdana" w:hAnsi="Verdana" w:cs="Arial"/>
          <w:sz w:val="20"/>
          <w:szCs w:val="20"/>
        </w:rPr>
      </w:pPr>
      <w:r w:rsidRPr="00FD016C">
        <w:rPr>
          <w:noProof/>
        </w:rPr>
        <w:drawing>
          <wp:inline distT="0" distB="0" distL="0" distR="0" wp14:anchorId="174B71FF" wp14:editId="06EC2394">
            <wp:extent cx="6073140" cy="1172515"/>
            <wp:effectExtent l="0" t="0" r="3810" b="889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3140" cy="1172515"/>
                    </a:xfrm>
                    <a:prstGeom prst="rect">
                      <a:avLst/>
                    </a:prstGeom>
                    <a:noFill/>
                    <a:ln>
                      <a:noFill/>
                    </a:ln>
                  </pic:spPr>
                </pic:pic>
              </a:graphicData>
            </a:graphic>
          </wp:inline>
        </w:drawing>
      </w:r>
    </w:p>
    <w:p w14:paraId="4351FDEB" w14:textId="77777777" w:rsidR="0056570E" w:rsidRPr="00FD016C" w:rsidRDefault="0056570E" w:rsidP="00CF5751">
      <w:pPr>
        <w:rPr>
          <w:rFonts w:ascii="Verdana" w:hAnsi="Verdana" w:cs="Arial"/>
          <w:sz w:val="20"/>
          <w:szCs w:val="20"/>
        </w:rPr>
      </w:pPr>
    </w:p>
    <w:p w14:paraId="3A0B2DB3" w14:textId="3F575F89" w:rsidR="002B7E08" w:rsidRPr="00FD016C" w:rsidRDefault="00473B21" w:rsidP="00914BD2">
      <w:pPr>
        <w:jc w:val="both"/>
        <w:rPr>
          <w:rFonts w:ascii="Verdana" w:hAnsi="Verdana" w:cs="Arial"/>
          <w:color w:val="000000" w:themeColor="text1"/>
          <w:sz w:val="20"/>
          <w:szCs w:val="20"/>
        </w:rPr>
      </w:pPr>
      <w:r>
        <w:rPr>
          <w:rFonts w:ascii="Verdana" w:hAnsi="Verdana"/>
          <w:color w:val="000000"/>
          <w:sz w:val="20"/>
          <w:szCs w:val="20"/>
        </w:rPr>
        <w:t>O</w:t>
      </w:r>
      <w:r w:rsidRPr="00FD016C">
        <w:rPr>
          <w:rFonts w:ascii="Verdana" w:hAnsi="Verdana"/>
          <w:color w:val="000000"/>
          <w:sz w:val="20"/>
          <w:szCs w:val="20"/>
        </w:rPr>
        <w:t xml:space="preserve"> </w:t>
      </w:r>
      <w:r w:rsidR="00914BD2" w:rsidRPr="00FD016C">
        <w:rPr>
          <w:rFonts w:ascii="Verdana" w:hAnsi="Verdana"/>
          <w:color w:val="000000"/>
          <w:sz w:val="20"/>
          <w:szCs w:val="20"/>
        </w:rPr>
        <w:t>recebimento da receita própria da companhia sem inadimplência, bem como os aportes financeiros oriundos da terceira e quarta tranche</w:t>
      </w:r>
      <w:r w:rsidR="004A556A">
        <w:rPr>
          <w:rFonts w:ascii="Verdana" w:hAnsi="Verdana"/>
          <w:color w:val="000000"/>
          <w:sz w:val="20"/>
          <w:szCs w:val="20"/>
        </w:rPr>
        <w:t>s</w:t>
      </w:r>
      <w:r w:rsidR="00914BD2" w:rsidRPr="00FD016C">
        <w:rPr>
          <w:rFonts w:ascii="Verdana" w:hAnsi="Verdana"/>
          <w:color w:val="000000"/>
          <w:sz w:val="20"/>
          <w:szCs w:val="20"/>
        </w:rPr>
        <w:t xml:space="preserve"> do Contrato nº ECF 3387/20, recebidos em 26 de março de 2021 e 13 de setembro de 2021 (NOTA 25), </w:t>
      </w:r>
      <w:r w:rsidR="00A322BA" w:rsidRPr="00FD016C">
        <w:rPr>
          <w:rFonts w:ascii="Verdana" w:hAnsi="Verdana" w:cs="Arial"/>
          <w:color w:val="000000" w:themeColor="text1"/>
          <w:sz w:val="20"/>
          <w:szCs w:val="20"/>
        </w:rPr>
        <w:t>permitiram a redução do saldo de fornecedores</w:t>
      </w:r>
      <w:r w:rsidR="00E7639C" w:rsidRPr="00FD016C">
        <w:rPr>
          <w:rFonts w:ascii="Verdana" w:hAnsi="Verdana" w:cs="Arial"/>
          <w:color w:val="000000" w:themeColor="text1"/>
          <w:sz w:val="20"/>
          <w:szCs w:val="20"/>
        </w:rPr>
        <w:t xml:space="preserve"> pendentes de pagamento</w:t>
      </w:r>
      <w:r w:rsidR="00A322BA" w:rsidRPr="00FD016C">
        <w:rPr>
          <w:rFonts w:ascii="Verdana" w:hAnsi="Verdana" w:cs="Arial"/>
          <w:color w:val="000000" w:themeColor="text1"/>
          <w:sz w:val="20"/>
          <w:szCs w:val="20"/>
        </w:rPr>
        <w:t xml:space="preserve">. </w:t>
      </w:r>
      <w:r w:rsidR="001A65CF" w:rsidRPr="00FD016C">
        <w:rPr>
          <w:rFonts w:ascii="Verdana" w:hAnsi="Verdana" w:cs="Arial"/>
          <w:color w:val="000000" w:themeColor="text1"/>
          <w:sz w:val="20"/>
          <w:szCs w:val="20"/>
        </w:rPr>
        <w:t xml:space="preserve">Ao longo </w:t>
      </w:r>
      <w:r w:rsidR="00FE238E" w:rsidRPr="00FD016C">
        <w:rPr>
          <w:rFonts w:ascii="Verdana" w:hAnsi="Verdana" w:cs="Arial"/>
          <w:color w:val="000000" w:themeColor="text1"/>
          <w:sz w:val="20"/>
          <w:szCs w:val="20"/>
        </w:rPr>
        <w:t xml:space="preserve">do ano </w:t>
      </w:r>
      <w:r w:rsidR="001A65CF" w:rsidRPr="00FD016C">
        <w:rPr>
          <w:rFonts w:ascii="Verdana" w:hAnsi="Verdana" w:cs="Arial"/>
          <w:color w:val="000000" w:themeColor="text1"/>
          <w:sz w:val="20"/>
          <w:szCs w:val="20"/>
        </w:rPr>
        <w:t xml:space="preserve">de 2021, foram efetuados os </w:t>
      </w:r>
      <w:r w:rsidR="00943AAD" w:rsidRPr="00FD016C">
        <w:rPr>
          <w:rFonts w:ascii="Verdana" w:hAnsi="Verdana" w:cs="Arial"/>
          <w:color w:val="000000" w:themeColor="text1"/>
          <w:sz w:val="20"/>
          <w:szCs w:val="20"/>
        </w:rPr>
        <w:t>pagamento</w:t>
      </w:r>
      <w:r w:rsidR="001A65CF" w:rsidRPr="00FD016C">
        <w:rPr>
          <w:rFonts w:ascii="Verdana" w:hAnsi="Verdana" w:cs="Arial"/>
          <w:color w:val="000000" w:themeColor="text1"/>
          <w:sz w:val="20"/>
          <w:szCs w:val="20"/>
        </w:rPr>
        <w:t>s</w:t>
      </w:r>
      <w:r w:rsidR="00943AAD" w:rsidRPr="00FD016C">
        <w:rPr>
          <w:rFonts w:ascii="Verdana" w:hAnsi="Verdana" w:cs="Arial"/>
          <w:color w:val="000000" w:themeColor="text1"/>
          <w:sz w:val="20"/>
          <w:szCs w:val="20"/>
        </w:rPr>
        <w:t xml:space="preserve"> </w:t>
      </w:r>
      <w:r w:rsidR="001A65CF" w:rsidRPr="00FD016C">
        <w:rPr>
          <w:rFonts w:ascii="Verdana" w:hAnsi="Verdana" w:cs="Arial"/>
          <w:color w:val="000000" w:themeColor="text1"/>
          <w:sz w:val="20"/>
          <w:szCs w:val="20"/>
        </w:rPr>
        <w:t xml:space="preserve">de faturas processadas </w:t>
      </w:r>
      <w:r w:rsidR="00E7639C" w:rsidRPr="00FD016C">
        <w:rPr>
          <w:rFonts w:ascii="Verdana" w:hAnsi="Verdana" w:cs="Arial"/>
          <w:color w:val="000000" w:themeColor="text1"/>
          <w:sz w:val="20"/>
          <w:szCs w:val="20"/>
        </w:rPr>
        <w:t xml:space="preserve">em aberto </w:t>
      </w:r>
      <w:r w:rsidR="001A65CF" w:rsidRPr="00FD016C">
        <w:rPr>
          <w:rFonts w:ascii="Verdana" w:hAnsi="Verdana" w:cs="Arial"/>
          <w:color w:val="000000" w:themeColor="text1"/>
          <w:sz w:val="20"/>
          <w:szCs w:val="20"/>
        </w:rPr>
        <w:t xml:space="preserve">em dezembro 2020 no montante de R$ </w:t>
      </w:r>
      <w:r w:rsidR="00FE238E" w:rsidRPr="00FD016C">
        <w:rPr>
          <w:rFonts w:ascii="Verdana" w:hAnsi="Verdana" w:cs="Arial"/>
          <w:color w:val="000000" w:themeColor="text1"/>
          <w:sz w:val="20"/>
          <w:szCs w:val="20"/>
        </w:rPr>
        <w:t>549.002</w:t>
      </w:r>
      <w:r w:rsidR="002B7E08" w:rsidRPr="00FD016C">
        <w:rPr>
          <w:rFonts w:ascii="Verdana" w:hAnsi="Verdana" w:cs="Arial"/>
          <w:color w:val="000000" w:themeColor="text1"/>
          <w:sz w:val="20"/>
          <w:szCs w:val="20"/>
        </w:rPr>
        <w:t xml:space="preserve">; principalmente de </w:t>
      </w:r>
      <w:r w:rsidR="001A65CF" w:rsidRPr="00FD016C">
        <w:rPr>
          <w:rFonts w:ascii="Verdana" w:hAnsi="Verdana" w:cs="Arial"/>
          <w:color w:val="000000" w:themeColor="text1"/>
          <w:sz w:val="20"/>
          <w:szCs w:val="20"/>
        </w:rPr>
        <w:t xml:space="preserve">faturamentos de combustível nuclear, serviços e material importado </w:t>
      </w:r>
      <w:r w:rsidR="002B7E08" w:rsidRPr="00FD016C">
        <w:rPr>
          <w:rFonts w:ascii="Verdana" w:hAnsi="Verdana" w:cs="Arial"/>
          <w:color w:val="000000" w:themeColor="text1"/>
          <w:sz w:val="20"/>
          <w:szCs w:val="20"/>
        </w:rPr>
        <w:t xml:space="preserve">para </w:t>
      </w:r>
      <w:r w:rsidR="001A65CF" w:rsidRPr="00FD016C">
        <w:rPr>
          <w:rFonts w:ascii="Verdana" w:hAnsi="Verdana" w:cs="Arial"/>
          <w:color w:val="000000" w:themeColor="text1"/>
          <w:sz w:val="20"/>
          <w:szCs w:val="20"/>
        </w:rPr>
        <w:t>Angra</w:t>
      </w:r>
      <w:r w:rsidR="002B7E08" w:rsidRPr="00FD016C">
        <w:rPr>
          <w:rFonts w:ascii="Verdana" w:hAnsi="Verdana" w:cs="Arial"/>
          <w:color w:val="000000" w:themeColor="text1"/>
          <w:sz w:val="20"/>
          <w:szCs w:val="20"/>
        </w:rPr>
        <w:t xml:space="preserve"> 3 e tributos sobre importações. Além disso, no movimento das faturas processada</w:t>
      </w:r>
      <w:r w:rsidR="00820213" w:rsidRPr="00FD016C">
        <w:rPr>
          <w:rFonts w:ascii="Verdana" w:hAnsi="Verdana" w:cs="Arial"/>
          <w:color w:val="000000" w:themeColor="text1"/>
          <w:sz w:val="20"/>
          <w:szCs w:val="20"/>
        </w:rPr>
        <w:t>s</w:t>
      </w:r>
      <w:r w:rsidR="002B7E08" w:rsidRPr="00FD016C">
        <w:rPr>
          <w:rFonts w:ascii="Verdana" w:hAnsi="Verdana" w:cs="Arial"/>
          <w:color w:val="000000" w:themeColor="text1"/>
          <w:sz w:val="20"/>
          <w:szCs w:val="20"/>
        </w:rPr>
        <w:t xml:space="preserve">, </w:t>
      </w:r>
      <w:r w:rsidR="001A65CF" w:rsidRPr="00FD016C">
        <w:rPr>
          <w:rFonts w:ascii="Verdana" w:hAnsi="Verdana" w:cs="Arial"/>
          <w:color w:val="000000" w:themeColor="text1"/>
          <w:sz w:val="20"/>
          <w:szCs w:val="20"/>
        </w:rPr>
        <w:t xml:space="preserve">houve </w:t>
      </w:r>
      <w:r w:rsidR="00A322BA" w:rsidRPr="00FD016C">
        <w:rPr>
          <w:rFonts w:ascii="Verdana" w:hAnsi="Verdana" w:cs="Arial"/>
          <w:color w:val="000000" w:themeColor="text1"/>
          <w:sz w:val="20"/>
          <w:szCs w:val="20"/>
        </w:rPr>
        <w:t xml:space="preserve">o acréscimo </w:t>
      </w:r>
      <w:r w:rsidR="002B7E08" w:rsidRPr="00FD016C">
        <w:rPr>
          <w:rFonts w:ascii="Verdana" w:hAnsi="Verdana" w:cs="Arial"/>
          <w:color w:val="000000" w:themeColor="text1"/>
          <w:sz w:val="20"/>
          <w:szCs w:val="20"/>
        </w:rPr>
        <w:t xml:space="preserve">líquido </w:t>
      </w:r>
      <w:r w:rsidR="00A322BA" w:rsidRPr="00FD016C">
        <w:rPr>
          <w:rFonts w:ascii="Verdana" w:hAnsi="Verdana" w:cs="Arial"/>
          <w:color w:val="000000" w:themeColor="text1"/>
          <w:sz w:val="20"/>
          <w:szCs w:val="20"/>
        </w:rPr>
        <w:t xml:space="preserve">de R$ </w:t>
      </w:r>
      <w:r w:rsidR="00FE238E" w:rsidRPr="00FD016C">
        <w:rPr>
          <w:rFonts w:ascii="Verdana" w:hAnsi="Verdana" w:cs="Arial"/>
          <w:color w:val="000000" w:themeColor="text1"/>
          <w:sz w:val="20"/>
          <w:szCs w:val="20"/>
        </w:rPr>
        <w:t>386.</w:t>
      </w:r>
      <w:r w:rsidR="00914BD2" w:rsidRPr="00FD016C">
        <w:rPr>
          <w:rFonts w:ascii="Verdana" w:hAnsi="Verdana" w:cs="Arial"/>
          <w:color w:val="000000" w:themeColor="text1"/>
          <w:sz w:val="20"/>
          <w:szCs w:val="20"/>
        </w:rPr>
        <w:t>991</w:t>
      </w:r>
      <w:r w:rsidR="00A322BA" w:rsidRPr="00FD016C">
        <w:rPr>
          <w:rFonts w:ascii="Verdana" w:hAnsi="Verdana" w:cs="Arial"/>
          <w:color w:val="000000" w:themeColor="text1"/>
          <w:sz w:val="20"/>
          <w:szCs w:val="20"/>
        </w:rPr>
        <w:t xml:space="preserve"> </w:t>
      </w:r>
      <w:r w:rsidR="001A65CF" w:rsidRPr="00FD016C">
        <w:rPr>
          <w:rFonts w:ascii="Verdana" w:hAnsi="Verdana" w:cs="Arial"/>
          <w:color w:val="000000" w:themeColor="text1"/>
          <w:sz w:val="20"/>
          <w:szCs w:val="20"/>
        </w:rPr>
        <w:t>em faturas em função da aquisição de materiais e contratação de serviços</w:t>
      </w:r>
      <w:r w:rsidR="002B7E08" w:rsidRPr="00FD016C">
        <w:rPr>
          <w:rFonts w:ascii="Verdana" w:hAnsi="Verdana" w:cs="Arial"/>
          <w:color w:val="000000" w:themeColor="text1"/>
          <w:sz w:val="20"/>
          <w:szCs w:val="20"/>
        </w:rPr>
        <w:t xml:space="preserve"> diversos</w:t>
      </w:r>
      <w:r w:rsidR="00A322BA" w:rsidRPr="00FD016C">
        <w:rPr>
          <w:rFonts w:ascii="Verdana" w:hAnsi="Verdana" w:cs="Arial"/>
          <w:color w:val="000000" w:themeColor="text1"/>
          <w:sz w:val="20"/>
          <w:szCs w:val="20"/>
        </w:rPr>
        <w:t>.</w:t>
      </w:r>
      <w:r w:rsidR="001A65CF" w:rsidRPr="00FD016C">
        <w:rPr>
          <w:rFonts w:ascii="Verdana" w:hAnsi="Verdana" w:cs="Arial"/>
          <w:color w:val="000000" w:themeColor="text1"/>
          <w:sz w:val="20"/>
          <w:szCs w:val="20"/>
        </w:rPr>
        <w:t xml:space="preserve"> </w:t>
      </w:r>
    </w:p>
    <w:p w14:paraId="6960E94D" w14:textId="77777777" w:rsidR="002B7E08" w:rsidRPr="00FD016C" w:rsidRDefault="002B7E08" w:rsidP="001A65CF">
      <w:pPr>
        <w:jc w:val="both"/>
        <w:rPr>
          <w:rFonts w:ascii="Verdana" w:hAnsi="Verdana" w:cs="Arial"/>
          <w:color w:val="000000" w:themeColor="text1"/>
          <w:sz w:val="20"/>
          <w:szCs w:val="20"/>
        </w:rPr>
      </w:pPr>
    </w:p>
    <w:p w14:paraId="76994224" w14:textId="70BFC9BC" w:rsidR="001A65CF" w:rsidRPr="00FD016C" w:rsidRDefault="00753C2F" w:rsidP="00E7639C">
      <w:pPr>
        <w:jc w:val="both"/>
        <w:rPr>
          <w:rFonts w:ascii="Verdana" w:hAnsi="Verdana" w:cs="Arial"/>
          <w:color w:val="000000" w:themeColor="text1"/>
          <w:sz w:val="20"/>
          <w:szCs w:val="20"/>
        </w:rPr>
      </w:pPr>
      <w:r w:rsidRPr="00FD016C">
        <w:rPr>
          <w:rFonts w:ascii="Verdana" w:hAnsi="Verdana" w:cs="Arial"/>
          <w:color w:val="000000" w:themeColor="text1"/>
          <w:sz w:val="20"/>
          <w:szCs w:val="20"/>
        </w:rPr>
        <w:t>O saldo da variação cambial</w:t>
      </w:r>
      <w:r w:rsidR="00D34FEB" w:rsidRPr="00FD016C">
        <w:rPr>
          <w:rFonts w:ascii="Verdana" w:hAnsi="Verdana" w:cs="Arial"/>
          <w:color w:val="000000" w:themeColor="text1"/>
          <w:sz w:val="20"/>
          <w:szCs w:val="20"/>
        </w:rPr>
        <w:t xml:space="preserve"> sobre faturas processadas em moeda estrangeira</w:t>
      </w:r>
      <w:r w:rsidR="00E7639C" w:rsidRPr="00FD016C">
        <w:rPr>
          <w:rFonts w:ascii="Verdana" w:hAnsi="Verdana" w:cs="Arial"/>
          <w:color w:val="000000" w:themeColor="text1"/>
          <w:sz w:val="20"/>
          <w:szCs w:val="20"/>
        </w:rPr>
        <w:t>,</w:t>
      </w:r>
      <w:r w:rsidRPr="00FD016C">
        <w:rPr>
          <w:rFonts w:ascii="Verdana" w:hAnsi="Verdana" w:cs="Arial"/>
          <w:color w:val="000000" w:themeColor="text1"/>
          <w:sz w:val="20"/>
          <w:szCs w:val="20"/>
        </w:rPr>
        <w:t xml:space="preserve"> </w:t>
      </w:r>
      <w:r w:rsidR="00E7639C" w:rsidRPr="00FD016C">
        <w:rPr>
          <w:rFonts w:ascii="Verdana" w:hAnsi="Verdana" w:cs="Arial"/>
          <w:color w:val="000000" w:themeColor="text1"/>
          <w:sz w:val="20"/>
          <w:szCs w:val="20"/>
        </w:rPr>
        <w:t xml:space="preserve">na composição da obrigação com fornecedores, </w:t>
      </w:r>
      <w:r w:rsidR="00D34FEB" w:rsidRPr="00FD016C">
        <w:rPr>
          <w:rFonts w:ascii="Verdana" w:hAnsi="Verdana" w:cs="Arial"/>
          <w:color w:val="000000" w:themeColor="text1"/>
          <w:sz w:val="20"/>
          <w:szCs w:val="20"/>
        </w:rPr>
        <w:t xml:space="preserve">reduziu em consequência da quitação de partidas processadas em </w:t>
      </w:r>
      <w:r w:rsidR="00E7639C" w:rsidRPr="00FD016C">
        <w:rPr>
          <w:rFonts w:ascii="Verdana" w:hAnsi="Verdana" w:cs="Arial"/>
          <w:color w:val="000000" w:themeColor="text1"/>
          <w:sz w:val="20"/>
          <w:szCs w:val="20"/>
        </w:rPr>
        <w:t>aberto; e</w:t>
      </w:r>
      <w:r w:rsidR="00D34FEB" w:rsidRPr="00FD016C">
        <w:rPr>
          <w:rFonts w:ascii="Verdana" w:hAnsi="Verdana" w:cs="Arial"/>
          <w:color w:val="000000" w:themeColor="text1"/>
          <w:sz w:val="20"/>
          <w:szCs w:val="20"/>
        </w:rPr>
        <w:t xml:space="preserve"> o saldo de provisão </w:t>
      </w:r>
      <w:r w:rsidR="00E7639C" w:rsidRPr="00FD016C">
        <w:rPr>
          <w:rFonts w:ascii="Verdana" w:hAnsi="Verdana" w:cs="Arial"/>
          <w:color w:val="000000" w:themeColor="text1"/>
          <w:sz w:val="20"/>
          <w:szCs w:val="20"/>
        </w:rPr>
        <w:t>reduziu em função de baixa para registro da fatura correspondente.</w:t>
      </w:r>
      <w:r w:rsidR="00867BA7" w:rsidRPr="00FD016C">
        <w:rPr>
          <w:rFonts w:ascii="Verdana" w:hAnsi="Verdana" w:cs="Arial"/>
          <w:color w:val="000000" w:themeColor="text1"/>
          <w:sz w:val="20"/>
          <w:szCs w:val="20"/>
        </w:rPr>
        <w:t xml:space="preserve"> </w:t>
      </w:r>
    </w:p>
    <w:p w14:paraId="4C44F63F" w14:textId="2578DB12" w:rsidR="00A322BA" w:rsidRPr="00FD016C" w:rsidRDefault="00A322BA" w:rsidP="00A322BA">
      <w:pPr>
        <w:widowControl/>
        <w:tabs>
          <w:tab w:val="num" w:pos="360"/>
        </w:tabs>
        <w:jc w:val="both"/>
        <w:rPr>
          <w:rFonts w:ascii="Verdana" w:hAnsi="Verdana" w:cs="Arial"/>
          <w:color w:val="000000" w:themeColor="text1"/>
          <w:sz w:val="20"/>
          <w:szCs w:val="20"/>
        </w:rPr>
      </w:pPr>
    </w:p>
    <w:p w14:paraId="6BEECC5F" w14:textId="10C35348" w:rsidR="00943AAD" w:rsidRPr="00FD016C" w:rsidRDefault="00943AAD" w:rsidP="00943AAD">
      <w:pPr>
        <w:widowControl/>
        <w:tabs>
          <w:tab w:val="left" w:pos="7635"/>
        </w:tabs>
        <w:jc w:val="both"/>
        <w:rPr>
          <w:rFonts w:ascii="Verdana" w:hAnsi="Verdana" w:cs="Arial"/>
          <w:color w:val="000000"/>
          <w:sz w:val="20"/>
          <w:szCs w:val="20"/>
        </w:rPr>
      </w:pPr>
    </w:p>
    <w:p w14:paraId="28BB6638" w14:textId="77777777" w:rsidR="0056570E" w:rsidRPr="00FD016C" w:rsidRDefault="0056570E" w:rsidP="00CF5751">
      <w:pPr>
        <w:rPr>
          <w:rFonts w:ascii="Verdana" w:hAnsi="Verdana" w:cs="Arial"/>
          <w:sz w:val="20"/>
          <w:szCs w:val="20"/>
        </w:rPr>
      </w:pPr>
    </w:p>
    <w:p w14:paraId="5C804EF6" w14:textId="77777777" w:rsidR="0016041A" w:rsidRPr="00FD016C" w:rsidRDefault="0016041A" w:rsidP="005144E2">
      <w:pPr>
        <w:widowControl/>
        <w:ind w:right="-28"/>
        <w:jc w:val="both"/>
        <w:rPr>
          <w:rFonts w:ascii="Verdana" w:hAnsi="Verdana" w:cs="Arial"/>
          <w:b/>
          <w:color w:val="0070C0"/>
          <w:sz w:val="26"/>
          <w:szCs w:val="26"/>
        </w:rPr>
      </w:pPr>
      <w:r w:rsidRPr="00FD016C">
        <w:rPr>
          <w:rFonts w:ascii="Verdana" w:hAnsi="Verdana" w:cs="Arial"/>
          <w:b/>
          <w:color w:val="0070C0"/>
          <w:sz w:val="26"/>
          <w:szCs w:val="26"/>
        </w:rPr>
        <w:t>NOTA 17 – EMPRÉSTIMOS E FINANCIAMENTOS</w:t>
      </w:r>
    </w:p>
    <w:p w14:paraId="41621719" w14:textId="77777777" w:rsidR="00230059" w:rsidRPr="00FD016C" w:rsidRDefault="00230059" w:rsidP="005144E2">
      <w:pPr>
        <w:widowControl/>
        <w:jc w:val="both"/>
        <w:rPr>
          <w:rFonts w:ascii="Verdana" w:hAnsi="Verdana" w:cs="Arial"/>
          <w:sz w:val="20"/>
          <w:szCs w:val="20"/>
        </w:rPr>
      </w:pPr>
    </w:p>
    <w:p w14:paraId="6B1CEADA" w14:textId="77777777" w:rsidR="00996CFF" w:rsidRPr="00FD016C" w:rsidRDefault="00996CFF" w:rsidP="005144E2">
      <w:pPr>
        <w:widowControl/>
        <w:jc w:val="both"/>
        <w:rPr>
          <w:rFonts w:ascii="Verdana" w:hAnsi="Verdana" w:cs="Arial"/>
          <w:sz w:val="20"/>
          <w:szCs w:val="20"/>
        </w:rPr>
      </w:pPr>
    </w:p>
    <w:p w14:paraId="4F6AA60E" w14:textId="77777777" w:rsidR="0016041A" w:rsidRPr="00FD016C" w:rsidRDefault="0016041A" w:rsidP="005144E2">
      <w:pPr>
        <w:widowControl/>
        <w:jc w:val="both"/>
        <w:rPr>
          <w:rFonts w:ascii="Verdana" w:hAnsi="Verdana" w:cs="Arial"/>
          <w:sz w:val="20"/>
          <w:szCs w:val="20"/>
        </w:rPr>
      </w:pPr>
      <w:r w:rsidRPr="00FD016C">
        <w:rPr>
          <w:rFonts w:ascii="Verdana" w:hAnsi="Verdana" w:cs="Arial"/>
          <w:sz w:val="20"/>
          <w:szCs w:val="20"/>
        </w:rPr>
        <w:t>As principais informações a respeito dos empréstimos e financiamentos são:</w:t>
      </w:r>
    </w:p>
    <w:p w14:paraId="4971407A" w14:textId="77777777" w:rsidR="00CD2AB9" w:rsidRPr="00FD016C" w:rsidRDefault="00CD2AB9" w:rsidP="005144E2">
      <w:pPr>
        <w:widowControl/>
        <w:tabs>
          <w:tab w:val="num" w:pos="360"/>
        </w:tabs>
        <w:jc w:val="both"/>
        <w:rPr>
          <w:rFonts w:ascii="Verdana" w:hAnsi="Verdana" w:cs="Arial"/>
          <w:b/>
          <w:sz w:val="20"/>
          <w:szCs w:val="20"/>
        </w:rPr>
      </w:pPr>
    </w:p>
    <w:p w14:paraId="18DC049D" w14:textId="77777777" w:rsidR="0016041A" w:rsidRPr="00FD016C" w:rsidRDefault="0016041A" w:rsidP="005144E2">
      <w:pPr>
        <w:widowControl/>
        <w:tabs>
          <w:tab w:val="num" w:pos="360"/>
        </w:tabs>
        <w:jc w:val="both"/>
        <w:rPr>
          <w:rFonts w:ascii="Verdana" w:hAnsi="Verdana" w:cs="Arial"/>
          <w:b/>
          <w:color w:val="0070C0"/>
          <w:u w:val="single"/>
        </w:rPr>
      </w:pPr>
      <w:r w:rsidRPr="00FD016C">
        <w:rPr>
          <w:rFonts w:ascii="Verdana" w:hAnsi="Verdana" w:cs="Arial"/>
          <w:b/>
          <w:color w:val="0070C0"/>
          <w:u w:val="single"/>
        </w:rPr>
        <w:t>Aplicações nas Usinas Angra 1 e Angra 2</w:t>
      </w:r>
    </w:p>
    <w:p w14:paraId="4BA9C703" w14:textId="77777777" w:rsidR="0016041A" w:rsidRPr="00FD016C" w:rsidRDefault="0016041A" w:rsidP="005144E2">
      <w:pPr>
        <w:widowControl/>
        <w:jc w:val="both"/>
        <w:rPr>
          <w:rFonts w:ascii="Verdana" w:hAnsi="Verdana" w:cs="Arial"/>
          <w:sz w:val="20"/>
          <w:szCs w:val="20"/>
        </w:rPr>
      </w:pPr>
    </w:p>
    <w:p w14:paraId="4B449EF9" w14:textId="77777777" w:rsidR="0016041A" w:rsidRPr="00FD016C" w:rsidRDefault="0016041A" w:rsidP="005144E2">
      <w:pPr>
        <w:widowControl/>
        <w:jc w:val="both"/>
        <w:rPr>
          <w:rFonts w:ascii="Verdana" w:hAnsi="Verdana" w:cs="Arial"/>
          <w:sz w:val="20"/>
          <w:szCs w:val="20"/>
        </w:rPr>
      </w:pPr>
      <w:r w:rsidRPr="00FD016C">
        <w:rPr>
          <w:rFonts w:ascii="Verdana" w:hAnsi="Verdana" w:cs="Arial"/>
          <w:sz w:val="20"/>
          <w:szCs w:val="20"/>
        </w:rPr>
        <w:t xml:space="preserve">Trata-se de financiamentos captados com a Eletrobras para diversas etapas de melhoramentos da Usina Angra 1, para a troca dos geradores de vapor, a troca da tampa do vaso de pressão do reator e para o capital de giro da Companhia. </w:t>
      </w:r>
    </w:p>
    <w:p w14:paraId="22938AFA" w14:textId="77777777" w:rsidR="00CD2AB9" w:rsidRPr="00FD016C" w:rsidRDefault="00CD2AB9" w:rsidP="005144E2">
      <w:pPr>
        <w:widowControl/>
        <w:jc w:val="both"/>
        <w:rPr>
          <w:rFonts w:ascii="Verdana" w:hAnsi="Verdana" w:cs="Arial"/>
          <w:sz w:val="20"/>
          <w:szCs w:val="20"/>
        </w:rPr>
      </w:pPr>
    </w:p>
    <w:p w14:paraId="11476E77" w14:textId="77777777" w:rsidR="0016041A" w:rsidRPr="00FD016C" w:rsidRDefault="0016041A" w:rsidP="005144E2">
      <w:pPr>
        <w:widowControl/>
        <w:jc w:val="both"/>
        <w:rPr>
          <w:rFonts w:ascii="Verdana" w:hAnsi="Verdana" w:cs="Arial"/>
          <w:sz w:val="20"/>
          <w:szCs w:val="20"/>
        </w:rPr>
      </w:pPr>
      <w:r w:rsidRPr="00FD016C">
        <w:rPr>
          <w:rFonts w:ascii="Verdana" w:hAnsi="Verdana" w:cs="Arial"/>
          <w:sz w:val="20"/>
          <w:szCs w:val="20"/>
        </w:rPr>
        <w:t>Em garantia dos compromissos assumidos com a Eletrobras, a ELETRONUCLEAR vinculou su</w:t>
      </w:r>
      <w:r w:rsidR="00D7696F" w:rsidRPr="00FD016C">
        <w:rPr>
          <w:rFonts w:ascii="Verdana" w:hAnsi="Verdana" w:cs="Arial"/>
          <w:sz w:val="20"/>
          <w:szCs w:val="20"/>
        </w:rPr>
        <w:t>a receita própria, oriunda das U</w:t>
      </w:r>
      <w:r w:rsidRPr="00FD016C">
        <w:rPr>
          <w:rFonts w:ascii="Verdana" w:hAnsi="Verdana" w:cs="Arial"/>
          <w:sz w:val="20"/>
          <w:szCs w:val="20"/>
        </w:rPr>
        <w:t xml:space="preserve">sinas Angra 1 e Angra 2, aos débitos previstos nos financiamentos. </w:t>
      </w:r>
      <w:r w:rsidRPr="00FD016C">
        <w:rPr>
          <w:rFonts w:ascii="Verdana" w:hAnsi="Verdana" w:cs="Arial"/>
          <w:sz w:val="20"/>
          <w:szCs w:val="20"/>
        </w:rPr>
        <w:lastRenderedPageBreak/>
        <w:t>Tal vinculação está suportada por procurações outorgadas por instrumento público para que, em caso de inadimplência, possa receber diretamente os valores em atraso.</w:t>
      </w:r>
    </w:p>
    <w:p w14:paraId="7C65964E" w14:textId="77777777" w:rsidR="0016041A" w:rsidRPr="00FD016C" w:rsidRDefault="0016041A" w:rsidP="005144E2">
      <w:pPr>
        <w:widowControl/>
        <w:jc w:val="both"/>
        <w:rPr>
          <w:rFonts w:ascii="Verdana" w:hAnsi="Verdana" w:cs="Arial"/>
          <w:sz w:val="20"/>
          <w:szCs w:val="20"/>
        </w:rPr>
      </w:pPr>
    </w:p>
    <w:p w14:paraId="2C63506A" w14:textId="77777777" w:rsidR="00084F0F" w:rsidRPr="00FD016C" w:rsidRDefault="00084F0F" w:rsidP="005144E2">
      <w:pPr>
        <w:widowControl/>
        <w:jc w:val="both"/>
        <w:rPr>
          <w:rFonts w:ascii="Verdana" w:hAnsi="Verdana" w:cs="Arial"/>
          <w:sz w:val="20"/>
          <w:szCs w:val="20"/>
        </w:rPr>
      </w:pPr>
    </w:p>
    <w:p w14:paraId="32BFF59F" w14:textId="77777777" w:rsidR="0016041A" w:rsidRPr="00FD016C" w:rsidRDefault="0016041A" w:rsidP="005144E2">
      <w:pPr>
        <w:widowControl/>
        <w:tabs>
          <w:tab w:val="num" w:pos="360"/>
        </w:tabs>
        <w:jc w:val="both"/>
        <w:rPr>
          <w:rFonts w:ascii="Verdana" w:hAnsi="Verdana" w:cs="Arial"/>
          <w:b/>
          <w:color w:val="0070C0"/>
          <w:u w:val="single"/>
        </w:rPr>
      </w:pPr>
      <w:r w:rsidRPr="00FD016C">
        <w:rPr>
          <w:rFonts w:ascii="Verdana" w:hAnsi="Verdana" w:cs="Arial"/>
          <w:b/>
          <w:color w:val="0070C0"/>
          <w:u w:val="single"/>
        </w:rPr>
        <w:t>Aplicações na Usina Angra 3</w:t>
      </w:r>
    </w:p>
    <w:p w14:paraId="093EACE2" w14:textId="77777777" w:rsidR="0016041A" w:rsidRPr="00FD016C" w:rsidRDefault="0016041A" w:rsidP="005144E2">
      <w:pPr>
        <w:widowControl/>
        <w:tabs>
          <w:tab w:val="num" w:pos="315"/>
        </w:tabs>
        <w:jc w:val="both"/>
        <w:rPr>
          <w:rFonts w:ascii="Arial" w:hAnsi="Arial" w:cs="Arial"/>
          <w:sz w:val="20"/>
          <w:szCs w:val="20"/>
        </w:rPr>
      </w:pPr>
    </w:p>
    <w:p w14:paraId="51E1BFF2" w14:textId="6CBC8125" w:rsidR="0016041A" w:rsidRPr="00FD016C" w:rsidRDefault="00F80223" w:rsidP="00F80223">
      <w:pPr>
        <w:widowControl/>
        <w:jc w:val="both"/>
        <w:rPr>
          <w:rFonts w:ascii="Verdana" w:hAnsi="Verdana" w:cs="Arial"/>
          <w:sz w:val="20"/>
          <w:szCs w:val="20"/>
        </w:rPr>
      </w:pPr>
      <w:r w:rsidRPr="00FD016C">
        <w:rPr>
          <w:rFonts w:ascii="Verdana" w:hAnsi="Verdana" w:cs="Arial"/>
          <w:sz w:val="20"/>
          <w:szCs w:val="20"/>
        </w:rPr>
        <w:t xml:space="preserve">Trata-se de financiamentos captados </w:t>
      </w:r>
      <w:r w:rsidR="002153DF" w:rsidRPr="00FD016C">
        <w:rPr>
          <w:rFonts w:ascii="Verdana" w:hAnsi="Verdana" w:cs="Arial"/>
          <w:sz w:val="20"/>
          <w:szCs w:val="20"/>
        </w:rPr>
        <w:t>com a</w:t>
      </w:r>
      <w:r w:rsidRPr="00FD016C">
        <w:rPr>
          <w:rFonts w:ascii="Verdana" w:hAnsi="Verdana" w:cs="Arial"/>
          <w:sz w:val="20"/>
          <w:szCs w:val="20"/>
        </w:rPr>
        <w:t xml:space="preserve"> Eletrobras </w:t>
      </w:r>
      <w:r w:rsidR="0016041A" w:rsidRPr="00FD016C">
        <w:rPr>
          <w:rFonts w:ascii="Verdana" w:hAnsi="Verdana" w:cs="Arial"/>
          <w:sz w:val="20"/>
          <w:szCs w:val="20"/>
        </w:rPr>
        <w:t>com abertura de recursos da R</w:t>
      </w:r>
      <w:r w:rsidRPr="00FD016C">
        <w:rPr>
          <w:rFonts w:ascii="Verdana" w:hAnsi="Verdana" w:cs="Arial"/>
          <w:sz w:val="20"/>
          <w:szCs w:val="20"/>
        </w:rPr>
        <w:t xml:space="preserve">eserva Global de Reversão – RGR; com </w:t>
      </w:r>
      <w:r w:rsidR="0016041A" w:rsidRPr="00FD016C">
        <w:rPr>
          <w:rFonts w:ascii="Verdana" w:hAnsi="Verdana" w:cs="Arial"/>
          <w:sz w:val="20"/>
          <w:szCs w:val="20"/>
        </w:rPr>
        <w:t>o Banco Nacional de Desenvolvimento Econômico e Social – BNDES</w:t>
      </w:r>
      <w:r w:rsidRPr="00FD016C">
        <w:rPr>
          <w:rFonts w:ascii="Verdana" w:hAnsi="Verdana" w:cs="Arial"/>
          <w:sz w:val="20"/>
          <w:szCs w:val="20"/>
        </w:rPr>
        <w:t xml:space="preserve"> e com a Caixa Econômica Federal – CEF</w:t>
      </w:r>
      <w:r w:rsidR="0084417B" w:rsidRPr="00FD016C">
        <w:rPr>
          <w:rFonts w:ascii="Verdana" w:hAnsi="Verdana" w:cs="Arial"/>
          <w:sz w:val="20"/>
          <w:szCs w:val="20"/>
        </w:rPr>
        <w:t xml:space="preserve"> destinados à implantação da Usina Angra 3.</w:t>
      </w:r>
    </w:p>
    <w:p w14:paraId="5C8D76F0" w14:textId="77777777" w:rsidR="00EF2834" w:rsidRPr="00FD016C" w:rsidRDefault="00EF2834" w:rsidP="005144E2">
      <w:pPr>
        <w:widowControl/>
        <w:jc w:val="both"/>
        <w:rPr>
          <w:rFonts w:ascii="Verdana" w:hAnsi="Verdana" w:cs="Arial"/>
          <w:sz w:val="20"/>
          <w:szCs w:val="20"/>
        </w:rPr>
      </w:pPr>
    </w:p>
    <w:p w14:paraId="3A18AEBA" w14:textId="310A1788" w:rsidR="0016041A" w:rsidRPr="00FD016C" w:rsidRDefault="0016041A" w:rsidP="005144E2">
      <w:pPr>
        <w:widowControl/>
        <w:jc w:val="both"/>
        <w:rPr>
          <w:rFonts w:ascii="Verdana" w:hAnsi="Verdana" w:cs="Arial"/>
          <w:sz w:val="20"/>
          <w:szCs w:val="20"/>
        </w:rPr>
      </w:pPr>
      <w:r w:rsidRPr="00FD016C">
        <w:rPr>
          <w:rFonts w:ascii="Verdana" w:hAnsi="Verdana" w:cs="Arial"/>
          <w:sz w:val="20"/>
          <w:szCs w:val="20"/>
        </w:rPr>
        <w:t xml:space="preserve">Em garantia dos compromissos assumidos com o contrato do BNDES citado, a ELETRONUCLEAR constituiu uma </w:t>
      </w:r>
      <w:r w:rsidR="00084F0F" w:rsidRPr="00FD016C">
        <w:rPr>
          <w:rFonts w:ascii="Verdana" w:hAnsi="Verdana" w:cs="Arial"/>
          <w:sz w:val="20"/>
          <w:szCs w:val="20"/>
        </w:rPr>
        <w:t>c</w:t>
      </w:r>
      <w:r w:rsidRPr="00FD016C">
        <w:rPr>
          <w:rFonts w:ascii="Verdana" w:hAnsi="Verdana" w:cs="Arial"/>
          <w:sz w:val="20"/>
          <w:szCs w:val="20"/>
        </w:rPr>
        <w:t xml:space="preserve">essão </w:t>
      </w:r>
      <w:r w:rsidR="00084F0F" w:rsidRPr="00FD016C">
        <w:rPr>
          <w:rFonts w:ascii="Verdana" w:hAnsi="Verdana" w:cs="Arial"/>
          <w:sz w:val="20"/>
          <w:szCs w:val="20"/>
        </w:rPr>
        <w:t>f</w:t>
      </w:r>
      <w:r w:rsidRPr="00FD016C">
        <w:rPr>
          <w:rFonts w:ascii="Verdana" w:hAnsi="Verdana" w:cs="Arial"/>
          <w:sz w:val="20"/>
          <w:szCs w:val="20"/>
        </w:rPr>
        <w:t xml:space="preserve">iduciária em favor do BNDES, em caráter irrevogável e irretratável, até o final da liquidação de todas as obrigações deste contrato, decorrentes da venda de energia produzida pela Usina Angra 3.   </w:t>
      </w:r>
    </w:p>
    <w:p w14:paraId="5FF3F1BB" w14:textId="77777777" w:rsidR="0016041A" w:rsidRPr="00FD016C" w:rsidRDefault="0016041A" w:rsidP="005144E2">
      <w:pPr>
        <w:widowControl/>
        <w:jc w:val="both"/>
        <w:rPr>
          <w:rFonts w:ascii="Verdana" w:hAnsi="Verdana" w:cs="Arial"/>
          <w:sz w:val="20"/>
          <w:szCs w:val="20"/>
        </w:rPr>
      </w:pPr>
    </w:p>
    <w:p w14:paraId="2C8D7CCF" w14:textId="223A8243" w:rsidR="0069006A" w:rsidRPr="00FD016C" w:rsidRDefault="0069006A" w:rsidP="005144E2">
      <w:pPr>
        <w:widowControl/>
        <w:jc w:val="both"/>
        <w:rPr>
          <w:rFonts w:ascii="Verdana" w:hAnsi="Verdana" w:cs="Arial"/>
          <w:sz w:val="20"/>
          <w:szCs w:val="20"/>
        </w:rPr>
      </w:pPr>
      <w:r w:rsidRPr="00FD016C">
        <w:rPr>
          <w:rFonts w:ascii="Verdana" w:hAnsi="Verdana" w:cs="Arial"/>
          <w:sz w:val="20"/>
          <w:szCs w:val="20"/>
        </w:rPr>
        <w:t xml:space="preserve">Originalmente, o Contrato nº 10.2.2032.1 previa o início das amortizações do principal da dívida em </w:t>
      </w:r>
      <w:r w:rsidR="00996CFF" w:rsidRPr="00FD016C">
        <w:rPr>
          <w:rFonts w:ascii="Verdana" w:hAnsi="Verdana" w:cs="Arial"/>
          <w:sz w:val="20"/>
          <w:szCs w:val="20"/>
        </w:rPr>
        <w:t xml:space="preserve">30 de </w:t>
      </w:r>
      <w:r w:rsidR="00AC7E37" w:rsidRPr="00FD016C">
        <w:rPr>
          <w:rFonts w:ascii="Verdana" w:hAnsi="Verdana" w:cs="Arial"/>
          <w:sz w:val="20"/>
          <w:szCs w:val="20"/>
        </w:rPr>
        <w:t>j</w:t>
      </w:r>
      <w:r w:rsidR="00996CFF" w:rsidRPr="00FD016C">
        <w:rPr>
          <w:rFonts w:ascii="Verdana" w:hAnsi="Verdana" w:cs="Arial"/>
          <w:sz w:val="20"/>
          <w:szCs w:val="20"/>
        </w:rPr>
        <w:t xml:space="preserve">ulho de </w:t>
      </w:r>
      <w:r w:rsidRPr="00FD016C">
        <w:rPr>
          <w:rFonts w:ascii="Verdana" w:hAnsi="Verdana" w:cs="Arial"/>
          <w:sz w:val="20"/>
          <w:szCs w:val="20"/>
        </w:rPr>
        <w:t>2016. Em virtude de renegociações realizadas entre BNDES e ELETRONUCLEAR, foram realizados dois aditamentos contratuais que prorrogaram a data de início de amortização. Por conta destas renegociações, a ELETRONUCLEAR foi obrigada a pagar uma Comissão de Renegociação por cada uma destes aditamentos, no v</w:t>
      </w:r>
      <w:r w:rsidR="00FE79CB" w:rsidRPr="00FD016C">
        <w:rPr>
          <w:rFonts w:ascii="Verdana" w:hAnsi="Verdana" w:cs="Arial"/>
          <w:sz w:val="20"/>
          <w:szCs w:val="20"/>
        </w:rPr>
        <w:t xml:space="preserve">alor de 0,5% do saldo devedor. </w:t>
      </w:r>
      <w:r w:rsidRPr="00FD016C">
        <w:rPr>
          <w:rFonts w:ascii="Verdana" w:hAnsi="Verdana" w:cs="Arial"/>
          <w:sz w:val="20"/>
          <w:szCs w:val="20"/>
        </w:rPr>
        <w:t xml:space="preserve">O montante em débito, acrescido de IOF </w:t>
      </w:r>
      <w:r w:rsidR="003A5470" w:rsidRPr="00FD016C">
        <w:rPr>
          <w:rFonts w:ascii="Verdana" w:hAnsi="Verdana" w:cs="Arial"/>
          <w:sz w:val="20"/>
          <w:szCs w:val="20"/>
        </w:rPr>
        <w:t>f</w:t>
      </w:r>
      <w:r w:rsidRPr="00FD016C">
        <w:rPr>
          <w:rFonts w:ascii="Verdana" w:hAnsi="Verdana" w:cs="Arial"/>
          <w:sz w:val="20"/>
          <w:szCs w:val="20"/>
        </w:rPr>
        <w:t xml:space="preserve">oi incorporado ao saldo devedor do contrato original, na forma dos </w:t>
      </w:r>
      <w:proofErr w:type="spellStart"/>
      <w:r w:rsidRPr="00FD016C">
        <w:rPr>
          <w:rFonts w:ascii="Verdana" w:hAnsi="Verdana" w:cs="Arial"/>
          <w:sz w:val="20"/>
          <w:szCs w:val="20"/>
        </w:rPr>
        <w:t>Subcréditos</w:t>
      </w:r>
      <w:proofErr w:type="spellEnd"/>
      <w:r w:rsidRPr="00FD016C">
        <w:rPr>
          <w:rFonts w:ascii="Verdana" w:hAnsi="Verdana" w:cs="Arial"/>
          <w:sz w:val="20"/>
          <w:szCs w:val="20"/>
        </w:rPr>
        <w:t xml:space="preserve"> C e D, com prazo de pagamento de 54 parcelas, após um prazo de carência de 6 meses. O </w:t>
      </w:r>
      <w:proofErr w:type="spellStart"/>
      <w:r w:rsidRPr="00FD016C">
        <w:rPr>
          <w:rFonts w:ascii="Verdana" w:hAnsi="Verdana" w:cs="Arial"/>
          <w:sz w:val="20"/>
          <w:szCs w:val="20"/>
        </w:rPr>
        <w:t>Subcrédito</w:t>
      </w:r>
      <w:proofErr w:type="spellEnd"/>
      <w:r w:rsidRPr="00FD016C">
        <w:rPr>
          <w:rFonts w:ascii="Verdana" w:hAnsi="Verdana" w:cs="Arial"/>
          <w:sz w:val="20"/>
          <w:szCs w:val="20"/>
        </w:rPr>
        <w:t xml:space="preserve"> C começou a ser amortizado em 15</w:t>
      </w:r>
      <w:r w:rsidR="003A5470" w:rsidRPr="00FD016C">
        <w:rPr>
          <w:rFonts w:ascii="Verdana" w:hAnsi="Verdana" w:cs="Arial"/>
          <w:sz w:val="20"/>
          <w:szCs w:val="20"/>
        </w:rPr>
        <w:t xml:space="preserve"> de fevereiro de 2017</w:t>
      </w:r>
      <w:r w:rsidRPr="00FD016C">
        <w:rPr>
          <w:rFonts w:ascii="Verdana" w:hAnsi="Verdana" w:cs="Arial"/>
          <w:sz w:val="20"/>
          <w:szCs w:val="20"/>
        </w:rPr>
        <w:t xml:space="preserve">, enquanto </w:t>
      </w:r>
      <w:r w:rsidR="001D1096" w:rsidRPr="00FD016C">
        <w:rPr>
          <w:rFonts w:ascii="Verdana" w:hAnsi="Verdana" w:cs="Arial"/>
          <w:sz w:val="20"/>
          <w:szCs w:val="20"/>
        </w:rPr>
        <w:t>o</w:t>
      </w:r>
      <w:r w:rsidR="00787860" w:rsidRPr="00FD016C">
        <w:rPr>
          <w:rFonts w:ascii="Verdana" w:hAnsi="Verdana" w:cs="Arial"/>
          <w:sz w:val="20"/>
          <w:szCs w:val="20"/>
        </w:rPr>
        <w:t xml:space="preserve"> </w:t>
      </w:r>
      <w:proofErr w:type="spellStart"/>
      <w:r w:rsidRPr="00FD016C">
        <w:rPr>
          <w:rFonts w:ascii="Verdana" w:hAnsi="Verdana" w:cs="Arial"/>
          <w:sz w:val="20"/>
          <w:szCs w:val="20"/>
        </w:rPr>
        <w:t>Subcrédito</w:t>
      </w:r>
      <w:proofErr w:type="spellEnd"/>
      <w:r w:rsidRPr="00FD016C">
        <w:rPr>
          <w:rFonts w:ascii="Verdana" w:hAnsi="Verdana" w:cs="Arial"/>
          <w:sz w:val="20"/>
          <w:szCs w:val="20"/>
        </w:rPr>
        <w:t xml:space="preserve"> D teve sua amortização iniciada em 16</w:t>
      </w:r>
      <w:r w:rsidR="003A5470" w:rsidRPr="00FD016C">
        <w:rPr>
          <w:rFonts w:ascii="Verdana" w:hAnsi="Verdana" w:cs="Arial"/>
          <w:sz w:val="20"/>
          <w:szCs w:val="20"/>
        </w:rPr>
        <w:t xml:space="preserve"> de novembro de </w:t>
      </w:r>
      <w:r w:rsidRPr="00FD016C">
        <w:rPr>
          <w:rFonts w:ascii="Verdana" w:hAnsi="Verdana" w:cs="Arial"/>
          <w:sz w:val="20"/>
          <w:szCs w:val="20"/>
        </w:rPr>
        <w:t>2017.</w:t>
      </w:r>
    </w:p>
    <w:p w14:paraId="4AF9DDED" w14:textId="77777777" w:rsidR="00EE1109" w:rsidRPr="00FD016C" w:rsidRDefault="00EE1109" w:rsidP="005144E2">
      <w:pPr>
        <w:widowControl/>
        <w:jc w:val="both"/>
        <w:rPr>
          <w:rFonts w:ascii="Verdana" w:hAnsi="Verdana" w:cs="Arial"/>
          <w:sz w:val="20"/>
          <w:szCs w:val="20"/>
        </w:rPr>
      </w:pPr>
    </w:p>
    <w:p w14:paraId="6EC3A6EF" w14:textId="6B358576" w:rsidR="0069006A" w:rsidRPr="00FD016C" w:rsidRDefault="0069006A" w:rsidP="005144E2">
      <w:pPr>
        <w:jc w:val="both"/>
        <w:rPr>
          <w:rFonts w:ascii="Verdana" w:hAnsi="Verdana" w:cs="Arial"/>
          <w:sz w:val="20"/>
          <w:szCs w:val="20"/>
        </w:rPr>
      </w:pPr>
      <w:r w:rsidRPr="00FD016C">
        <w:rPr>
          <w:rFonts w:ascii="Verdana" w:hAnsi="Verdana" w:cs="Arial"/>
          <w:sz w:val="20"/>
          <w:szCs w:val="20"/>
        </w:rPr>
        <w:t>Em 1</w:t>
      </w:r>
      <w:r w:rsidR="003A5470" w:rsidRPr="00FD016C">
        <w:rPr>
          <w:rFonts w:ascii="Verdana" w:hAnsi="Verdana" w:cs="Arial"/>
          <w:sz w:val="20"/>
          <w:szCs w:val="20"/>
        </w:rPr>
        <w:t>6 de outubro de 2017</w:t>
      </w:r>
      <w:r w:rsidR="00084F0F" w:rsidRPr="00FD016C">
        <w:rPr>
          <w:rFonts w:ascii="Verdana" w:hAnsi="Verdana" w:cs="Arial"/>
          <w:sz w:val="20"/>
          <w:szCs w:val="20"/>
        </w:rPr>
        <w:t>,</w:t>
      </w:r>
      <w:r w:rsidRPr="00FD016C">
        <w:rPr>
          <w:rFonts w:ascii="Verdana" w:hAnsi="Verdana" w:cs="Arial"/>
          <w:sz w:val="20"/>
          <w:szCs w:val="20"/>
        </w:rPr>
        <w:t xml:space="preserve"> a ELETRONUCLEAR iniciou a amortização do principal e passou a realizar o pagamento de 100% dos encargos dos </w:t>
      </w:r>
      <w:proofErr w:type="spellStart"/>
      <w:r w:rsidRPr="00FD016C">
        <w:rPr>
          <w:rFonts w:ascii="Verdana" w:hAnsi="Verdana" w:cs="Arial"/>
          <w:sz w:val="20"/>
          <w:szCs w:val="20"/>
        </w:rPr>
        <w:t>Subcréditos</w:t>
      </w:r>
      <w:proofErr w:type="spellEnd"/>
      <w:r w:rsidRPr="00FD016C">
        <w:rPr>
          <w:rFonts w:ascii="Verdana" w:hAnsi="Verdana" w:cs="Arial"/>
          <w:sz w:val="20"/>
          <w:szCs w:val="20"/>
        </w:rPr>
        <w:t xml:space="preserve"> A e B relativos ao contrato nº 10.2.2032.1, celebrado com o BNDES para investimentos no empreendimento de Angra 3. </w:t>
      </w:r>
    </w:p>
    <w:p w14:paraId="62E816DC" w14:textId="77777777" w:rsidR="0069006A" w:rsidRPr="00FD016C" w:rsidRDefault="0069006A" w:rsidP="005144E2">
      <w:pPr>
        <w:jc w:val="both"/>
        <w:rPr>
          <w:rFonts w:ascii="Verdana" w:hAnsi="Verdana" w:cs="Arial"/>
          <w:sz w:val="20"/>
          <w:szCs w:val="20"/>
        </w:rPr>
      </w:pPr>
    </w:p>
    <w:p w14:paraId="78C6FC90" w14:textId="30506937" w:rsidR="0069006A" w:rsidRPr="00FD016C" w:rsidRDefault="0069006A" w:rsidP="005144E2">
      <w:pPr>
        <w:widowControl/>
        <w:jc w:val="both"/>
        <w:rPr>
          <w:rFonts w:ascii="Verdana" w:hAnsi="Verdana" w:cs="Arial"/>
          <w:sz w:val="20"/>
          <w:szCs w:val="20"/>
        </w:rPr>
      </w:pPr>
      <w:r w:rsidRPr="00FD016C">
        <w:rPr>
          <w:rFonts w:ascii="Verdana" w:hAnsi="Verdana" w:cs="Arial"/>
          <w:sz w:val="20"/>
          <w:szCs w:val="20"/>
        </w:rPr>
        <w:t>Em 06</w:t>
      </w:r>
      <w:r w:rsidR="003A5470" w:rsidRPr="00FD016C">
        <w:rPr>
          <w:rFonts w:ascii="Verdana" w:hAnsi="Verdana" w:cs="Arial"/>
          <w:sz w:val="20"/>
          <w:szCs w:val="20"/>
        </w:rPr>
        <w:t xml:space="preserve"> de julho de </w:t>
      </w:r>
      <w:r w:rsidRPr="00FD016C">
        <w:rPr>
          <w:rFonts w:ascii="Verdana" w:hAnsi="Verdana" w:cs="Arial"/>
          <w:sz w:val="20"/>
          <w:szCs w:val="20"/>
        </w:rPr>
        <w:t xml:space="preserve">2018, a ELETRONUCLEAR iniciou a amortização do Contrato nº 0410.351-27/2013 </w:t>
      </w:r>
      <w:r w:rsidR="008B63E7" w:rsidRPr="00FD016C">
        <w:rPr>
          <w:rFonts w:ascii="Verdana" w:hAnsi="Verdana" w:cs="Arial"/>
          <w:sz w:val="20"/>
          <w:szCs w:val="20"/>
        </w:rPr>
        <w:t xml:space="preserve">da CEF </w:t>
      </w:r>
      <w:r w:rsidRPr="00FD016C">
        <w:rPr>
          <w:rFonts w:ascii="Verdana" w:hAnsi="Verdana" w:cs="Arial"/>
          <w:sz w:val="20"/>
          <w:szCs w:val="20"/>
        </w:rPr>
        <w:t xml:space="preserve">com o </w:t>
      </w:r>
      <w:r w:rsidR="00084F0F" w:rsidRPr="00FD016C">
        <w:rPr>
          <w:rFonts w:ascii="Verdana" w:hAnsi="Verdana" w:cs="Arial"/>
          <w:sz w:val="20"/>
          <w:szCs w:val="20"/>
        </w:rPr>
        <w:t>pagamento da primeira prestação</w:t>
      </w:r>
      <w:r w:rsidRPr="00FD016C">
        <w:rPr>
          <w:rFonts w:ascii="Verdana" w:hAnsi="Verdana" w:cs="Arial"/>
          <w:sz w:val="20"/>
          <w:szCs w:val="20"/>
        </w:rPr>
        <w:t xml:space="preserve"> no valor de R$ 24.741.</w:t>
      </w:r>
    </w:p>
    <w:p w14:paraId="398EF414" w14:textId="77777777" w:rsidR="00425481" w:rsidRPr="00FD016C" w:rsidRDefault="00425481" w:rsidP="005144E2">
      <w:pPr>
        <w:widowControl/>
        <w:jc w:val="both"/>
        <w:rPr>
          <w:rFonts w:ascii="Verdana" w:hAnsi="Verdana" w:cs="Arial"/>
          <w:sz w:val="20"/>
          <w:szCs w:val="20"/>
        </w:rPr>
      </w:pPr>
    </w:p>
    <w:p w14:paraId="1BAD5E77" w14:textId="0885AEC5" w:rsidR="001322E9" w:rsidRPr="00FD016C" w:rsidRDefault="001322E9" w:rsidP="001322E9">
      <w:pPr>
        <w:widowControl/>
        <w:jc w:val="both"/>
        <w:rPr>
          <w:rFonts w:ascii="Verdana" w:hAnsi="Verdana" w:cs="Arial"/>
          <w:color w:val="000000" w:themeColor="text1"/>
          <w:sz w:val="20"/>
          <w:szCs w:val="20"/>
        </w:rPr>
      </w:pPr>
      <w:r w:rsidRPr="00FD016C">
        <w:rPr>
          <w:rFonts w:ascii="Verdana" w:hAnsi="Verdana" w:cs="Arial"/>
          <w:color w:val="000000" w:themeColor="text1"/>
          <w:sz w:val="20"/>
          <w:szCs w:val="20"/>
        </w:rPr>
        <w:t>Em 13 de janeiro de 2021, foi assinado o Termo Aditivo nº 8 ao Contrato de Financiamento Mediante Abertura de Crédito nº 10.2.2032.1, firmado entre o BNDES e a ELETRONUCLEAR, tendo a Eletrobras como interveniente, formalizando a prorrogação do prazo limite para o cumprimento da obrigação de preenchimento integral da Conta Reserva, conforme previsto nos Parágrafos Primeiro, Terceiro e Quarto, da Cláusula Sétima (Garantia da Operação) para a data de 15 de junho de 2022, com o valor equivalente à soma das últimas  3 (três) prestações vencidas de amortização, juros e demais acessórios. Em 14 de janeiro de 2021, foi assinado o Termo Aditivo nº 3 ao Contrato de Cessão Fiduciária, firmado entre ELETRONUCLEAR, BNDES e Banco do Brasil, versando também sobre a prorrogação do prazo para o preenchimento da Conta Reserva.</w:t>
      </w:r>
    </w:p>
    <w:p w14:paraId="744C8DA4" w14:textId="0BCC82F1" w:rsidR="000969F9" w:rsidRPr="00FD016C" w:rsidRDefault="000969F9" w:rsidP="005144E2">
      <w:pPr>
        <w:widowControl/>
        <w:tabs>
          <w:tab w:val="num" w:pos="360"/>
        </w:tabs>
        <w:jc w:val="both"/>
        <w:rPr>
          <w:rFonts w:ascii="Verdana" w:hAnsi="Verdana" w:cs="Arial"/>
          <w:b/>
          <w:sz w:val="20"/>
          <w:szCs w:val="20"/>
        </w:rPr>
      </w:pPr>
    </w:p>
    <w:p w14:paraId="3FC801D0" w14:textId="77777777" w:rsidR="000969F9" w:rsidRPr="00FD016C" w:rsidRDefault="000969F9" w:rsidP="005144E2">
      <w:pPr>
        <w:widowControl/>
        <w:tabs>
          <w:tab w:val="num" w:pos="360"/>
        </w:tabs>
        <w:jc w:val="both"/>
        <w:rPr>
          <w:rFonts w:ascii="Verdana" w:hAnsi="Verdana" w:cs="Arial"/>
          <w:b/>
          <w:sz w:val="20"/>
          <w:szCs w:val="20"/>
        </w:rPr>
      </w:pPr>
    </w:p>
    <w:p w14:paraId="34FE436C" w14:textId="77777777" w:rsidR="0016041A" w:rsidRPr="00FD016C" w:rsidRDefault="0016041A" w:rsidP="005144E2">
      <w:pPr>
        <w:widowControl/>
        <w:tabs>
          <w:tab w:val="num" w:pos="360"/>
        </w:tabs>
        <w:jc w:val="both"/>
        <w:rPr>
          <w:rFonts w:ascii="Verdana" w:hAnsi="Verdana" w:cs="Arial"/>
          <w:b/>
          <w:color w:val="0070C0"/>
          <w:u w:val="single"/>
        </w:rPr>
      </w:pPr>
      <w:r w:rsidRPr="00FD016C">
        <w:rPr>
          <w:rFonts w:ascii="Verdana" w:hAnsi="Verdana" w:cs="Arial"/>
          <w:b/>
          <w:color w:val="0070C0"/>
          <w:u w:val="single"/>
        </w:rPr>
        <w:t>Reestruturação do Serviço da Dívida</w:t>
      </w:r>
    </w:p>
    <w:p w14:paraId="2F10451B" w14:textId="77777777" w:rsidR="00B61862" w:rsidRPr="00FD016C" w:rsidRDefault="00B61862" w:rsidP="00B61862">
      <w:pPr>
        <w:widowControl/>
        <w:tabs>
          <w:tab w:val="num" w:pos="360"/>
        </w:tabs>
        <w:jc w:val="both"/>
        <w:rPr>
          <w:rFonts w:ascii="Verdana" w:hAnsi="Verdana" w:cs="Arial"/>
          <w:color w:val="0070C0"/>
          <w:sz w:val="20"/>
          <w:szCs w:val="20"/>
        </w:rPr>
      </w:pPr>
    </w:p>
    <w:p w14:paraId="1E37F7EC" w14:textId="361FCEFB" w:rsidR="00B61862" w:rsidRPr="00FD016C" w:rsidRDefault="00B61862" w:rsidP="00B61862">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 xml:space="preserve">Em 15 de junho de 2020, a Eletrobras aprovou, por meio da Resolução nº RES-351/2020 de sua Diretoria Executiva, a capitalização dos contratos ECR-286/14, ECF-3278/15, ECF-3284/16, ECF-3341/17, ECF-3347/17, ECF-3367/18 e ECF-3370/18 e 3374/19. Em 25 de junho, o </w:t>
      </w:r>
      <w:r w:rsidRPr="00FD016C">
        <w:rPr>
          <w:rFonts w:ascii="Verdana" w:hAnsi="Verdana" w:cs="Arial"/>
          <w:color w:val="000000" w:themeColor="text1"/>
          <w:sz w:val="20"/>
          <w:szCs w:val="20"/>
        </w:rPr>
        <w:lastRenderedPageBreak/>
        <w:t xml:space="preserve">Conselho de Administração da Eletrobras, por meio da Deliberação nº DEL-106/2020, ratificou a decisão da Diretoria Executiva e aprovou a capitalização dos referidos contratos. </w:t>
      </w:r>
    </w:p>
    <w:p w14:paraId="555E7587" w14:textId="77777777" w:rsidR="00091B3D" w:rsidRPr="00FD016C" w:rsidRDefault="00091B3D" w:rsidP="00B61862">
      <w:pPr>
        <w:widowControl/>
        <w:tabs>
          <w:tab w:val="num" w:pos="360"/>
        </w:tabs>
        <w:jc w:val="both"/>
        <w:rPr>
          <w:rFonts w:ascii="Verdana" w:hAnsi="Verdana" w:cs="Arial"/>
          <w:color w:val="000000" w:themeColor="text1"/>
          <w:sz w:val="20"/>
          <w:szCs w:val="20"/>
        </w:rPr>
      </w:pPr>
    </w:p>
    <w:p w14:paraId="1AD06CF6" w14:textId="2E9D4A69" w:rsidR="00091B3D" w:rsidRPr="00FD016C" w:rsidRDefault="00091B3D" w:rsidP="00091B3D">
      <w:pPr>
        <w:widowControl/>
        <w:tabs>
          <w:tab w:val="num" w:pos="360"/>
        </w:tabs>
        <w:jc w:val="both"/>
        <w:rPr>
          <w:rFonts w:ascii="Verdana" w:hAnsi="Verdana" w:cs="Arial"/>
          <w:sz w:val="20"/>
          <w:szCs w:val="20"/>
        </w:rPr>
      </w:pPr>
      <w:r w:rsidRPr="00FD016C">
        <w:rPr>
          <w:rFonts w:ascii="Verdana" w:hAnsi="Verdana" w:cs="Arial"/>
          <w:sz w:val="20"/>
          <w:szCs w:val="20"/>
        </w:rPr>
        <w:t xml:space="preserve">Em 15 de </w:t>
      </w:r>
      <w:r w:rsidR="00226EF9" w:rsidRPr="00FD016C">
        <w:rPr>
          <w:rFonts w:ascii="Verdana" w:hAnsi="Verdana" w:cs="Arial"/>
          <w:sz w:val="20"/>
          <w:szCs w:val="20"/>
        </w:rPr>
        <w:t>j</w:t>
      </w:r>
      <w:r w:rsidRPr="00FD016C">
        <w:rPr>
          <w:rFonts w:ascii="Verdana" w:hAnsi="Verdana" w:cs="Arial"/>
          <w:sz w:val="20"/>
          <w:szCs w:val="20"/>
        </w:rPr>
        <w:t>ulho</w:t>
      </w:r>
      <w:r w:rsidR="0043148A" w:rsidRPr="00FD016C">
        <w:rPr>
          <w:rFonts w:ascii="Verdana" w:hAnsi="Verdana" w:cs="Arial"/>
          <w:sz w:val="20"/>
          <w:szCs w:val="20"/>
        </w:rPr>
        <w:t xml:space="preserve"> 2020</w:t>
      </w:r>
      <w:r w:rsidRPr="00FD016C">
        <w:rPr>
          <w:rFonts w:ascii="Verdana" w:hAnsi="Verdana" w:cs="Arial"/>
          <w:sz w:val="20"/>
          <w:szCs w:val="20"/>
        </w:rPr>
        <w:t xml:space="preserve">, a Eletrobras solicitou ao Ministério de Minas e Energia - MME as providências necessárias para o encaminhamento do processo de aumento de capital da ELETRONUCLEAR, por conta da capitalização de instrumentos de dívida firmados com a sua </w:t>
      </w:r>
      <w:r w:rsidRPr="00FD016C">
        <w:rPr>
          <w:rFonts w:ascii="Verdana" w:hAnsi="Verdana" w:cs="Arial"/>
          <w:i/>
          <w:sz w:val="20"/>
          <w:szCs w:val="20"/>
        </w:rPr>
        <w:t>holding</w:t>
      </w:r>
      <w:r w:rsidR="0058749D" w:rsidRPr="00FD016C">
        <w:rPr>
          <w:rFonts w:ascii="Verdana" w:hAnsi="Verdana" w:cs="Arial"/>
          <w:sz w:val="20"/>
          <w:szCs w:val="20"/>
        </w:rPr>
        <w:t xml:space="preserve"> Eletrobras</w:t>
      </w:r>
      <w:r w:rsidRPr="00FD016C">
        <w:rPr>
          <w:rFonts w:ascii="Verdana" w:hAnsi="Verdana" w:cs="Arial"/>
          <w:sz w:val="20"/>
          <w:szCs w:val="20"/>
        </w:rPr>
        <w:t xml:space="preserve">, assim como pela integralização dos contratos de Adiantamento para Futuro Aumento de Capital - AFAC, à Procuradoria Geral do Ministério da Fazenda </w:t>
      </w:r>
      <w:r w:rsidR="0058749D" w:rsidRPr="00FD016C">
        <w:rPr>
          <w:rFonts w:ascii="Verdana" w:hAnsi="Verdana" w:cs="Arial"/>
          <w:sz w:val="20"/>
          <w:szCs w:val="20"/>
        </w:rPr>
        <w:t xml:space="preserve">- </w:t>
      </w:r>
      <w:r w:rsidRPr="00FD016C">
        <w:rPr>
          <w:rFonts w:ascii="Verdana" w:hAnsi="Verdana" w:cs="Arial"/>
          <w:sz w:val="20"/>
          <w:szCs w:val="20"/>
        </w:rPr>
        <w:t xml:space="preserve">PGNF e à Secretaria de Coordenação e Governança das Empresas Estatais </w:t>
      </w:r>
      <w:r w:rsidR="0058749D" w:rsidRPr="00FD016C">
        <w:rPr>
          <w:rFonts w:ascii="Verdana" w:hAnsi="Verdana" w:cs="Arial"/>
          <w:sz w:val="20"/>
          <w:szCs w:val="20"/>
        </w:rPr>
        <w:t xml:space="preserve">- </w:t>
      </w:r>
      <w:r w:rsidRPr="00FD016C">
        <w:rPr>
          <w:rFonts w:ascii="Verdana" w:hAnsi="Verdana" w:cs="Arial"/>
          <w:sz w:val="20"/>
          <w:szCs w:val="20"/>
        </w:rPr>
        <w:t>SEST no sentido de obter parecer autorizando o voto da Eletrobras na Assembleia Geral Extraordinária</w:t>
      </w:r>
      <w:r w:rsidR="00A443DA" w:rsidRPr="00FD016C">
        <w:rPr>
          <w:rFonts w:ascii="Verdana" w:hAnsi="Verdana" w:cs="Arial"/>
          <w:sz w:val="20"/>
          <w:szCs w:val="20"/>
        </w:rPr>
        <w:t xml:space="preserve"> - AGE</w:t>
      </w:r>
      <w:r w:rsidRPr="00FD016C">
        <w:rPr>
          <w:rFonts w:ascii="Verdana" w:hAnsi="Verdana" w:cs="Arial"/>
          <w:sz w:val="20"/>
          <w:szCs w:val="20"/>
        </w:rPr>
        <w:t xml:space="preserve"> a ser convocada pela ELETRONUCLEAR para a efetivação da integralização do capital social da </w:t>
      </w:r>
      <w:r w:rsidR="0058749D" w:rsidRPr="00FD016C">
        <w:rPr>
          <w:rFonts w:ascii="Verdana" w:hAnsi="Verdana" w:cs="Arial"/>
          <w:sz w:val="20"/>
          <w:szCs w:val="20"/>
        </w:rPr>
        <w:t>C</w:t>
      </w:r>
      <w:r w:rsidRPr="00FD016C">
        <w:rPr>
          <w:rFonts w:ascii="Verdana" w:hAnsi="Verdana" w:cs="Arial"/>
          <w:sz w:val="20"/>
          <w:szCs w:val="20"/>
        </w:rPr>
        <w:t>ompanhia.</w:t>
      </w:r>
    </w:p>
    <w:p w14:paraId="48F0EC3D" w14:textId="77777777" w:rsidR="00091B3D" w:rsidRPr="00FD016C" w:rsidRDefault="00091B3D" w:rsidP="00091B3D">
      <w:pPr>
        <w:widowControl/>
        <w:tabs>
          <w:tab w:val="num" w:pos="360"/>
        </w:tabs>
        <w:jc w:val="both"/>
        <w:rPr>
          <w:rFonts w:ascii="Verdana" w:hAnsi="Verdana" w:cs="Arial"/>
          <w:sz w:val="20"/>
          <w:szCs w:val="20"/>
        </w:rPr>
      </w:pPr>
    </w:p>
    <w:p w14:paraId="51E5FAA5" w14:textId="7EBAAF2B" w:rsidR="00D85CD9" w:rsidRPr="00FD016C" w:rsidRDefault="00091B3D" w:rsidP="00D85CD9">
      <w:pPr>
        <w:widowControl/>
        <w:tabs>
          <w:tab w:val="num" w:pos="360"/>
        </w:tabs>
        <w:jc w:val="both"/>
        <w:rPr>
          <w:rFonts w:ascii="Verdana" w:hAnsi="Verdana" w:cs="Arial"/>
          <w:color w:val="000000" w:themeColor="text1"/>
          <w:sz w:val="20"/>
          <w:szCs w:val="20"/>
        </w:rPr>
      </w:pPr>
      <w:r w:rsidRPr="00FD016C">
        <w:rPr>
          <w:rFonts w:ascii="Verdana" w:hAnsi="Verdana" w:cs="Arial"/>
          <w:sz w:val="20"/>
          <w:szCs w:val="20"/>
        </w:rPr>
        <w:t xml:space="preserve">Após manifestação favorável da </w:t>
      </w:r>
      <w:r w:rsidR="00B15AED" w:rsidRPr="003772BC">
        <w:rPr>
          <w:rFonts w:ascii="Verdana" w:hAnsi="Verdana" w:cs="Arial"/>
          <w:sz w:val="20"/>
          <w:szCs w:val="20"/>
        </w:rPr>
        <w:t>Procuradoria-Geral da Fazenda Pública</w:t>
      </w:r>
      <w:r w:rsidR="00B15AED" w:rsidRPr="00FD016C">
        <w:rPr>
          <w:rFonts w:ascii="Verdana" w:hAnsi="Verdana" w:cs="Arial"/>
          <w:color w:val="3C4043"/>
          <w:sz w:val="20"/>
          <w:szCs w:val="20"/>
          <w:shd w:val="clear" w:color="auto" w:fill="FFFFFF"/>
        </w:rPr>
        <w:t xml:space="preserve"> - </w:t>
      </w:r>
      <w:r w:rsidRPr="00FD016C">
        <w:rPr>
          <w:rFonts w:ascii="Verdana" w:hAnsi="Verdana" w:cs="Arial"/>
          <w:sz w:val="20"/>
          <w:szCs w:val="20"/>
        </w:rPr>
        <w:t>PG</w:t>
      </w:r>
      <w:r w:rsidR="00B15AED" w:rsidRPr="00FD016C">
        <w:rPr>
          <w:rFonts w:ascii="Verdana" w:hAnsi="Verdana" w:cs="Arial"/>
          <w:sz w:val="20"/>
          <w:szCs w:val="20"/>
        </w:rPr>
        <w:t>FN</w:t>
      </w:r>
      <w:r w:rsidRPr="00FD016C">
        <w:rPr>
          <w:rFonts w:ascii="Verdana" w:hAnsi="Verdana" w:cs="Arial"/>
          <w:sz w:val="20"/>
          <w:szCs w:val="20"/>
        </w:rPr>
        <w:t xml:space="preserve"> e da </w:t>
      </w:r>
      <w:r w:rsidR="00A443DA" w:rsidRPr="00FD016C">
        <w:rPr>
          <w:rFonts w:ascii="Verdana" w:hAnsi="Verdana" w:cs="Arial"/>
          <w:sz w:val="20"/>
          <w:szCs w:val="20"/>
        </w:rPr>
        <w:t xml:space="preserve">Secretaria de Coordenação e Governança das Empresas Estatais - </w:t>
      </w:r>
      <w:r w:rsidRPr="00FD016C">
        <w:rPr>
          <w:rFonts w:ascii="Verdana" w:hAnsi="Verdana" w:cs="Arial"/>
          <w:sz w:val="20"/>
          <w:szCs w:val="20"/>
        </w:rPr>
        <w:t>SEST em relação ao aumento de capi</w:t>
      </w:r>
      <w:r w:rsidR="00746428" w:rsidRPr="00FD016C">
        <w:rPr>
          <w:rFonts w:ascii="Verdana" w:hAnsi="Verdana" w:cs="Arial"/>
          <w:sz w:val="20"/>
          <w:szCs w:val="20"/>
        </w:rPr>
        <w:t>tal da ELETRONUCLEAR; em 23 de s</w:t>
      </w:r>
      <w:r w:rsidRPr="00FD016C">
        <w:rPr>
          <w:rFonts w:ascii="Verdana" w:hAnsi="Verdana" w:cs="Arial"/>
          <w:sz w:val="20"/>
          <w:szCs w:val="20"/>
        </w:rPr>
        <w:t>etembro</w:t>
      </w:r>
      <w:r w:rsidR="00746428" w:rsidRPr="00FD016C">
        <w:rPr>
          <w:rFonts w:ascii="Verdana" w:hAnsi="Verdana" w:cs="Arial"/>
          <w:sz w:val="20"/>
          <w:szCs w:val="20"/>
        </w:rPr>
        <w:t xml:space="preserve"> de 2020</w:t>
      </w:r>
      <w:r w:rsidRPr="00FD016C">
        <w:rPr>
          <w:rFonts w:ascii="Verdana" w:hAnsi="Verdana" w:cs="Arial"/>
          <w:sz w:val="20"/>
          <w:szCs w:val="20"/>
        </w:rPr>
        <w:t xml:space="preserve">, houve aprovação </w:t>
      </w:r>
      <w:r w:rsidR="00D85CD9" w:rsidRPr="00FD016C">
        <w:rPr>
          <w:rFonts w:ascii="Verdana" w:hAnsi="Verdana" w:cs="Arial"/>
          <w:color w:val="000000" w:themeColor="text1"/>
          <w:sz w:val="20"/>
          <w:szCs w:val="20"/>
        </w:rPr>
        <w:t xml:space="preserve">nas instâncias de governança da ELETRONUCLEAR aprovando a convocação de Assembleia Geral Extraordinária – AGE, em cumprimento ao Estatuto Social da ELETRONUCLEAR, para a deliberação da integralização de capital aprovada. </w:t>
      </w:r>
    </w:p>
    <w:p w14:paraId="58412A4D" w14:textId="700F8D7B" w:rsidR="008F2342" w:rsidRPr="00FD016C" w:rsidRDefault="008F2342" w:rsidP="00091B3D">
      <w:pPr>
        <w:widowControl/>
        <w:tabs>
          <w:tab w:val="num" w:pos="360"/>
        </w:tabs>
        <w:jc w:val="both"/>
        <w:rPr>
          <w:rFonts w:ascii="Verdana" w:hAnsi="Verdana" w:cs="Arial"/>
          <w:sz w:val="20"/>
          <w:szCs w:val="20"/>
        </w:rPr>
      </w:pPr>
    </w:p>
    <w:p w14:paraId="7AD78F90" w14:textId="404E6A8F" w:rsidR="008F2342" w:rsidRPr="00FD016C" w:rsidRDefault="008F2342" w:rsidP="008F2342">
      <w:pPr>
        <w:widowControl/>
        <w:jc w:val="both"/>
        <w:rPr>
          <w:rFonts w:ascii="Verdana" w:hAnsi="Verdana" w:cs="Arial"/>
          <w:sz w:val="20"/>
          <w:szCs w:val="20"/>
        </w:rPr>
      </w:pPr>
      <w:r w:rsidRPr="0043736C">
        <w:rPr>
          <w:rFonts w:ascii="Verdana" w:hAnsi="Verdana" w:cs="Arial"/>
          <w:sz w:val="20"/>
          <w:szCs w:val="20"/>
        </w:rPr>
        <w:t xml:space="preserve">Em 21 de outubro de 2020, foi realizada a 99ª </w:t>
      </w:r>
      <w:r w:rsidR="00A443DA" w:rsidRPr="0043736C">
        <w:rPr>
          <w:rFonts w:ascii="Verdana" w:hAnsi="Verdana" w:cs="Arial"/>
          <w:sz w:val="20"/>
          <w:szCs w:val="20"/>
        </w:rPr>
        <w:t>A</w:t>
      </w:r>
      <w:r w:rsidRPr="0043736C">
        <w:rPr>
          <w:rFonts w:ascii="Verdana" w:hAnsi="Verdana" w:cs="Arial"/>
          <w:sz w:val="20"/>
          <w:szCs w:val="20"/>
        </w:rPr>
        <w:t xml:space="preserve">ssembleia </w:t>
      </w:r>
      <w:r w:rsidR="00A443DA" w:rsidRPr="0043736C">
        <w:rPr>
          <w:rFonts w:ascii="Verdana" w:hAnsi="Verdana" w:cs="Arial"/>
          <w:sz w:val="20"/>
          <w:szCs w:val="20"/>
        </w:rPr>
        <w:t>G</w:t>
      </w:r>
      <w:r w:rsidRPr="0043736C">
        <w:rPr>
          <w:rFonts w:ascii="Verdana" w:hAnsi="Verdana" w:cs="Arial"/>
          <w:sz w:val="20"/>
          <w:szCs w:val="20"/>
        </w:rPr>
        <w:t xml:space="preserve">eral </w:t>
      </w:r>
      <w:r w:rsidR="00A443DA" w:rsidRPr="0043736C">
        <w:rPr>
          <w:rFonts w:ascii="Verdana" w:hAnsi="Verdana" w:cs="Arial"/>
          <w:sz w:val="20"/>
          <w:szCs w:val="20"/>
        </w:rPr>
        <w:t>E</w:t>
      </w:r>
      <w:r w:rsidRPr="0043736C">
        <w:rPr>
          <w:rFonts w:ascii="Verdana" w:hAnsi="Verdana" w:cs="Arial"/>
          <w:sz w:val="20"/>
          <w:szCs w:val="20"/>
        </w:rPr>
        <w:t>xtraordinária</w:t>
      </w:r>
      <w:r w:rsidR="00A443DA" w:rsidRPr="0043736C">
        <w:rPr>
          <w:rFonts w:ascii="Verdana" w:hAnsi="Verdana" w:cs="Arial"/>
          <w:sz w:val="20"/>
          <w:szCs w:val="20"/>
        </w:rPr>
        <w:t xml:space="preserve"> - AGE </w:t>
      </w:r>
      <w:r w:rsidRPr="0043736C">
        <w:rPr>
          <w:rFonts w:ascii="Verdana" w:hAnsi="Verdana" w:cs="Arial"/>
          <w:sz w:val="20"/>
          <w:szCs w:val="20"/>
        </w:rPr>
        <w:t xml:space="preserve"> da ELETRONUCLEAR, na qual foi deliberada a aprovação do aumento do Capital Social da Companhia no valor de R$ 1.885.778, com a emissão de 22.081.709.937 ações, distribuídas entre 17.256.190.448 ações ordinárias com direito a voto e 4.825.519.489 ações preferenciais sem direito a voto, mediante a conversão de créditos de Adiantamentos para Futuro Aumento de Capital - AFAC no v</w:t>
      </w:r>
      <w:r w:rsidR="00E11E4D" w:rsidRPr="0043736C">
        <w:rPr>
          <w:rFonts w:ascii="Verdana" w:hAnsi="Verdana" w:cs="Arial"/>
          <w:sz w:val="20"/>
          <w:szCs w:val="20"/>
        </w:rPr>
        <w:t xml:space="preserve">alor de R$ 850.000 , assim como </w:t>
      </w:r>
      <w:r w:rsidRPr="0043736C">
        <w:rPr>
          <w:rFonts w:ascii="Verdana" w:hAnsi="Verdana" w:cs="Arial"/>
          <w:sz w:val="20"/>
          <w:szCs w:val="20"/>
        </w:rPr>
        <w:t xml:space="preserve">a conversão de créditos dos 8 (oito) contratos de financiamentos no montante de R$ 1.035.778, ambos pertencentes à </w:t>
      </w:r>
      <w:r w:rsidR="00A443DA" w:rsidRPr="0043736C">
        <w:rPr>
          <w:rFonts w:ascii="Verdana" w:hAnsi="Verdana" w:cs="Arial"/>
          <w:sz w:val="20"/>
          <w:szCs w:val="20"/>
        </w:rPr>
        <w:t xml:space="preserve"> Eletrobras </w:t>
      </w:r>
      <w:r w:rsidRPr="0043736C">
        <w:rPr>
          <w:rFonts w:ascii="Verdana" w:hAnsi="Verdana" w:cs="Arial"/>
          <w:sz w:val="20"/>
          <w:szCs w:val="20"/>
        </w:rPr>
        <w:t>Centrais Elétricas Ele</w:t>
      </w:r>
      <w:r w:rsidR="00A443DA" w:rsidRPr="0043736C">
        <w:rPr>
          <w:rFonts w:ascii="Verdana" w:hAnsi="Verdana" w:cs="Arial"/>
          <w:sz w:val="20"/>
          <w:szCs w:val="20"/>
        </w:rPr>
        <w:t xml:space="preserve">trobras S.A. </w:t>
      </w:r>
      <w:r w:rsidRPr="0043736C">
        <w:rPr>
          <w:rFonts w:ascii="Verdana" w:hAnsi="Verdana" w:cs="Arial"/>
          <w:sz w:val="20"/>
          <w:szCs w:val="20"/>
        </w:rPr>
        <w:t>Foi aprovada</w:t>
      </w:r>
      <w:r w:rsidR="00A443DA" w:rsidRPr="0043736C">
        <w:rPr>
          <w:rFonts w:ascii="Verdana" w:hAnsi="Verdana" w:cs="Arial"/>
          <w:sz w:val="20"/>
          <w:szCs w:val="20"/>
        </w:rPr>
        <w:t>,</w:t>
      </w:r>
      <w:r w:rsidRPr="0043736C">
        <w:rPr>
          <w:rFonts w:ascii="Verdana" w:hAnsi="Verdana" w:cs="Arial"/>
          <w:sz w:val="20"/>
          <w:szCs w:val="20"/>
        </w:rPr>
        <w:t xml:space="preserve"> ainda</w:t>
      </w:r>
      <w:r w:rsidR="00A443DA" w:rsidRPr="0043736C">
        <w:rPr>
          <w:rFonts w:ascii="Verdana" w:hAnsi="Verdana" w:cs="Arial"/>
          <w:sz w:val="20"/>
          <w:szCs w:val="20"/>
        </w:rPr>
        <w:t>,</w:t>
      </w:r>
      <w:r w:rsidRPr="0043736C">
        <w:rPr>
          <w:rFonts w:ascii="Verdana" w:hAnsi="Verdana" w:cs="Arial"/>
          <w:sz w:val="20"/>
          <w:szCs w:val="20"/>
        </w:rPr>
        <w:t xml:space="preserve"> a alteração do caput do artigo 8º, do Estatuto Social da ELETRONUCLEAR, compatibilizando-o com este aumento de Capital Social.</w:t>
      </w:r>
      <w:r w:rsidRPr="00FD016C">
        <w:rPr>
          <w:rFonts w:ascii="Verdana" w:hAnsi="Verdana" w:cs="Arial"/>
          <w:sz w:val="20"/>
          <w:szCs w:val="20"/>
        </w:rPr>
        <w:t xml:space="preserve">  </w:t>
      </w:r>
    </w:p>
    <w:p w14:paraId="398A1407" w14:textId="77777777" w:rsidR="00B344C1" w:rsidRDefault="00B344C1" w:rsidP="008F2342">
      <w:pPr>
        <w:widowControl/>
        <w:jc w:val="both"/>
        <w:rPr>
          <w:rFonts w:ascii="Verdana" w:hAnsi="Verdana" w:cs="Arial"/>
          <w:sz w:val="20"/>
          <w:szCs w:val="20"/>
        </w:rPr>
      </w:pPr>
    </w:p>
    <w:p w14:paraId="62CA8C1F" w14:textId="77777777" w:rsidR="003772BC" w:rsidRPr="00FD016C" w:rsidRDefault="003772BC" w:rsidP="008F2342">
      <w:pPr>
        <w:widowControl/>
        <w:jc w:val="both"/>
        <w:rPr>
          <w:rFonts w:ascii="Verdana" w:hAnsi="Verdana" w:cs="Arial"/>
          <w:sz w:val="20"/>
          <w:szCs w:val="20"/>
        </w:rPr>
      </w:pPr>
    </w:p>
    <w:p w14:paraId="7AF38231" w14:textId="546238CD" w:rsidR="0069006A" w:rsidRPr="00FD016C" w:rsidRDefault="0069006A" w:rsidP="005144E2">
      <w:pPr>
        <w:widowControl/>
        <w:tabs>
          <w:tab w:val="num" w:pos="360"/>
        </w:tabs>
        <w:jc w:val="both"/>
        <w:rPr>
          <w:rFonts w:ascii="Verdana" w:hAnsi="Verdana" w:cs="Arial"/>
          <w:b/>
          <w:color w:val="0070C0"/>
          <w:u w:val="single"/>
        </w:rPr>
      </w:pPr>
      <w:r w:rsidRPr="00FD016C">
        <w:rPr>
          <w:rFonts w:ascii="Verdana" w:hAnsi="Verdana" w:cs="Arial"/>
          <w:b/>
          <w:color w:val="0070C0"/>
          <w:u w:val="single"/>
        </w:rPr>
        <w:t>Confissão de Dívida</w:t>
      </w:r>
    </w:p>
    <w:p w14:paraId="4016CCED" w14:textId="77777777" w:rsidR="00091B3D" w:rsidRPr="00FD016C" w:rsidRDefault="00091B3D" w:rsidP="005144E2">
      <w:pPr>
        <w:widowControl/>
        <w:tabs>
          <w:tab w:val="num" w:pos="360"/>
        </w:tabs>
        <w:jc w:val="both"/>
        <w:rPr>
          <w:rFonts w:ascii="Verdana" w:hAnsi="Verdana" w:cs="Arial"/>
          <w:sz w:val="20"/>
          <w:szCs w:val="20"/>
        </w:rPr>
      </w:pPr>
    </w:p>
    <w:p w14:paraId="44DFBFC8" w14:textId="2FE0FED0" w:rsidR="0069006A" w:rsidRPr="00FD016C" w:rsidRDefault="0069006A" w:rsidP="005144E2">
      <w:pPr>
        <w:widowControl/>
        <w:tabs>
          <w:tab w:val="num" w:pos="360"/>
        </w:tabs>
        <w:jc w:val="both"/>
        <w:rPr>
          <w:rFonts w:ascii="Verdana" w:hAnsi="Verdana" w:cs="Arial"/>
          <w:sz w:val="20"/>
          <w:szCs w:val="20"/>
        </w:rPr>
      </w:pPr>
      <w:r w:rsidRPr="00FD016C">
        <w:rPr>
          <w:rFonts w:ascii="Verdana" w:hAnsi="Verdana" w:cs="Arial"/>
          <w:sz w:val="20"/>
          <w:szCs w:val="20"/>
        </w:rPr>
        <w:t>Em 30</w:t>
      </w:r>
      <w:r w:rsidR="00886446" w:rsidRPr="00FD016C">
        <w:rPr>
          <w:rFonts w:ascii="Verdana" w:hAnsi="Verdana" w:cs="Arial"/>
          <w:sz w:val="20"/>
          <w:szCs w:val="20"/>
        </w:rPr>
        <w:t xml:space="preserve"> de outubro de </w:t>
      </w:r>
      <w:r w:rsidRPr="00FD016C">
        <w:rPr>
          <w:rFonts w:ascii="Verdana" w:hAnsi="Verdana" w:cs="Arial"/>
          <w:sz w:val="20"/>
          <w:szCs w:val="20"/>
        </w:rPr>
        <w:t>2019</w:t>
      </w:r>
      <w:r w:rsidR="00871F84" w:rsidRPr="00FD016C">
        <w:rPr>
          <w:rFonts w:ascii="Verdana" w:hAnsi="Verdana" w:cs="Arial"/>
          <w:sz w:val="20"/>
          <w:szCs w:val="20"/>
        </w:rPr>
        <w:t>,</w:t>
      </w:r>
      <w:r w:rsidRPr="00FD016C">
        <w:rPr>
          <w:rFonts w:ascii="Verdana" w:hAnsi="Verdana" w:cs="Arial"/>
          <w:sz w:val="20"/>
          <w:szCs w:val="20"/>
        </w:rPr>
        <w:t xml:space="preserve"> foi celebrado pela ELETRONUCLEAR e por Furnas Centrais Elétricas S.A. o Instrumento Particular de Confissão de Dívida e Outras Avenças – 001/2019, por meio do qual as duas partes reconhecem a existência de créditos pendentes</w:t>
      </w:r>
      <w:r w:rsidR="00593EB4" w:rsidRPr="00FD016C">
        <w:rPr>
          <w:rFonts w:ascii="Verdana" w:hAnsi="Verdana" w:cs="Arial"/>
          <w:sz w:val="20"/>
          <w:szCs w:val="20"/>
        </w:rPr>
        <w:t xml:space="preserve"> uma</w:t>
      </w:r>
      <w:r w:rsidRPr="00FD016C">
        <w:rPr>
          <w:rFonts w:ascii="Verdana" w:hAnsi="Verdana" w:cs="Arial"/>
          <w:sz w:val="20"/>
          <w:szCs w:val="20"/>
        </w:rPr>
        <w:t xml:space="preserve"> com a outra, que após compensação dos valores somam um crédito líquido em favor de Furnas no montante de R$ 122.560, atualizado à data de 31</w:t>
      </w:r>
      <w:r w:rsidR="00886446" w:rsidRPr="00FD016C">
        <w:rPr>
          <w:rFonts w:ascii="Verdana" w:hAnsi="Verdana" w:cs="Arial"/>
          <w:sz w:val="20"/>
          <w:szCs w:val="20"/>
        </w:rPr>
        <w:t xml:space="preserve"> de dezembro de </w:t>
      </w:r>
      <w:r w:rsidRPr="00FD016C">
        <w:rPr>
          <w:rFonts w:ascii="Verdana" w:hAnsi="Verdana" w:cs="Arial"/>
          <w:sz w:val="20"/>
          <w:szCs w:val="20"/>
        </w:rPr>
        <w:t xml:space="preserve">2012. Este montante devido pela ELETRONUCLEAR, atualizado </w:t>
      </w:r>
      <w:r w:rsidR="00593EB4" w:rsidRPr="00FD016C">
        <w:rPr>
          <w:rFonts w:ascii="Verdana" w:hAnsi="Verdana" w:cs="Arial"/>
          <w:sz w:val="20"/>
          <w:szCs w:val="20"/>
        </w:rPr>
        <w:t>em</w:t>
      </w:r>
      <w:r w:rsidRPr="00FD016C">
        <w:rPr>
          <w:rFonts w:ascii="Verdana" w:hAnsi="Verdana" w:cs="Arial"/>
          <w:sz w:val="20"/>
          <w:szCs w:val="20"/>
        </w:rPr>
        <w:t xml:space="preserve"> 31</w:t>
      </w:r>
      <w:r w:rsidR="007E15E9" w:rsidRPr="00FD016C">
        <w:rPr>
          <w:rFonts w:ascii="Verdana" w:hAnsi="Verdana" w:cs="Arial"/>
          <w:sz w:val="20"/>
          <w:szCs w:val="20"/>
        </w:rPr>
        <w:t xml:space="preserve"> de dezembro </w:t>
      </w:r>
      <w:r w:rsidRPr="00FD016C">
        <w:rPr>
          <w:rFonts w:ascii="Verdana" w:hAnsi="Verdana" w:cs="Arial"/>
          <w:sz w:val="20"/>
          <w:szCs w:val="20"/>
        </w:rPr>
        <w:t>2018, totalizava R$ 246.142.</w:t>
      </w:r>
    </w:p>
    <w:p w14:paraId="659C4016" w14:textId="77777777" w:rsidR="00C4485C" w:rsidRPr="00FD016C" w:rsidRDefault="00C4485C" w:rsidP="005144E2">
      <w:pPr>
        <w:widowControl/>
        <w:tabs>
          <w:tab w:val="num" w:pos="360"/>
        </w:tabs>
        <w:jc w:val="both"/>
        <w:rPr>
          <w:rFonts w:ascii="Verdana" w:hAnsi="Verdana" w:cs="Arial"/>
          <w:sz w:val="20"/>
          <w:szCs w:val="20"/>
        </w:rPr>
      </w:pPr>
    </w:p>
    <w:p w14:paraId="1AE8CB09" w14:textId="67B4F32E" w:rsidR="0069006A" w:rsidRPr="00FD016C" w:rsidRDefault="0069006A" w:rsidP="005144E2">
      <w:pPr>
        <w:widowControl/>
        <w:tabs>
          <w:tab w:val="num" w:pos="360"/>
        </w:tabs>
        <w:jc w:val="both"/>
        <w:rPr>
          <w:rFonts w:ascii="Verdana" w:hAnsi="Verdana" w:cs="Arial"/>
          <w:sz w:val="20"/>
          <w:szCs w:val="20"/>
        </w:rPr>
      </w:pPr>
      <w:r w:rsidRPr="00FD016C">
        <w:rPr>
          <w:rFonts w:ascii="Verdana" w:hAnsi="Verdana" w:cs="Arial"/>
          <w:sz w:val="20"/>
          <w:szCs w:val="20"/>
        </w:rPr>
        <w:t>Desta forma, conforme as condições firmadas pelas duas partes no Instrumento firmado, a ELETRONUCLEAR obriga-se a pagar o saldo atualizado</w:t>
      </w:r>
      <w:r w:rsidR="00FB7745" w:rsidRPr="00FD016C">
        <w:rPr>
          <w:rFonts w:ascii="Verdana" w:hAnsi="Verdana" w:cs="Arial"/>
          <w:sz w:val="20"/>
          <w:szCs w:val="20"/>
        </w:rPr>
        <w:t xml:space="preserve"> </w:t>
      </w:r>
      <w:r w:rsidRPr="00FD016C">
        <w:rPr>
          <w:rFonts w:ascii="Verdana" w:hAnsi="Verdana" w:cs="Arial"/>
          <w:sz w:val="20"/>
          <w:szCs w:val="20"/>
        </w:rPr>
        <w:t xml:space="preserve"> pelo </w:t>
      </w:r>
      <w:r w:rsidR="00E11E4D" w:rsidRPr="00FD016C">
        <w:rPr>
          <w:rFonts w:ascii="Verdana" w:hAnsi="Verdana" w:cs="Arial"/>
          <w:color w:val="3C4043"/>
          <w:sz w:val="20"/>
          <w:szCs w:val="20"/>
          <w:shd w:val="clear" w:color="auto" w:fill="FFFFFF"/>
        </w:rPr>
        <w:t> Índice Nacional de Preços ao Consumidor Amplo</w:t>
      </w:r>
      <w:r w:rsidR="00E11E4D" w:rsidRPr="00FD016C">
        <w:rPr>
          <w:rFonts w:ascii="Verdana" w:hAnsi="Verdana" w:cs="Arial"/>
          <w:sz w:val="20"/>
          <w:szCs w:val="20"/>
        </w:rPr>
        <w:t xml:space="preserve"> - </w:t>
      </w:r>
      <w:r w:rsidRPr="00FD016C">
        <w:rPr>
          <w:rFonts w:ascii="Verdana" w:hAnsi="Verdana" w:cs="Arial"/>
          <w:sz w:val="20"/>
          <w:szCs w:val="20"/>
        </w:rPr>
        <w:t xml:space="preserve">IPCA, da dívida reconhecida em 96 (noventa e seis) parcelas iguais e sucessivas, </w:t>
      </w:r>
      <w:r w:rsidR="00FB7745" w:rsidRPr="00FD016C">
        <w:rPr>
          <w:rFonts w:ascii="Verdana" w:hAnsi="Verdana" w:cs="Arial"/>
          <w:sz w:val="20"/>
          <w:szCs w:val="20"/>
        </w:rPr>
        <w:t>pelo</w:t>
      </w:r>
      <w:r w:rsidRPr="00FD016C">
        <w:rPr>
          <w:rFonts w:ascii="Verdana" w:hAnsi="Verdana" w:cs="Arial"/>
          <w:sz w:val="20"/>
          <w:szCs w:val="20"/>
        </w:rPr>
        <w:t xml:space="preserve"> Sistema de Amortização Constante </w:t>
      </w:r>
      <w:r w:rsidR="007E15E9" w:rsidRPr="00FD016C">
        <w:rPr>
          <w:rFonts w:ascii="Verdana" w:hAnsi="Verdana" w:cs="Arial"/>
          <w:sz w:val="20"/>
          <w:szCs w:val="20"/>
        </w:rPr>
        <w:t xml:space="preserve">– </w:t>
      </w:r>
      <w:r w:rsidRPr="00FD016C">
        <w:rPr>
          <w:rFonts w:ascii="Verdana" w:hAnsi="Verdana" w:cs="Arial"/>
          <w:sz w:val="20"/>
          <w:szCs w:val="20"/>
        </w:rPr>
        <w:t xml:space="preserve">SAC, contados a partir da expiração dos 24 </w:t>
      </w:r>
      <w:r w:rsidR="00FB7745" w:rsidRPr="00FD016C">
        <w:rPr>
          <w:rFonts w:ascii="Verdana" w:hAnsi="Verdana" w:cs="Arial"/>
          <w:sz w:val="20"/>
          <w:szCs w:val="20"/>
        </w:rPr>
        <w:t xml:space="preserve">(vinte e quatro) </w:t>
      </w:r>
      <w:r w:rsidRPr="00FD016C">
        <w:rPr>
          <w:rFonts w:ascii="Verdana" w:hAnsi="Verdana" w:cs="Arial"/>
          <w:sz w:val="20"/>
          <w:szCs w:val="20"/>
        </w:rPr>
        <w:t>meses de carência do principal</w:t>
      </w:r>
      <w:r w:rsidR="00FB7745" w:rsidRPr="00FD016C">
        <w:rPr>
          <w:rFonts w:ascii="Verdana" w:hAnsi="Verdana" w:cs="Arial"/>
          <w:sz w:val="20"/>
          <w:szCs w:val="20"/>
        </w:rPr>
        <w:t>,</w:t>
      </w:r>
      <w:r w:rsidRPr="00FD016C">
        <w:rPr>
          <w:rFonts w:ascii="Verdana" w:hAnsi="Verdana" w:cs="Arial"/>
          <w:sz w:val="20"/>
          <w:szCs w:val="20"/>
        </w:rPr>
        <w:t xml:space="preserve"> que possui início a partir do mês subsequente à assinatura do referido Instrumento de Confissão de Dívida. </w:t>
      </w:r>
    </w:p>
    <w:p w14:paraId="6FC1C73F" w14:textId="77777777" w:rsidR="0069006A" w:rsidRPr="00FD016C" w:rsidRDefault="0069006A" w:rsidP="005144E2">
      <w:pPr>
        <w:widowControl/>
        <w:tabs>
          <w:tab w:val="num" w:pos="360"/>
        </w:tabs>
        <w:jc w:val="both"/>
        <w:rPr>
          <w:rFonts w:ascii="Verdana" w:hAnsi="Verdana" w:cs="Arial"/>
          <w:sz w:val="20"/>
          <w:szCs w:val="20"/>
        </w:rPr>
      </w:pPr>
    </w:p>
    <w:p w14:paraId="7805B7D1" w14:textId="330AD453" w:rsidR="0069006A" w:rsidRPr="00FD016C" w:rsidRDefault="0069006A" w:rsidP="005144E2">
      <w:pPr>
        <w:widowControl/>
        <w:tabs>
          <w:tab w:val="num" w:pos="360"/>
        </w:tabs>
        <w:jc w:val="both"/>
        <w:rPr>
          <w:rFonts w:ascii="Verdana" w:hAnsi="Verdana" w:cs="Arial"/>
          <w:sz w:val="20"/>
          <w:szCs w:val="20"/>
        </w:rPr>
      </w:pPr>
      <w:r w:rsidRPr="00FD016C">
        <w:rPr>
          <w:rFonts w:ascii="Verdana" w:hAnsi="Verdana" w:cs="Arial"/>
          <w:sz w:val="20"/>
          <w:szCs w:val="20"/>
        </w:rPr>
        <w:t xml:space="preserve">A partir da assinatura do referido contrato, sobre o saldo devedor atualizado mensalmente pelo IPCA, incidem </w:t>
      </w:r>
      <w:r w:rsidR="0067583C" w:rsidRPr="00FD016C">
        <w:rPr>
          <w:rFonts w:ascii="Verdana" w:hAnsi="Verdana" w:cs="Arial"/>
          <w:sz w:val="20"/>
          <w:szCs w:val="20"/>
        </w:rPr>
        <w:t xml:space="preserve">taxa de </w:t>
      </w:r>
      <w:r w:rsidRPr="00FD016C">
        <w:rPr>
          <w:rFonts w:ascii="Verdana" w:hAnsi="Verdana" w:cs="Arial"/>
          <w:sz w:val="20"/>
          <w:szCs w:val="20"/>
        </w:rPr>
        <w:t xml:space="preserve">juros </w:t>
      </w:r>
      <w:r w:rsidR="0067583C" w:rsidRPr="00FD016C">
        <w:rPr>
          <w:rFonts w:ascii="Verdana" w:hAnsi="Verdana" w:cs="Arial"/>
          <w:sz w:val="20"/>
          <w:szCs w:val="20"/>
        </w:rPr>
        <w:t xml:space="preserve">nominal </w:t>
      </w:r>
      <w:r w:rsidRPr="00FD016C">
        <w:rPr>
          <w:rFonts w:ascii="Verdana" w:hAnsi="Verdana" w:cs="Arial"/>
          <w:sz w:val="20"/>
          <w:szCs w:val="20"/>
        </w:rPr>
        <w:t>de 7,83% a.a. e uma taxa de administração de 0,5% a.a.</w:t>
      </w:r>
      <w:r w:rsidR="00D95EA4" w:rsidRPr="00FD016C">
        <w:rPr>
          <w:rFonts w:ascii="Verdana" w:hAnsi="Verdana" w:cs="Arial"/>
          <w:sz w:val="20"/>
          <w:szCs w:val="20"/>
        </w:rPr>
        <w:t>,</w:t>
      </w:r>
      <w:r w:rsidRPr="00FD016C">
        <w:rPr>
          <w:rFonts w:ascii="Verdana" w:hAnsi="Verdana" w:cs="Arial"/>
          <w:sz w:val="20"/>
          <w:szCs w:val="20"/>
        </w:rPr>
        <w:t xml:space="preserve"> ambos calculados </w:t>
      </w:r>
      <w:r w:rsidRPr="00FD016C">
        <w:rPr>
          <w:rFonts w:ascii="Verdana" w:hAnsi="Verdana" w:cs="Arial"/>
          <w:i/>
          <w:sz w:val="20"/>
          <w:szCs w:val="20"/>
        </w:rPr>
        <w:t xml:space="preserve">pro rata </w:t>
      </w:r>
      <w:proofErr w:type="spellStart"/>
      <w:r w:rsidRPr="00FD016C">
        <w:rPr>
          <w:rFonts w:ascii="Verdana" w:hAnsi="Verdana" w:cs="Arial"/>
          <w:i/>
          <w:sz w:val="20"/>
          <w:szCs w:val="20"/>
        </w:rPr>
        <w:t>temporis</w:t>
      </w:r>
      <w:proofErr w:type="spellEnd"/>
      <w:r w:rsidRPr="00FD016C">
        <w:rPr>
          <w:rFonts w:ascii="Verdana" w:hAnsi="Verdana" w:cs="Arial"/>
          <w:sz w:val="20"/>
          <w:szCs w:val="20"/>
        </w:rPr>
        <w:t>.</w:t>
      </w:r>
    </w:p>
    <w:p w14:paraId="64C2B824" w14:textId="77777777" w:rsidR="003F4719" w:rsidRPr="00FD016C" w:rsidRDefault="003F4719" w:rsidP="00026FC3">
      <w:pPr>
        <w:pStyle w:val="PargrafodaLista"/>
        <w:widowControl/>
        <w:numPr>
          <w:ilvl w:val="0"/>
          <w:numId w:val="12"/>
        </w:numPr>
        <w:ind w:left="426" w:hanging="426"/>
        <w:jc w:val="both"/>
        <w:rPr>
          <w:rFonts w:ascii="Verdana" w:hAnsi="Verdana" w:cs="Arial"/>
          <w:b/>
          <w:color w:val="0070C0"/>
        </w:rPr>
      </w:pPr>
      <w:r w:rsidRPr="00FD016C">
        <w:rPr>
          <w:rFonts w:ascii="Verdana" w:hAnsi="Verdana" w:cs="Arial"/>
          <w:b/>
          <w:color w:val="0070C0"/>
        </w:rPr>
        <w:lastRenderedPageBreak/>
        <w:t>Quadro dos financiamentos e empréstimos</w:t>
      </w:r>
    </w:p>
    <w:p w14:paraId="71A4CC37" w14:textId="77777777" w:rsidR="00816730" w:rsidRPr="00FD016C" w:rsidRDefault="00816730" w:rsidP="00816730">
      <w:pPr>
        <w:widowControl/>
        <w:jc w:val="both"/>
        <w:rPr>
          <w:rFonts w:ascii="Verdana" w:hAnsi="Verdana" w:cs="Arial"/>
          <w:b/>
          <w:color w:val="0070C0"/>
        </w:rPr>
      </w:pPr>
    </w:p>
    <w:p w14:paraId="3BC2737A" w14:textId="3AA2F266" w:rsidR="003D27CE" w:rsidRPr="00FD016C" w:rsidRDefault="00C2389D" w:rsidP="003D27CE">
      <w:pPr>
        <w:widowControl/>
        <w:jc w:val="both"/>
        <w:rPr>
          <w:rFonts w:ascii="Verdana" w:hAnsi="Verdana" w:cs="Arial"/>
          <w:b/>
          <w:sz w:val="20"/>
          <w:szCs w:val="20"/>
        </w:rPr>
      </w:pPr>
      <w:r w:rsidRPr="00FD016C">
        <w:rPr>
          <w:noProof/>
        </w:rPr>
        <w:drawing>
          <wp:inline distT="0" distB="0" distL="0" distR="0" wp14:anchorId="649A5AE2" wp14:editId="6164F299">
            <wp:extent cx="6073140" cy="1458120"/>
            <wp:effectExtent l="0" t="0" r="3810" b="0"/>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3140" cy="1458120"/>
                    </a:xfrm>
                    <a:prstGeom prst="rect">
                      <a:avLst/>
                    </a:prstGeom>
                    <a:noFill/>
                    <a:ln>
                      <a:noFill/>
                    </a:ln>
                  </pic:spPr>
                </pic:pic>
              </a:graphicData>
            </a:graphic>
          </wp:inline>
        </w:drawing>
      </w:r>
    </w:p>
    <w:p w14:paraId="7DC80748" w14:textId="678A911F" w:rsidR="00E55F91" w:rsidRPr="00FD016C" w:rsidRDefault="00E55F91" w:rsidP="005144E2">
      <w:pPr>
        <w:widowControl/>
        <w:jc w:val="both"/>
        <w:rPr>
          <w:rFonts w:ascii="Verdana" w:hAnsi="Verdana" w:cs="Arial"/>
          <w:b/>
          <w:sz w:val="20"/>
          <w:szCs w:val="20"/>
        </w:rPr>
      </w:pPr>
    </w:p>
    <w:p w14:paraId="1CE18BB3" w14:textId="77777777" w:rsidR="00364505" w:rsidRPr="00FD016C" w:rsidRDefault="00364505" w:rsidP="005144E2">
      <w:pPr>
        <w:widowControl/>
        <w:jc w:val="both"/>
        <w:rPr>
          <w:rFonts w:ascii="Verdana" w:hAnsi="Verdana" w:cs="Arial"/>
          <w:b/>
          <w:sz w:val="20"/>
          <w:szCs w:val="20"/>
        </w:rPr>
      </w:pPr>
    </w:p>
    <w:p w14:paraId="5ECD72DE" w14:textId="77777777" w:rsidR="003F4719" w:rsidRPr="00FD016C" w:rsidRDefault="003F4719" w:rsidP="00026FC3">
      <w:pPr>
        <w:pStyle w:val="PargrafodaLista"/>
        <w:widowControl/>
        <w:numPr>
          <w:ilvl w:val="0"/>
          <w:numId w:val="12"/>
        </w:numPr>
        <w:ind w:left="426" w:hanging="426"/>
        <w:jc w:val="both"/>
        <w:rPr>
          <w:rFonts w:ascii="Verdana" w:hAnsi="Verdana" w:cs="Arial"/>
          <w:b/>
          <w:color w:val="0070C0"/>
        </w:rPr>
      </w:pPr>
      <w:r w:rsidRPr="00FD016C">
        <w:rPr>
          <w:rFonts w:ascii="Verdana" w:hAnsi="Verdana" w:cs="Arial"/>
          <w:b/>
          <w:color w:val="0070C0"/>
        </w:rPr>
        <w:t>Quadro das mutações dos financiamentos e empréstimos</w:t>
      </w:r>
    </w:p>
    <w:p w14:paraId="326E9FF8" w14:textId="77777777" w:rsidR="00C2389D" w:rsidRPr="00FD016C" w:rsidRDefault="00C2389D" w:rsidP="0010175A">
      <w:pPr>
        <w:widowControl/>
        <w:jc w:val="both"/>
        <w:rPr>
          <w:rFonts w:ascii="Verdana" w:hAnsi="Verdana" w:cs="Arial"/>
          <w:b/>
          <w:color w:val="0070C0"/>
        </w:rPr>
      </w:pPr>
    </w:p>
    <w:p w14:paraId="13EBB5DE" w14:textId="164E78AC" w:rsidR="0010175A" w:rsidRPr="00FD016C" w:rsidRDefault="00C2389D" w:rsidP="0010175A">
      <w:pPr>
        <w:widowControl/>
        <w:jc w:val="both"/>
        <w:rPr>
          <w:rFonts w:ascii="Verdana" w:hAnsi="Verdana" w:cs="Arial"/>
          <w:b/>
          <w:color w:val="0070C0"/>
        </w:rPr>
      </w:pPr>
      <w:r w:rsidRPr="00FD016C">
        <w:rPr>
          <w:noProof/>
        </w:rPr>
        <w:drawing>
          <wp:inline distT="0" distB="0" distL="0" distR="0" wp14:anchorId="4CCA23B5" wp14:editId="5D120F1E">
            <wp:extent cx="6073140" cy="1913325"/>
            <wp:effectExtent l="0" t="0" r="3810" b="0"/>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3140" cy="1913325"/>
                    </a:xfrm>
                    <a:prstGeom prst="rect">
                      <a:avLst/>
                    </a:prstGeom>
                    <a:noFill/>
                    <a:ln>
                      <a:noFill/>
                    </a:ln>
                  </pic:spPr>
                </pic:pic>
              </a:graphicData>
            </a:graphic>
          </wp:inline>
        </w:drawing>
      </w:r>
    </w:p>
    <w:p w14:paraId="45029767" w14:textId="78BBC99F" w:rsidR="0010175A" w:rsidRPr="00FD016C" w:rsidRDefault="0010175A" w:rsidP="0010175A">
      <w:pPr>
        <w:widowControl/>
        <w:jc w:val="both"/>
        <w:rPr>
          <w:rFonts w:ascii="Verdana" w:hAnsi="Verdana" w:cs="Arial"/>
          <w:b/>
          <w:color w:val="0070C0"/>
        </w:rPr>
      </w:pPr>
    </w:p>
    <w:p w14:paraId="24487170" w14:textId="65063445" w:rsidR="009E6707" w:rsidRPr="00FD016C" w:rsidRDefault="009E6707" w:rsidP="005144E2">
      <w:pPr>
        <w:widowControl/>
        <w:jc w:val="both"/>
        <w:rPr>
          <w:rFonts w:ascii="Verdana" w:hAnsi="Verdana" w:cs="Arial"/>
          <w:b/>
          <w:sz w:val="20"/>
          <w:szCs w:val="20"/>
        </w:rPr>
      </w:pPr>
      <w:r w:rsidRPr="00FD016C">
        <w:rPr>
          <w:noProof/>
        </w:rPr>
        <w:drawing>
          <wp:inline distT="0" distB="0" distL="0" distR="0" wp14:anchorId="1DD84A5C" wp14:editId="4C3EDE79">
            <wp:extent cx="6073140" cy="2003797"/>
            <wp:effectExtent l="0" t="0" r="381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73140" cy="2003797"/>
                    </a:xfrm>
                    <a:prstGeom prst="rect">
                      <a:avLst/>
                    </a:prstGeom>
                    <a:noFill/>
                    <a:ln>
                      <a:noFill/>
                    </a:ln>
                  </pic:spPr>
                </pic:pic>
              </a:graphicData>
            </a:graphic>
          </wp:inline>
        </w:drawing>
      </w:r>
    </w:p>
    <w:p w14:paraId="59488686" w14:textId="690D380A" w:rsidR="00BD1B35" w:rsidRDefault="00BD1B35" w:rsidP="005144E2">
      <w:pPr>
        <w:widowControl/>
        <w:jc w:val="both"/>
        <w:rPr>
          <w:rFonts w:ascii="Verdana" w:hAnsi="Verdana" w:cs="Arial"/>
          <w:b/>
          <w:sz w:val="20"/>
          <w:szCs w:val="20"/>
        </w:rPr>
      </w:pPr>
    </w:p>
    <w:p w14:paraId="54F6ECE8" w14:textId="77777777" w:rsidR="009573F5" w:rsidRDefault="009573F5" w:rsidP="005144E2">
      <w:pPr>
        <w:widowControl/>
        <w:jc w:val="both"/>
        <w:rPr>
          <w:rFonts w:ascii="Verdana" w:hAnsi="Verdana" w:cs="Arial"/>
          <w:b/>
          <w:sz w:val="20"/>
          <w:szCs w:val="20"/>
        </w:rPr>
      </w:pPr>
    </w:p>
    <w:p w14:paraId="0F6E5E67" w14:textId="77777777" w:rsidR="003772BC" w:rsidRDefault="003772BC" w:rsidP="005144E2">
      <w:pPr>
        <w:widowControl/>
        <w:jc w:val="both"/>
        <w:rPr>
          <w:rFonts w:ascii="Verdana" w:hAnsi="Verdana" w:cs="Arial"/>
          <w:b/>
          <w:sz w:val="20"/>
          <w:szCs w:val="20"/>
        </w:rPr>
      </w:pPr>
    </w:p>
    <w:p w14:paraId="1828406E" w14:textId="77777777" w:rsidR="003772BC" w:rsidRDefault="003772BC" w:rsidP="005144E2">
      <w:pPr>
        <w:widowControl/>
        <w:jc w:val="both"/>
        <w:rPr>
          <w:rFonts w:ascii="Verdana" w:hAnsi="Verdana" w:cs="Arial"/>
          <w:b/>
          <w:sz w:val="20"/>
          <w:szCs w:val="20"/>
        </w:rPr>
      </w:pPr>
    </w:p>
    <w:p w14:paraId="5B3C797A" w14:textId="77777777" w:rsidR="003772BC" w:rsidRDefault="003772BC" w:rsidP="005144E2">
      <w:pPr>
        <w:widowControl/>
        <w:jc w:val="both"/>
        <w:rPr>
          <w:rFonts w:ascii="Verdana" w:hAnsi="Verdana" w:cs="Arial"/>
          <w:b/>
          <w:sz w:val="20"/>
          <w:szCs w:val="20"/>
        </w:rPr>
      </w:pPr>
    </w:p>
    <w:p w14:paraId="3A0D1C08" w14:textId="77777777" w:rsidR="003772BC" w:rsidRDefault="003772BC" w:rsidP="005144E2">
      <w:pPr>
        <w:widowControl/>
        <w:jc w:val="both"/>
        <w:rPr>
          <w:rFonts w:ascii="Verdana" w:hAnsi="Verdana" w:cs="Arial"/>
          <w:b/>
          <w:sz w:val="20"/>
          <w:szCs w:val="20"/>
        </w:rPr>
      </w:pPr>
    </w:p>
    <w:p w14:paraId="23F9292A" w14:textId="77777777" w:rsidR="003772BC" w:rsidRDefault="003772BC" w:rsidP="005144E2">
      <w:pPr>
        <w:widowControl/>
        <w:jc w:val="both"/>
        <w:rPr>
          <w:rFonts w:ascii="Verdana" w:hAnsi="Verdana" w:cs="Arial"/>
          <w:b/>
          <w:sz w:val="20"/>
          <w:szCs w:val="20"/>
        </w:rPr>
      </w:pPr>
    </w:p>
    <w:p w14:paraId="28ACE3F6" w14:textId="77777777" w:rsidR="003772BC" w:rsidRDefault="003772BC" w:rsidP="005144E2">
      <w:pPr>
        <w:widowControl/>
        <w:jc w:val="both"/>
        <w:rPr>
          <w:rFonts w:ascii="Verdana" w:hAnsi="Verdana" w:cs="Arial"/>
          <w:b/>
          <w:sz w:val="20"/>
          <w:szCs w:val="20"/>
        </w:rPr>
      </w:pPr>
    </w:p>
    <w:p w14:paraId="0BB21496" w14:textId="77777777" w:rsidR="003772BC" w:rsidRPr="00FD016C" w:rsidRDefault="003772BC" w:rsidP="005144E2">
      <w:pPr>
        <w:widowControl/>
        <w:jc w:val="both"/>
        <w:rPr>
          <w:rFonts w:ascii="Verdana" w:hAnsi="Verdana" w:cs="Arial"/>
          <w:b/>
          <w:sz w:val="20"/>
          <w:szCs w:val="20"/>
        </w:rPr>
      </w:pPr>
    </w:p>
    <w:p w14:paraId="252B75BB" w14:textId="77777777" w:rsidR="003F4719" w:rsidRPr="00FD016C" w:rsidRDefault="003F4719" w:rsidP="00026FC3">
      <w:pPr>
        <w:pStyle w:val="PargrafodaLista"/>
        <w:widowControl/>
        <w:numPr>
          <w:ilvl w:val="0"/>
          <w:numId w:val="12"/>
        </w:numPr>
        <w:ind w:left="426" w:hanging="426"/>
        <w:jc w:val="both"/>
        <w:rPr>
          <w:rFonts w:ascii="Verdana" w:hAnsi="Verdana" w:cs="Arial"/>
          <w:b/>
          <w:color w:val="0070C0"/>
        </w:rPr>
      </w:pPr>
      <w:r w:rsidRPr="00FD016C">
        <w:rPr>
          <w:rFonts w:ascii="Verdana" w:hAnsi="Verdana" w:cs="Arial"/>
          <w:b/>
          <w:color w:val="0070C0"/>
        </w:rPr>
        <w:lastRenderedPageBreak/>
        <w:t>Dívida total com seus vencimentos programados</w:t>
      </w:r>
    </w:p>
    <w:p w14:paraId="4BB8E448" w14:textId="77777777" w:rsidR="00AC50BA" w:rsidRPr="00FD016C" w:rsidRDefault="00AC50BA" w:rsidP="00AC50BA">
      <w:pPr>
        <w:widowControl/>
        <w:jc w:val="both"/>
        <w:rPr>
          <w:rFonts w:ascii="Verdana" w:hAnsi="Verdana" w:cs="Arial"/>
          <w:b/>
          <w:color w:val="0070C0"/>
          <w:sz w:val="20"/>
          <w:szCs w:val="20"/>
        </w:rPr>
      </w:pPr>
    </w:p>
    <w:p w14:paraId="740A4529" w14:textId="231E9029" w:rsidR="00026FC3" w:rsidRPr="00FD016C" w:rsidRDefault="00C2389D" w:rsidP="00026FC3">
      <w:pPr>
        <w:widowControl/>
        <w:jc w:val="both"/>
        <w:rPr>
          <w:rFonts w:ascii="Verdana" w:hAnsi="Verdana" w:cs="Arial"/>
          <w:b/>
          <w:color w:val="0070C0"/>
          <w:sz w:val="20"/>
          <w:szCs w:val="20"/>
        </w:rPr>
      </w:pPr>
      <w:r w:rsidRPr="00FD016C">
        <w:rPr>
          <w:noProof/>
        </w:rPr>
        <w:drawing>
          <wp:inline distT="0" distB="0" distL="0" distR="0" wp14:anchorId="0ADE8150" wp14:editId="7DA7A2D4">
            <wp:extent cx="4381500" cy="2295525"/>
            <wp:effectExtent l="0" t="0" r="0" b="9525"/>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0" cy="2295525"/>
                    </a:xfrm>
                    <a:prstGeom prst="rect">
                      <a:avLst/>
                    </a:prstGeom>
                    <a:noFill/>
                    <a:ln>
                      <a:noFill/>
                    </a:ln>
                  </pic:spPr>
                </pic:pic>
              </a:graphicData>
            </a:graphic>
          </wp:inline>
        </w:drawing>
      </w:r>
    </w:p>
    <w:p w14:paraId="0F5059BC" w14:textId="6C3601FA" w:rsidR="00A86941" w:rsidRPr="00FD016C" w:rsidRDefault="00A86941" w:rsidP="00607056">
      <w:pPr>
        <w:pStyle w:val="PargrafodaLista"/>
        <w:widowControl/>
        <w:ind w:left="0"/>
        <w:jc w:val="both"/>
        <w:rPr>
          <w:rFonts w:ascii="Verdana" w:hAnsi="Verdana" w:cs="Arial"/>
          <w:noProof/>
          <w:sz w:val="20"/>
          <w:szCs w:val="20"/>
        </w:rPr>
      </w:pPr>
    </w:p>
    <w:p w14:paraId="188F29C3" w14:textId="62A0A79D" w:rsidR="00F72229" w:rsidRPr="00FD016C" w:rsidRDefault="00F72229" w:rsidP="005144E2">
      <w:pPr>
        <w:pStyle w:val="PargrafodaLista"/>
        <w:widowControl/>
        <w:ind w:left="567" w:hanging="567"/>
        <w:jc w:val="both"/>
        <w:rPr>
          <w:rFonts w:ascii="Verdana" w:hAnsi="Verdana" w:cs="Arial"/>
          <w:b/>
          <w:sz w:val="20"/>
          <w:szCs w:val="20"/>
        </w:rPr>
      </w:pPr>
    </w:p>
    <w:p w14:paraId="55013076" w14:textId="77777777" w:rsidR="00AC50BA" w:rsidRPr="00FD016C" w:rsidRDefault="00AC50BA" w:rsidP="005144E2">
      <w:pPr>
        <w:pStyle w:val="PargrafodaLista"/>
        <w:widowControl/>
        <w:ind w:left="567" w:hanging="567"/>
        <w:jc w:val="both"/>
        <w:rPr>
          <w:rFonts w:ascii="Verdana" w:hAnsi="Verdana" w:cs="Arial"/>
          <w:b/>
          <w:sz w:val="20"/>
          <w:szCs w:val="20"/>
        </w:rPr>
      </w:pPr>
    </w:p>
    <w:p w14:paraId="1E092276" w14:textId="77777777"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t xml:space="preserve">NOTA 18 – IMPOSTOS E CONTRIBUIÇÕES SOCIAIS </w:t>
      </w:r>
      <w:r w:rsidR="00226CD0" w:rsidRPr="00FD016C">
        <w:rPr>
          <w:rFonts w:ascii="Verdana" w:hAnsi="Verdana" w:cs="Arial"/>
          <w:b/>
          <w:color w:val="0070C0"/>
          <w:sz w:val="26"/>
          <w:szCs w:val="26"/>
        </w:rPr>
        <w:t>–</w:t>
      </w:r>
      <w:r w:rsidRPr="00FD016C">
        <w:rPr>
          <w:rFonts w:ascii="Verdana" w:hAnsi="Verdana" w:cs="Arial"/>
          <w:b/>
          <w:color w:val="0070C0"/>
          <w:sz w:val="26"/>
          <w:szCs w:val="26"/>
        </w:rPr>
        <w:t xml:space="preserve"> PASSIVO</w:t>
      </w:r>
      <w:r w:rsidR="00226CD0" w:rsidRPr="00FD016C">
        <w:rPr>
          <w:rFonts w:ascii="Verdana" w:hAnsi="Verdana" w:cs="Arial"/>
          <w:b/>
          <w:color w:val="0070C0"/>
          <w:sz w:val="26"/>
          <w:szCs w:val="26"/>
        </w:rPr>
        <w:t xml:space="preserve"> </w:t>
      </w:r>
    </w:p>
    <w:p w14:paraId="5F7BCD5A" w14:textId="77777777" w:rsidR="00F72229" w:rsidRPr="00FD016C" w:rsidRDefault="00F72229" w:rsidP="005144E2">
      <w:pPr>
        <w:widowControl/>
        <w:jc w:val="both"/>
        <w:rPr>
          <w:rFonts w:ascii="Verdana" w:hAnsi="Verdana" w:cs="Arial"/>
          <w:sz w:val="20"/>
          <w:szCs w:val="20"/>
        </w:rPr>
      </w:pPr>
    </w:p>
    <w:p w14:paraId="2B81D049" w14:textId="77777777" w:rsidR="002577C6" w:rsidRPr="00FD016C" w:rsidRDefault="002577C6" w:rsidP="005144E2">
      <w:pPr>
        <w:widowControl/>
        <w:jc w:val="both"/>
        <w:rPr>
          <w:rFonts w:ascii="Verdana" w:hAnsi="Verdana" w:cs="Arial"/>
          <w:sz w:val="20"/>
          <w:szCs w:val="20"/>
        </w:rPr>
      </w:pPr>
    </w:p>
    <w:p w14:paraId="2E204B26" w14:textId="778938D0"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A seguir, a composição das obrigações com </w:t>
      </w:r>
      <w:r w:rsidR="00E11E4D" w:rsidRPr="00FD016C">
        <w:rPr>
          <w:rFonts w:ascii="Verdana" w:hAnsi="Verdana" w:cs="Arial"/>
          <w:sz w:val="20"/>
          <w:szCs w:val="20"/>
        </w:rPr>
        <w:t>impostos</w:t>
      </w:r>
      <w:r w:rsidRPr="00FD016C">
        <w:rPr>
          <w:rFonts w:ascii="Verdana" w:hAnsi="Verdana" w:cs="Arial"/>
          <w:sz w:val="20"/>
          <w:szCs w:val="20"/>
        </w:rPr>
        <w:t xml:space="preserve"> e contribuições sociais que se apresentam consignados no passivo circulante</w:t>
      </w:r>
      <w:r w:rsidR="00076A15" w:rsidRPr="00FD016C">
        <w:rPr>
          <w:rFonts w:ascii="Verdana" w:hAnsi="Verdana" w:cs="Arial"/>
          <w:sz w:val="20"/>
          <w:szCs w:val="20"/>
        </w:rPr>
        <w:t xml:space="preserve"> e não circulante</w:t>
      </w:r>
      <w:r w:rsidRPr="00FD016C">
        <w:rPr>
          <w:rFonts w:ascii="Verdana" w:hAnsi="Verdana" w:cs="Arial"/>
          <w:sz w:val="20"/>
          <w:szCs w:val="20"/>
        </w:rPr>
        <w:t xml:space="preserve"> e que compõem as obrigações correntes, na sua totalidade, a vencer e sem registro de qualquer inadimplência e os passivos fiscais diferidos.</w:t>
      </w:r>
    </w:p>
    <w:p w14:paraId="17F4EAC5" w14:textId="77777777" w:rsidR="00811220" w:rsidRPr="00FD016C" w:rsidRDefault="00811220" w:rsidP="005144E2">
      <w:pPr>
        <w:widowControl/>
        <w:jc w:val="both"/>
        <w:rPr>
          <w:rFonts w:ascii="Verdana" w:hAnsi="Verdana" w:cs="Arial"/>
          <w:sz w:val="20"/>
          <w:szCs w:val="20"/>
        </w:rPr>
      </w:pPr>
    </w:p>
    <w:p w14:paraId="7D2B419E" w14:textId="0EA98712" w:rsidR="00811220" w:rsidRPr="00FD016C" w:rsidRDefault="009F448C" w:rsidP="005144E2">
      <w:pPr>
        <w:widowControl/>
        <w:jc w:val="both"/>
        <w:rPr>
          <w:rFonts w:ascii="Verdana" w:hAnsi="Verdana" w:cs="Arial"/>
          <w:sz w:val="20"/>
          <w:szCs w:val="20"/>
        </w:rPr>
      </w:pPr>
      <w:r w:rsidRPr="00FD016C">
        <w:rPr>
          <w:noProof/>
        </w:rPr>
        <w:drawing>
          <wp:inline distT="0" distB="0" distL="0" distR="0" wp14:anchorId="37E82448" wp14:editId="697F0B0E">
            <wp:extent cx="6073140" cy="2910158"/>
            <wp:effectExtent l="0" t="0" r="3810" b="508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73140" cy="2910158"/>
                    </a:xfrm>
                    <a:prstGeom prst="rect">
                      <a:avLst/>
                    </a:prstGeom>
                    <a:noFill/>
                    <a:ln>
                      <a:noFill/>
                    </a:ln>
                  </pic:spPr>
                </pic:pic>
              </a:graphicData>
            </a:graphic>
          </wp:inline>
        </w:drawing>
      </w:r>
    </w:p>
    <w:p w14:paraId="1A606DBB" w14:textId="77777777" w:rsidR="00324223" w:rsidRPr="00FD016C" w:rsidRDefault="00324223" w:rsidP="00BF0956">
      <w:pPr>
        <w:jc w:val="both"/>
        <w:rPr>
          <w:rFonts w:ascii="Verdana" w:hAnsi="Verdana" w:cs="Arial"/>
          <w:sz w:val="20"/>
          <w:szCs w:val="20"/>
        </w:rPr>
      </w:pPr>
    </w:p>
    <w:p w14:paraId="250E4FE7" w14:textId="50BEC824" w:rsidR="004E28C9" w:rsidRPr="00FD016C" w:rsidRDefault="009F448C" w:rsidP="00BF0956">
      <w:pPr>
        <w:jc w:val="both"/>
        <w:rPr>
          <w:rFonts w:ascii="Verdana" w:hAnsi="Verdana" w:cs="Arial"/>
          <w:sz w:val="20"/>
          <w:szCs w:val="20"/>
        </w:rPr>
      </w:pPr>
      <w:r w:rsidRPr="00FD016C">
        <w:rPr>
          <w:rFonts w:ascii="Verdana" w:hAnsi="Verdana" w:cs="Arial"/>
          <w:sz w:val="20"/>
          <w:szCs w:val="20"/>
        </w:rPr>
        <w:t xml:space="preserve">A Companhia constitui IRPJ e CSLL Diferidos sobre outros resultados abrangentes, ajustes relativos </w:t>
      </w:r>
      <w:r w:rsidR="00FE20CD">
        <w:rPr>
          <w:rFonts w:ascii="Verdana" w:hAnsi="Verdana" w:cs="Arial"/>
          <w:sz w:val="20"/>
          <w:szCs w:val="20"/>
        </w:rPr>
        <w:t>à</w:t>
      </w:r>
      <w:r w:rsidRPr="00FD016C">
        <w:rPr>
          <w:rFonts w:ascii="Verdana" w:hAnsi="Verdana" w:cs="Arial"/>
          <w:sz w:val="20"/>
          <w:szCs w:val="20"/>
        </w:rPr>
        <w:t xml:space="preserve"> adoção da Lei 11.638, bem como sobre diferenças temporárias que, em </w:t>
      </w:r>
      <w:r w:rsidR="00A03316" w:rsidRPr="00FD016C">
        <w:rPr>
          <w:rFonts w:ascii="Verdana" w:hAnsi="Verdana" w:cs="Arial"/>
          <w:sz w:val="20"/>
          <w:szCs w:val="20"/>
        </w:rPr>
        <w:t>setembro</w:t>
      </w:r>
      <w:r w:rsidRPr="00FD016C">
        <w:rPr>
          <w:rFonts w:ascii="Verdana" w:hAnsi="Verdana" w:cs="Arial"/>
          <w:sz w:val="20"/>
          <w:szCs w:val="20"/>
        </w:rPr>
        <w:t xml:space="preserve">/2021, geraram uma posição líquida Ativa de IRPJ e CSLL </w:t>
      </w:r>
      <w:r w:rsidR="00FE20CD">
        <w:rPr>
          <w:rFonts w:ascii="Verdana" w:hAnsi="Verdana" w:cs="Arial"/>
          <w:sz w:val="20"/>
          <w:szCs w:val="20"/>
        </w:rPr>
        <w:t>d</w:t>
      </w:r>
      <w:r w:rsidRPr="00FD016C">
        <w:rPr>
          <w:rFonts w:ascii="Verdana" w:hAnsi="Verdana" w:cs="Arial"/>
          <w:sz w:val="20"/>
          <w:szCs w:val="20"/>
        </w:rPr>
        <w:t xml:space="preserve">iferidos no montante total de R$ 2.322.010 (R$ 2.190.281 em 2020), contabilizados no Ativo Não Circulante. Todavia, em respeito ao estabelecido pelo CPC 32, foram registradas contas retificadoras, no mesmo </w:t>
      </w:r>
      <w:r w:rsidRPr="00FD016C">
        <w:rPr>
          <w:rFonts w:ascii="Verdana" w:hAnsi="Verdana" w:cs="Arial"/>
          <w:sz w:val="20"/>
          <w:szCs w:val="20"/>
        </w:rPr>
        <w:lastRenderedPageBreak/>
        <w:t>montante, também no Ativo Não Circulante, de forma que o citado Ativo Diferido estivesse limitado ao montante do Passivo Diferido de IRPJ e CSLL.</w:t>
      </w:r>
    </w:p>
    <w:p w14:paraId="3C6369DF" w14:textId="728BF914" w:rsidR="00220F9F" w:rsidRPr="00FD016C" w:rsidRDefault="00220F9F" w:rsidP="00BF0956">
      <w:pPr>
        <w:jc w:val="both"/>
        <w:rPr>
          <w:rFonts w:ascii="Verdana" w:hAnsi="Verdana" w:cs="Arial"/>
          <w:sz w:val="20"/>
          <w:szCs w:val="20"/>
        </w:rPr>
      </w:pPr>
    </w:p>
    <w:p w14:paraId="7486765F" w14:textId="540CFBA2" w:rsidR="00F16680" w:rsidRPr="00FD016C" w:rsidRDefault="009F448C" w:rsidP="005144E2">
      <w:pPr>
        <w:widowControl/>
        <w:tabs>
          <w:tab w:val="center" w:pos="4419"/>
          <w:tab w:val="right" w:pos="8838"/>
        </w:tabs>
        <w:rPr>
          <w:rFonts w:ascii="Verdana" w:hAnsi="Verdana" w:cs="Arial"/>
          <w:b/>
          <w:sz w:val="20"/>
          <w:szCs w:val="20"/>
        </w:rPr>
      </w:pPr>
      <w:r w:rsidRPr="00FD016C">
        <w:rPr>
          <w:noProof/>
        </w:rPr>
        <w:drawing>
          <wp:inline distT="0" distB="0" distL="0" distR="0" wp14:anchorId="20611364" wp14:editId="1755555C">
            <wp:extent cx="6073140" cy="2666618"/>
            <wp:effectExtent l="0" t="0" r="3810" b="63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73140" cy="2666618"/>
                    </a:xfrm>
                    <a:prstGeom prst="rect">
                      <a:avLst/>
                    </a:prstGeom>
                    <a:noFill/>
                    <a:ln>
                      <a:noFill/>
                    </a:ln>
                  </pic:spPr>
                </pic:pic>
              </a:graphicData>
            </a:graphic>
          </wp:inline>
        </w:drawing>
      </w:r>
    </w:p>
    <w:p w14:paraId="070D81BB" w14:textId="1790EDE0" w:rsidR="00EC6B13" w:rsidRPr="00FD016C" w:rsidRDefault="00EC6B13" w:rsidP="005144E2">
      <w:pPr>
        <w:widowControl/>
        <w:tabs>
          <w:tab w:val="center" w:pos="4419"/>
          <w:tab w:val="right" w:pos="8838"/>
        </w:tabs>
        <w:rPr>
          <w:rFonts w:ascii="Verdana" w:hAnsi="Verdana" w:cs="Arial"/>
          <w:b/>
          <w:sz w:val="20"/>
          <w:szCs w:val="20"/>
        </w:rPr>
      </w:pPr>
    </w:p>
    <w:p w14:paraId="3A0A83A1" w14:textId="77777777" w:rsidR="009573F5" w:rsidRDefault="009573F5" w:rsidP="005144E2">
      <w:pPr>
        <w:widowControl/>
        <w:tabs>
          <w:tab w:val="center" w:pos="4419"/>
          <w:tab w:val="right" w:pos="8838"/>
        </w:tabs>
        <w:rPr>
          <w:rFonts w:ascii="Verdana" w:hAnsi="Verdana" w:cs="Arial"/>
          <w:b/>
          <w:sz w:val="20"/>
          <w:szCs w:val="20"/>
        </w:rPr>
      </w:pPr>
    </w:p>
    <w:p w14:paraId="49CC6528" w14:textId="77777777" w:rsidR="003772BC" w:rsidRDefault="003772BC" w:rsidP="005144E2">
      <w:pPr>
        <w:widowControl/>
        <w:tabs>
          <w:tab w:val="center" w:pos="4419"/>
          <w:tab w:val="right" w:pos="8838"/>
        </w:tabs>
        <w:rPr>
          <w:rFonts w:ascii="Verdana" w:hAnsi="Verdana" w:cs="Arial"/>
          <w:b/>
          <w:sz w:val="20"/>
          <w:szCs w:val="20"/>
        </w:rPr>
      </w:pPr>
    </w:p>
    <w:p w14:paraId="65780D26" w14:textId="77777777" w:rsidR="009E77CC" w:rsidRPr="00FD016C" w:rsidRDefault="003F4719" w:rsidP="005144E2">
      <w:pPr>
        <w:widowControl/>
        <w:tabs>
          <w:tab w:val="center" w:pos="4419"/>
          <w:tab w:val="right" w:pos="8838"/>
        </w:tabs>
        <w:rPr>
          <w:rFonts w:ascii="Verdana" w:hAnsi="Verdana" w:cs="Arial"/>
          <w:b/>
          <w:color w:val="0070C0"/>
          <w:sz w:val="26"/>
          <w:szCs w:val="26"/>
        </w:rPr>
      </w:pPr>
      <w:r w:rsidRPr="00FD016C">
        <w:rPr>
          <w:rFonts w:ascii="Verdana" w:hAnsi="Verdana" w:cs="Arial"/>
          <w:b/>
          <w:color w:val="0070C0"/>
          <w:sz w:val="26"/>
          <w:szCs w:val="26"/>
        </w:rPr>
        <w:t>NOTA 19 – OBRIGAÇÕES ESTIMADAS</w:t>
      </w:r>
    </w:p>
    <w:p w14:paraId="36A08317" w14:textId="77777777" w:rsidR="004E28C9" w:rsidRPr="00FD016C" w:rsidRDefault="004E28C9" w:rsidP="005144E2">
      <w:pPr>
        <w:widowControl/>
        <w:tabs>
          <w:tab w:val="center" w:pos="4419"/>
          <w:tab w:val="right" w:pos="8838"/>
        </w:tabs>
        <w:rPr>
          <w:rFonts w:ascii="Verdana" w:hAnsi="Verdana" w:cs="Arial"/>
          <w:b/>
          <w:color w:val="0070C0"/>
          <w:sz w:val="20"/>
          <w:szCs w:val="20"/>
        </w:rPr>
      </w:pPr>
    </w:p>
    <w:p w14:paraId="18C8925B" w14:textId="77777777" w:rsidR="00941725" w:rsidRPr="00FD016C" w:rsidRDefault="00941725" w:rsidP="005144E2">
      <w:pPr>
        <w:widowControl/>
        <w:tabs>
          <w:tab w:val="center" w:pos="4419"/>
          <w:tab w:val="right" w:pos="8838"/>
        </w:tabs>
        <w:rPr>
          <w:rFonts w:ascii="Verdana" w:hAnsi="Verdana" w:cs="Arial"/>
          <w:b/>
          <w:color w:val="0070C0"/>
          <w:sz w:val="20"/>
          <w:szCs w:val="20"/>
        </w:rPr>
      </w:pPr>
    </w:p>
    <w:p w14:paraId="55E2776D" w14:textId="057D0611" w:rsidR="003D27CE" w:rsidRPr="00FD016C" w:rsidRDefault="00556D61" w:rsidP="005144E2">
      <w:pPr>
        <w:widowControl/>
        <w:tabs>
          <w:tab w:val="center" w:pos="4419"/>
          <w:tab w:val="right" w:pos="8838"/>
        </w:tabs>
        <w:rPr>
          <w:rFonts w:ascii="Verdana" w:hAnsi="Verdana" w:cs="Arial"/>
          <w:b/>
          <w:color w:val="0070C0"/>
          <w:sz w:val="20"/>
          <w:szCs w:val="20"/>
        </w:rPr>
      </w:pPr>
      <w:r w:rsidRPr="00FD016C">
        <w:rPr>
          <w:noProof/>
        </w:rPr>
        <w:drawing>
          <wp:inline distT="0" distB="0" distL="0" distR="0" wp14:anchorId="6BD5807A" wp14:editId="3832874A">
            <wp:extent cx="5591175" cy="207645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91175" cy="2076450"/>
                    </a:xfrm>
                    <a:prstGeom prst="rect">
                      <a:avLst/>
                    </a:prstGeom>
                    <a:noFill/>
                    <a:ln>
                      <a:noFill/>
                    </a:ln>
                  </pic:spPr>
                </pic:pic>
              </a:graphicData>
            </a:graphic>
          </wp:inline>
        </w:drawing>
      </w:r>
    </w:p>
    <w:p w14:paraId="2F1A402E" w14:textId="77777777" w:rsidR="00690C45" w:rsidRPr="00FD016C" w:rsidRDefault="00690C45" w:rsidP="005144E2">
      <w:pPr>
        <w:widowControl/>
        <w:tabs>
          <w:tab w:val="center" w:pos="4419"/>
          <w:tab w:val="right" w:pos="8838"/>
        </w:tabs>
        <w:rPr>
          <w:rFonts w:ascii="Verdana" w:hAnsi="Verdana" w:cs="Arial"/>
          <w:b/>
          <w:color w:val="0070C0"/>
          <w:sz w:val="20"/>
          <w:szCs w:val="20"/>
        </w:rPr>
      </w:pPr>
    </w:p>
    <w:p w14:paraId="1D1CFD0E" w14:textId="77777777" w:rsidR="00690C45" w:rsidRDefault="00690C45" w:rsidP="005144E2">
      <w:pPr>
        <w:widowControl/>
        <w:tabs>
          <w:tab w:val="center" w:pos="4419"/>
          <w:tab w:val="right" w:pos="8838"/>
        </w:tabs>
        <w:rPr>
          <w:rFonts w:ascii="Verdana" w:hAnsi="Verdana" w:cs="Arial"/>
          <w:b/>
          <w:color w:val="0070C0"/>
          <w:sz w:val="20"/>
          <w:szCs w:val="20"/>
        </w:rPr>
      </w:pPr>
    </w:p>
    <w:p w14:paraId="41517EE1" w14:textId="77777777" w:rsidR="003772BC" w:rsidRDefault="003772BC" w:rsidP="005144E2">
      <w:pPr>
        <w:widowControl/>
        <w:tabs>
          <w:tab w:val="center" w:pos="4419"/>
          <w:tab w:val="right" w:pos="8838"/>
        </w:tabs>
        <w:rPr>
          <w:rFonts w:ascii="Verdana" w:hAnsi="Verdana" w:cs="Arial"/>
          <w:b/>
          <w:color w:val="0070C0"/>
          <w:sz w:val="20"/>
          <w:szCs w:val="20"/>
        </w:rPr>
      </w:pPr>
    </w:p>
    <w:p w14:paraId="6E7D6549" w14:textId="77777777" w:rsidR="003772BC" w:rsidRDefault="003772BC" w:rsidP="005144E2">
      <w:pPr>
        <w:widowControl/>
        <w:tabs>
          <w:tab w:val="center" w:pos="4419"/>
          <w:tab w:val="right" w:pos="8838"/>
        </w:tabs>
        <w:rPr>
          <w:rFonts w:ascii="Verdana" w:hAnsi="Verdana" w:cs="Arial"/>
          <w:b/>
          <w:color w:val="0070C0"/>
          <w:sz w:val="20"/>
          <w:szCs w:val="20"/>
        </w:rPr>
      </w:pPr>
    </w:p>
    <w:p w14:paraId="5BA3A2C5" w14:textId="77777777" w:rsidR="003772BC" w:rsidRDefault="003772BC" w:rsidP="005144E2">
      <w:pPr>
        <w:widowControl/>
        <w:tabs>
          <w:tab w:val="center" w:pos="4419"/>
          <w:tab w:val="right" w:pos="8838"/>
        </w:tabs>
        <w:rPr>
          <w:rFonts w:ascii="Verdana" w:hAnsi="Verdana" w:cs="Arial"/>
          <w:b/>
          <w:color w:val="0070C0"/>
          <w:sz w:val="20"/>
          <w:szCs w:val="20"/>
        </w:rPr>
      </w:pPr>
    </w:p>
    <w:p w14:paraId="2FA84625" w14:textId="77777777" w:rsidR="003772BC" w:rsidRDefault="003772BC" w:rsidP="005144E2">
      <w:pPr>
        <w:widowControl/>
        <w:tabs>
          <w:tab w:val="center" w:pos="4419"/>
          <w:tab w:val="right" w:pos="8838"/>
        </w:tabs>
        <w:rPr>
          <w:rFonts w:ascii="Verdana" w:hAnsi="Verdana" w:cs="Arial"/>
          <w:b/>
          <w:color w:val="0070C0"/>
          <w:sz w:val="20"/>
          <w:szCs w:val="20"/>
        </w:rPr>
      </w:pPr>
    </w:p>
    <w:p w14:paraId="6597C677" w14:textId="77777777" w:rsidR="003772BC" w:rsidRDefault="003772BC" w:rsidP="005144E2">
      <w:pPr>
        <w:widowControl/>
        <w:tabs>
          <w:tab w:val="center" w:pos="4419"/>
          <w:tab w:val="right" w:pos="8838"/>
        </w:tabs>
        <w:rPr>
          <w:rFonts w:ascii="Verdana" w:hAnsi="Verdana" w:cs="Arial"/>
          <w:b/>
          <w:color w:val="0070C0"/>
          <w:sz w:val="20"/>
          <w:szCs w:val="20"/>
        </w:rPr>
      </w:pPr>
    </w:p>
    <w:p w14:paraId="0AA5B8F2" w14:textId="77777777" w:rsidR="003772BC" w:rsidRDefault="003772BC" w:rsidP="005144E2">
      <w:pPr>
        <w:widowControl/>
        <w:tabs>
          <w:tab w:val="center" w:pos="4419"/>
          <w:tab w:val="right" w:pos="8838"/>
        </w:tabs>
        <w:rPr>
          <w:rFonts w:ascii="Verdana" w:hAnsi="Verdana" w:cs="Arial"/>
          <w:b/>
          <w:color w:val="0070C0"/>
          <w:sz w:val="20"/>
          <w:szCs w:val="20"/>
        </w:rPr>
      </w:pPr>
    </w:p>
    <w:p w14:paraId="12B4DD1B" w14:textId="77777777" w:rsidR="003772BC" w:rsidRDefault="003772BC" w:rsidP="005144E2">
      <w:pPr>
        <w:widowControl/>
        <w:tabs>
          <w:tab w:val="center" w:pos="4419"/>
          <w:tab w:val="right" w:pos="8838"/>
        </w:tabs>
        <w:rPr>
          <w:rFonts w:ascii="Verdana" w:hAnsi="Verdana" w:cs="Arial"/>
          <w:b/>
          <w:color w:val="0070C0"/>
          <w:sz w:val="20"/>
          <w:szCs w:val="20"/>
        </w:rPr>
      </w:pPr>
    </w:p>
    <w:p w14:paraId="3F930955" w14:textId="77777777" w:rsidR="003772BC" w:rsidRDefault="003772BC" w:rsidP="005144E2">
      <w:pPr>
        <w:widowControl/>
        <w:tabs>
          <w:tab w:val="center" w:pos="4419"/>
          <w:tab w:val="right" w:pos="8838"/>
        </w:tabs>
        <w:rPr>
          <w:rFonts w:ascii="Verdana" w:hAnsi="Verdana" w:cs="Arial"/>
          <w:b/>
          <w:color w:val="0070C0"/>
          <w:sz w:val="20"/>
          <w:szCs w:val="20"/>
        </w:rPr>
      </w:pPr>
    </w:p>
    <w:p w14:paraId="06D9E862" w14:textId="77777777" w:rsidR="003772BC" w:rsidRDefault="003772BC" w:rsidP="005144E2">
      <w:pPr>
        <w:widowControl/>
        <w:tabs>
          <w:tab w:val="center" w:pos="4419"/>
          <w:tab w:val="right" w:pos="8838"/>
        </w:tabs>
        <w:rPr>
          <w:rFonts w:ascii="Verdana" w:hAnsi="Verdana" w:cs="Arial"/>
          <w:b/>
          <w:color w:val="0070C0"/>
          <w:sz w:val="20"/>
          <w:szCs w:val="20"/>
        </w:rPr>
      </w:pPr>
    </w:p>
    <w:p w14:paraId="70B4BDA8" w14:textId="77777777" w:rsidR="003772BC" w:rsidRPr="00FD016C" w:rsidRDefault="003772BC" w:rsidP="005144E2">
      <w:pPr>
        <w:widowControl/>
        <w:tabs>
          <w:tab w:val="center" w:pos="4419"/>
          <w:tab w:val="right" w:pos="8838"/>
        </w:tabs>
        <w:rPr>
          <w:rFonts w:ascii="Verdana" w:hAnsi="Verdana" w:cs="Arial"/>
          <w:b/>
          <w:color w:val="0070C0"/>
          <w:sz w:val="20"/>
          <w:szCs w:val="20"/>
        </w:rPr>
      </w:pPr>
    </w:p>
    <w:p w14:paraId="4B9FF497" w14:textId="4220B0D4" w:rsidR="003F4719" w:rsidRPr="00FD016C" w:rsidRDefault="003F4719" w:rsidP="00690C45">
      <w:pPr>
        <w:rPr>
          <w:rFonts w:ascii="Verdana" w:hAnsi="Verdana" w:cs="Arial"/>
          <w:b/>
          <w:color w:val="0070C0"/>
          <w:sz w:val="26"/>
          <w:szCs w:val="26"/>
        </w:rPr>
      </w:pPr>
      <w:r w:rsidRPr="00FD016C">
        <w:rPr>
          <w:rFonts w:ascii="Verdana" w:hAnsi="Verdana" w:cs="Arial"/>
          <w:b/>
          <w:color w:val="0070C0"/>
          <w:sz w:val="26"/>
          <w:szCs w:val="26"/>
        </w:rPr>
        <w:lastRenderedPageBreak/>
        <w:t>NOTA 20 – ENCARGOS SETORIAIS</w:t>
      </w:r>
    </w:p>
    <w:p w14:paraId="7B2C9ED0" w14:textId="77777777" w:rsidR="00E63DEB" w:rsidRPr="00FD016C" w:rsidRDefault="00E63DEB" w:rsidP="005144E2">
      <w:pPr>
        <w:keepNext/>
        <w:widowControl/>
        <w:jc w:val="both"/>
        <w:outlineLvl w:val="0"/>
        <w:rPr>
          <w:rFonts w:ascii="Verdana" w:hAnsi="Verdana" w:cs="Arial"/>
          <w:b/>
          <w:color w:val="0070C0"/>
          <w:sz w:val="20"/>
          <w:szCs w:val="20"/>
        </w:rPr>
      </w:pPr>
    </w:p>
    <w:p w14:paraId="7742CB0A" w14:textId="77777777" w:rsidR="00013BEC" w:rsidRPr="00FD016C" w:rsidRDefault="00013BEC" w:rsidP="005144E2">
      <w:pPr>
        <w:keepNext/>
        <w:widowControl/>
        <w:jc w:val="both"/>
        <w:outlineLvl w:val="0"/>
        <w:rPr>
          <w:rFonts w:ascii="Verdana" w:hAnsi="Verdana" w:cs="Arial"/>
          <w:b/>
          <w:color w:val="0070C0"/>
          <w:sz w:val="20"/>
          <w:szCs w:val="20"/>
        </w:rPr>
      </w:pPr>
    </w:p>
    <w:p w14:paraId="126840AE" w14:textId="08AF500D" w:rsidR="00EF5144" w:rsidRPr="00FD016C" w:rsidRDefault="003F0DE9" w:rsidP="005144E2">
      <w:pPr>
        <w:rPr>
          <w:rFonts w:ascii="Verdana" w:hAnsi="Verdana" w:cs="Arial"/>
          <w:b/>
          <w:sz w:val="20"/>
          <w:szCs w:val="20"/>
        </w:rPr>
      </w:pPr>
      <w:r w:rsidRPr="00FD016C">
        <w:rPr>
          <w:noProof/>
        </w:rPr>
        <w:drawing>
          <wp:inline distT="0" distB="0" distL="0" distR="0" wp14:anchorId="28FCE78D" wp14:editId="68B1D117">
            <wp:extent cx="5057775" cy="1343025"/>
            <wp:effectExtent l="0" t="0" r="9525" b="9525"/>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inline>
        </w:drawing>
      </w:r>
    </w:p>
    <w:p w14:paraId="70BB40C3" w14:textId="73E473B7" w:rsidR="00DD521D" w:rsidRPr="00FD016C" w:rsidRDefault="00DD521D" w:rsidP="005144E2">
      <w:pPr>
        <w:rPr>
          <w:rFonts w:ascii="Verdana" w:hAnsi="Verdana" w:cs="Arial"/>
          <w:b/>
          <w:sz w:val="20"/>
          <w:szCs w:val="20"/>
        </w:rPr>
      </w:pPr>
    </w:p>
    <w:p w14:paraId="1E3819E9" w14:textId="2645E13C" w:rsidR="00E63DEB" w:rsidRPr="00FD016C" w:rsidRDefault="00E63DEB" w:rsidP="005144E2">
      <w:pPr>
        <w:rPr>
          <w:rFonts w:ascii="Verdana" w:hAnsi="Verdana" w:cs="Arial"/>
          <w:b/>
          <w:sz w:val="20"/>
          <w:szCs w:val="20"/>
        </w:rPr>
      </w:pPr>
    </w:p>
    <w:p w14:paraId="61DE70BE" w14:textId="77777777" w:rsidR="00E63DEB" w:rsidRPr="00FD016C" w:rsidRDefault="00E63DEB" w:rsidP="005144E2">
      <w:pPr>
        <w:rPr>
          <w:rFonts w:ascii="Verdana" w:hAnsi="Verdana" w:cs="Arial"/>
          <w:b/>
          <w:sz w:val="20"/>
          <w:szCs w:val="20"/>
        </w:rPr>
      </w:pPr>
    </w:p>
    <w:p w14:paraId="0C7E71AF" w14:textId="77777777" w:rsidR="00F47BC0" w:rsidRPr="00FD016C" w:rsidRDefault="00F47BC0" w:rsidP="005144E2">
      <w:pPr>
        <w:rPr>
          <w:rFonts w:ascii="Verdana" w:hAnsi="Verdana" w:cs="Arial"/>
          <w:b/>
          <w:color w:val="0070C0"/>
          <w:sz w:val="26"/>
          <w:szCs w:val="26"/>
        </w:rPr>
      </w:pPr>
      <w:r w:rsidRPr="00FD016C">
        <w:rPr>
          <w:rFonts w:ascii="Verdana" w:hAnsi="Verdana" w:cs="Arial"/>
          <w:b/>
          <w:color w:val="0070C0"/>
          <w:sz w:val="26"/>
          <w:szCs w:val="26"/>
        </w:rPr>
        <w:t>NOTA 21 – BENEFÍCIOS PÓS-EMPREGO</w:t>
      </w:r>
    </w:p>
    <w:p w14:paraId="5148AC7D" w14:textId="77777777" w:rsidR="00764669" w:rsidRPr="00FD016C" w:rsidRDefault="00764669" w:rsidP="005144E2">
      <w:pPr>
        <w:rPr>
          <w:rFonts w:ascii="Verdana" w:hAnsi="Verdana" w:cs="Arial"/>
          <w:b/>
          <w:color w:val="0070C0"/>
          <w:sz w:val="20"/>
          <w:szCs w:val="20"/>
        </w:rPr>
      </w:pPr>
    </w:p>
    <w:p w14:paraId="37DECC98" w14:textId="77777777" w:rsidR="00764669" w:rsidRPr="00FD016C" w:rsidRDefault="00764669" w:rsidP="00764669">
      <w:pPr>
        <w:rPr>
          <w:rFonts w:ascii="Verdana" w:hAnsi="Verdana" w:cs="Arial"/>
          <w:b/>
          <w:sz w:val="20"/>
          <w:szCs w:val="20"/>
        </w:rPr>
      </w:pPr>
    </w:p>
    <w:p w14:paraId="795BB629" w14:textId="69896FDF" w:rsidR="00764669" w:rsidRPr="00FD016C" w:rsidRDefault="00F76AA3" w:rsidP="00764669">
      <w:pPr>
        <w:rPr>
          <w:rFonts w:ascii="Verdana" w:hAnsi="Verdana" w:cs="Arial"/>
          <w:b/>
          <w:sz w:val="20"/>
          <w:szCs w:val="20"/>
        </w:rPr>
      </w:pPr>
      <w:r w:rsidRPr="00FD016C">
        <w:rPr>
          <w:noProof/>
        </w:rPr>
        <w:drawing>
          <wp:inline distT="0" distB="0" distL="0" distR="0" wp14:anchorId="726CF260" wp14:editId="4D66F93D">
            <wp:extent cx="6073140" cy="916272"/>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73140" cy="916272"/>
                    </a:xfrm>
                    <a:prstGeom prst="rect">
                      <a:avLst/>
                    </a:prstGeom>
                    <a:noFill/>
                    <a:ln>
                      <a:noFill/>
                    </a:ln>
                  </pic:spPr>
                </pic:pic>
              </a:graphicData>
            </a:graphic>
          </wp:inline>
        </w:drawing>
      </w:r>
    </w:p>
    <w:p w14:paraId="747C98B6" w14:textId="77777777" w:rsidR="008E2F1C" w:rsidRPr="00FD016C" w:rsidRDefault="008E2F1C" w:rsidP="00764669">
      <w:pPr>
        <w:jc w:val="both"/>
        <w:rPr>
          <w:rFonts w:ascii="Verdana" w:hAnsi="Verdana"/>
          <w:sz w:val="20"/>
          <w:szCs w:val="20"/>
        </w:rPr>
      </w:pPr>
    </w:p>
    <w:p w14:paraId="38A191FB" w14:textId="5AD208DE" w:rsidR="00764669" w:rsidRPr="00FD016C" w:rsidRDefault="00764669" w:rsidP="00764669">
      <w:pPr>
        <w:jc w:val="both"/>
        <w:rPr>
          <w:rFonts w:ascii="Verdana" w:hAnsi="Verdana"/>
          <w:sz w:val="20"/>
          <w:szCs w:val="20"/>
        </w:rPr>
      </w:pPr>
      <w:r w:rsidRPr="00FD016C">
        <w:rPr>
          <w:rFonts w:ascii="Verdana" w:hAnsi="Verdana"/>
          <w:sz w:val="20"/>
          <w:szCs w:val="20"/>
        </w:rPr>
        <w:t>Em 3</w:t>
      </w:r>
      <w:r w:rsidR="00B2062C" w:rsidRPr="00FD016C">
        <w:rPr>
          <w:rFonts w:ascii="Verdana" w:hAnsi="Verdana"/>
          <w:sz w:val="20"/>
          <w:szCs w:val="20"/>
        </w:rPr>
        <w:t>0</w:t>
      </w:r>
      <w:r w:rsidRPr="00FD016C">
        <w:rPr>
          <w:rFonts w:ascii="Verdana" w:hAnsi="Verdana"/>
          <w:sz w:val="20"/>
          <w:szCs w:val="20"/>
        </w:rPr>
        <w:t xml:space="preserve"> de </w:t>
      </w:r>
      <w:r w:rsidR="00CA40CB" w:rsidRPr="00FD016C">
        <w:rPr>
          <w:rFonts w:ascii="Verdana" w:hAnsi="Verdana"/>
          <w:sz w:val="20"/>
          <w:szCs w:val="20"/>
        </w:rPr>
        <w:t>setembro d</w:t>
      </w:r>
      <w:r w:rsidRPr="00FD016C">
        <w:rPr>
          <w:rFonts w:ascii="Verdana" w:hAnsi="Verdana"/>
          <w:sz w:val="20"/>
          <w:szCs w:val="20"/>
        </w:rPr>
        <w:t>e 202</w:t>
      </w:r>
      <w:r w:rsidR="00245B33" w:rsidRPr="00FD016C">
        <w:rPr>
          <w:rFonts w:ascii="Verdana" w:hAnsi="Verdana"/>
          <w:sz w:val="20"/>
          <w:szCs w:val="20"/>
        </w:rPr>
        <w:t>1</w:t>
      </w:r>
      <w:r w:rsidRPr="00FD016C">
        <w:rPr>
          <w:rFonts w:ascii="Verdana" w:hAnsi="Verdana"/>
          <w:sz w:val="20"/>
          <w:szCs w:val="20"/>
        </w:rPr>
        <w:t>, não ocorreram alterações na natureza e nas condições dos planos de benefícios à aposentadoria em relação ao descrito na nota 21 das demonstrações financeiras da Companhia do exercício findo em 31 de dezembro de 20</w:t>
      </w:r>
      <w:r w:rsidR="00245B33" w:rsidRPr="00FD016C">
        <w:rPr>
          <w:rFonts w:ascii="Verdana" w:hAnsi="Verdana"/>
          <w:sz w:val="20"/>
          <w:szCs w:val="20"/>
        </w:rPr>
        <w:t>20</w:t>
      </w:r>
      <w:r w:rsidRPr="00FD016C">
        <w:rPr>
          <w:rFonts w:ascii="Verdana" w:hAnsi="Verdana"/>
          <w:sz w:val="20"/>
          <w:szCs w:val="20"/>
        </w:rPr>
        <w:t>.</w:t>
      </w:r>
    </w:p>
    <w:p w14:paraId="746795CC" w14:textId="77777777" w:rsidR="009573F5" w:rsidRDefault="009573F5" w:rsidP="00764669">
      <w:pPr>
        <w:jc w:val="both"/>
        <w:rPr>
          <w:rFonts w:ascii="Verdana" w:hAnsi="Verdana"/>
          <w:sz w:val="20"/>
          <w:szCs w:val="20"/>
        </w:rPr>
      </w:pPr>
    </w:p>
    <w:p w14:paraId="60DCCFDD" w14:textId="77777777" w:rsidR="003772BC" w:rsidRPr="00FD016C" w:rsidRDefault="003772BC" w:rsidP="00764669">
      <w:pPr>
        <w:jc w:val="both"/>
        <w:rPr>
          <w:rFonts w:ascii="Verdana" w:hAnsi="Verdana"/>
          <w:sz w:val="20"/>
          <w:szCs w:val="20"/>
        </w:rPr>
      </w:pPr>
    </w:p>
    <w:p w14:paraId="672B94E7" w14:textId="77777777" w:rsidR="00764669" w:rsidRPr="00FD016C" w:rsidRDefault="00764669" w:rsidP="00764669">
      <w:pPr>
        <w:keepNext/>
        <w:widowControl/>
        <w:spacing w:line="240" w:lineRule="auto"/>
        <w:jc w:val="both"/>
        <w:outlineLvl w:val="0"/>
        <w:rPr>
          <w:rFonts w:ascii="Verdana" w:hAnsi="Verdana"/>
          <w:b/>
          <w:color w:val="0070C0"/>
        </w:rPr>
      </w:pPr>
      <w:r w:rsidRPr="00FD016C">
        <w:rPr>
          <w:rFonts w:ascii="Verdana" w:hAnsi="Verdana"/>
          <w:b/>
          <w:color w:val="0070C0"/>
        </w:rPr>
        <w:t>a) Movimentação das obrigações de benefícios de aposentadoria</w:t>
      </w:r>
    </w:p>
    <w:p w14:paraId="0DFC4F3E" w14:textId="77777777" w:rsidR="00764669" w:rsidRPr="00FD016C" w:rsidRDefault="00764669" w:rsidP="00764669">
      <w:pPr>
        <w:widowControl/>
        <w:tabs>
          <w:tab w:val="center" w:pos="4419"/>
          <w:tab w:val="right" w:pos="8838"/>
        </w:tabs>
        <w:spacing w:line="240" w:lineRule="auto"/>
        <w:rPr>
          <w:rFonts w:ascii="Verdana" w:hAnsi="Verdana"/>
          <w:b/>
          <w:sz w:val="20"/>
          <w:szCs w:val="20"/>
        </w:rPr>
      </w:pPr>
    </w:p>
    <w:p w14:paraId="2378B187" w14:textId="219E2BDE" w:rsidR="00764669" w:rsidRPr="00FD016C" w:rsidRDefault="00764669" w:rsidP="00764669">
      <w:pPr>
        <w:keepNext/>
        <w:widowControl/>
        <w:spacing w:line="240" w:lineRule="auto"/>
        <w:jc w:val="both"/>
        <w:outlineLvl w:val="0"/>
        <w:rPr>
          <w:rFonts w:ascii="Verdana" w:hAnsi="Verdana"/>
          <w:sz w:val="20"/>
          <w:szCs w:val="20"/>
        </w:rPr>
      </w:pPr>
      <w:r w:rsidRPr="00FD016C">
        <w:rPr>
          <w:rFonts w:ascii="Verdana" w:hAnsi="Verdana"/>
          <w:sz w:val="20"/>
          <w:szCs w:val="20"/>
        </w:rPr>
        <w:t>O estudo atuarial, em consonância com o CPC 33, efetuado por atuário independente para a data base de 31 de dezembro de 20</w:t>
      </w:r>
      <w:r w:rsidR="00245B33" w:rsidRPr="00FD016C">
        <w:rPr>
          <w:rFonts w:ascii="Verdana" w:hAnsi="Verdana"/>
          <w:sz w:val="20"/>
          <w:szCs w:val="20"/>
        </w:rPr>
        <w:t>20</w:t>
      </w:r>
      <w:r w:rsidRPr="00FD016C">
        <w:rPr>
          <w:rFonts w:ascii="Verdana" w:hAnsi="Verdana"/>
          <w:sz w:val="20"/>
          <w:szCs w:val="20"/>
        </w:rPr>
        <w:t xml:space="preserve">, apresentou passivo de R$ </w:t>
      </w:r>
      <w:r w:rsidR="00245B33" w:rsidRPr="00FD016C">
        <w:rPr>
          <w:rFonts w:ascii="Verdana" w:hAnsi="Verdana"/>
          <w:sz w:val="20"/>
          <w:szCs w:val="20"/>
        </w:rPr>
        <w:t>524.098</w:t>
      </w:r>
      <w:r w:rsidRPr="00FD016C">
        <w:rPr>
          <w:rFonts w:ascii="Verdana" w:hAnsi="Verdana"/>
          <w:sz w:val="20"/>
          <w:szCs w:val="20"/>
        </w:rPr>
        <w:t>. O referido estudo atuarial será revisado em 31 de dezembro de 202</w:t>
      </w:r>
      <w:r w:rsidR="00245B33" w:rsidRPr="00FD016C">
        <w:rPr>
          <w:rFonts w:ascii="Verdana" w:hAnsi="Verdana"/>
          <w:sz w:val="20"/>
          <w:szCs w:val="20"/>
        </w:rPr>
        <w:t>1</w:t>
      </w:r>
      <w:r w:rsidRPr="00FD016C">
        <w:rPr>
          <w:rFonts w:ascii="Verdana" w:hAnsi="Verdana"/>
          <w:sz w:val="20"/>
          <w:szCs w:val="20"/>
        </w:rPr>
        <w:t>. A movimentação das obrigações dos benefícios de aposentadoria com base nas estimativas para 2020 pode ser assim demonstrada:</w:t>
      </w:r>
    </w:p>
    <w:p w14:paraId="683F3DC4" w14:textId="77777777" w:rsidR="00764669" w:rsidRPr="00FD016C" w:rsidRDefault="00764669" w:rsidP="00764669">
      <w:pPr>
        <w:jc w:val="both"/>
        <w:rPr>
          <w:rFonts w:ascii="Verdana" w:hAnsi="Verdana"/>
          <w:sz w:val="20"/>
          <w:szCs w:val="20"/>
        </w:rPr>
      </w:pPr>
    </w:p>
    <w:p w14:paraId="5D316B1B" w14:textId="7834FFDC" w:rsidR="00764669" w:rsidRPr="00FD016C" w:rsidRDefault="00EC7A9A" w:rsidP="00764669">
      <w:pPr>
        <w:jc w:val="both"/>
        <w:rPr>
          <w:rFonts w:ascii="Verdana" w:hAnsi="Verdana"/>
          <w:sz w:val="20"/>
          <w:szCs w:val="20"/>
        </w:rPr>
      </w:pPr>
      <w:r w:rsidRPr="00FD016C">
        <w:rPr>
          <w:noProof/>
        </w:rPr>
        <w:drawing>
          <wp:inline distT="0" distB="0" distL="0" distR="0" wp14:anchorId="2E16570E" wp14:editId="5E838FEA">
            <wp:extent cx="4616450" cy="7620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16450" cy="762000"/>
                    </a:xfrm>
                    <a:prstGeom prst="rect">
                      <a:avLst/>
                    </a:prstGeom>
                    <a:noFill/>
                    <a:ln>
                      <a:noFill/>
                    </a:ln>
                  </pic:spPr>
                </pic:pic>
              </a:graphicData>
            </a:graphic>
          </wp:inline>
        </w:drawing>
      </w:r>
    </w:p>
    <w:p w14:paraId="344A4D4E" w14:textId="2A769BD9" w:rsidR="00027A7E" w:rsidRPr="00FD016C" w:rsidRDefault="00027A7E" w:rsidP="00764669">
      <w:pPr>
        <w:jc w:val="both"/>
        <w:rPr>
          <w:rFonts w:ascii="Verdana" w:hAnsi="Verdana"/>
          <w:sz w:val="20"/>
          <w:szCs w:val="20"/>
        </w:rPr>
      </w:pPr>
    </w:p>
    <w:p w14:paraId="23459625" w14:textId="77777777" w:rsidR="00027A7E" w:rsidRPr="00FD016C" w:rsidRDefault="00027A7E" w:rsidP="00764669">
      <w:pPr>
        <w:jc w:val="both"/>
        <w:rPr>
          <w:rFonts w:ascii="Verdana" w:hAnsi="Verdana"/>
          <w:sz w:val="20"/>
          <w:szCs w:val="20"/>
        </w:rPr>
      </w:pPr>
    </w:p>
    <w:p w14:paraId="1EDFA65A" w14:textId="77777777" w:rsidR="00764669" w:rsidRDefault="00764669" w:rsidP="00764669">
      <w:pPr>
        <w:jc w:val="both"/>
        <w:rPr>
          <w:rFonts w:ascii="Verdana" w:hAnsi="Verdana"/>
          <w:sz w:val="20"/>
          <w:szCs w:val="20"/>
        </w:rPr>
      </w:pPr>
    </w:p>
    <w:p w14:paraId="121F389D" w14:textId="77777777" w:rsidR="003772BC" w:rsidRDefault="003772BC" w:rsidP="00764669">
      <w:pPr>
        <w:jc w:val="both"/>
        <w:rPr>
          <w:rFonts w:ascii="Verdana" w:hAnsi="Verdana"/>
          <w:sz w:val="20"/>
          <w:szCs w:val="20"/>
        </w:rPr>
      </w:pPr>
    </w:p>
    <w:p w14:paraId="52CBA504" w14:textId="77777777" w:rsidR="003772BC" w:rsidRDefault="003772BC" w:rsidP="00764669">
      <w:pPr>
        <w:jc w:val="both"/>
        <w:rPr>
          <w:rFonts w:ascii="Verdana" w:hAnsi="Verdana"/>
          <w:sz w:val="20"/>
          <w:szCs w:val="20"/>
        </w:rPr>
      </w:pPr>
    </w:p>
    <w:p w14:paraId="69867D51" w14:textId="77777777" w:rsidR="003772BC" w:rsidRDefault="003772BC" w:rsidP="00764669">
      <w:pPr>
        <w:jc w:val="both"/>
        <w:rPr>
          <w:rFonts w:ascii="Verdana" w:hAnsi="Verdana"/>
          <w:sz w:val="20"/>
          <w:szCs w:val="20"/>
        </w:rPr>
      </w:pPr>
    </w:p>
    <w:p w14:paraId="678277B9" w14:textId="77777777" w:rsidR="003772BC" w:rsidRDefault="003772BC" w:rsidP="00764669">
      <w:pPr>
        <w:jc w:val="both"/>
        <w:rPr>
          <w:rFonts w:ascii="Verdana" w:hAnsi="Verdana"/>
          <w:sz w:val="20"/>
          <w:szCs w:val="20"/>
        </w:rPr>
      </w:pPr>
    </w:p>
    <w:p w14:paraId="1337D23F" w14:textId="77777777" w:rsidR="003772BC" w:rsidRPr="00FD016C" w:rsidRDefault="003772BC" w:rsidP="00764669">
      <w:pPr>
        <w:jc w:val="both"/>
        <w:rPr>
          <w:rFonts w:ascii="Verdana" w:hAnsi="Verdana"/>
          <w:sz w:val="20"/>
          <w:szCs w:val="20"/>
        </w:rPr>
      </w:pPr>
    </w:p>
    <w:p w14:paraId="10570FEC" w14:textId="25A6340F" w:rsidR="00B97C3A" w:rsidRPr="00FD016C" w:rsidRDefault="003F4719" w:rsidP="005144E2">
      <w:pPr>
        <w:widowControl/>
        <w:tabs>
          <w:tab w:val="center" w:pos="4419"/>
          <w:tab w:val="right" w:pos="8838"/>
        </w:tabs>
        <w:rPr>
          <w:rFonts w:ascii="Verdana" w:hAnsi="Verdana" w:cs="Arial"/>
          <w:b/>
          <w:color w:val="0070C0"/>
          <w:sz w:val="26"/>
          <w:szCs w:val="26"/>
        </w:rPr>
      </w:pPr>
      <w:r w:rsidRPr="00FD016C">
        <w:rPr>
          <w:rFonts w:ascii="Verdana" w:hAnsi="Verdana" w:cs="Arial"/>
          <w:b/>
          <w:color w:val="0070C0"/>
          <w:sz w:val="26"/>
          <w:szCs w:val="26"/>
        </w:rPr>
        <w:lastRenderedPageBreak/>
        <w:t>NOTA 22 – PROVISÃO PARA PLANO</w:t>
      </w:r>
      <w:r w:rsidR="001D7513" w:rsidRPr="00FD016C">
        <w:rPr>
          <w:rFonts w:ascii="Verdana" w:hAnsi="Verdana" w:cs="Arial"/>
          <w:b/>
          <w:color w:val="0070C0"/>
          <w:sz w:val="26"/>
          <w:szCs w:val="26"/>
        </w:rPr>
        <w:t>S</w:t>
      </w:r>
      <w:r w:rsidRPr="00FD016C">
        <w:rPr>
          <w:rFonts w:ascii="Verdana" w:hAnsi="Verdana" w:cs="Arial"/>
          <w:b/>
          <w:color w:val="0070C0"/>
          <w:sz w:val="26"/>
          <w:szCs w:val="26"/>
        </w:rPr>
        <w:t xml:space="preserve"> DE INCENTIVO DE DESLIGAMENTO</w:t>
      </w:r>
    </w:p>
    <w:p w14:paraId="770A83D5" w14:textId="77777777" w:rsidR="002C7AC6" w:rsidRPr="00FD016C" w:rsidRDefault="002C7AC6" w:rsidP="005144E2">
      <w:pPr>
        <w:widowControl/>
        <w:tabs>
          <w:tab w:val="center" w:pos="4419"/>
          <w:tab w:val="right" w:pos="8838"/>
        </w:tabs>
        <w:rPr>
          <w:rFonts w:ascii="Verdana" w:hAnsi="Verdana" w:cs="Arial"/>
          <w:b/>
          <w:sz w:val="20"/>
          <w:szCs w:val="20"/>
        </w:rPr>
      </w:pPr>
    </w:p>
    <w:p w14:paraId="69707DEF" w14:textId="77777777" w:rsidR="001933B3" w:rsidRPr="00FD016C" w:rsidRDefault="001933B3" w:rsidP="005144E2">
      <w:pPr>
        <w:widowControl/>
        <w:tabs>
          <w:tab w:val="center" w:pos="4419"/>
          <w:tab w:val="right" w:pos="8838"/>
        </w:tabs>
        <w:rPr>
          <w:rFonts w:ascii="Verdana" w:hAnsi="Verdana" w:cs="Arial"/>
          <w:b/>
          <w:sz w:val="20"/>
          <w:szCs w:val="20"/>
        </w:rPr>
      </w:pPr>
    </w:p>
    <w:p w14:paraId="1B9C27E5" w14:textId="77777777" w:rsidR="003F4719" w:rsidRPr="00FD016C" w:rsidRDefault="003F4719" w:rsidP="007C1A21">
      <w:pPr>
        <w:keepNext/>
        <w:widowControl/>
        <w:spacing w:line="240" w:lineRule="auto"/>
        <w:jc w:val="both"/>
        <w:outlineLvl w:val="0"/>
        <w:rPr>
          <w:rFonts w:ascii="Verdana" w:hAnsi="Verdana"/>
          <w:sz w:val="20"/>
          <w:szCs w:val="20"/>
        </w:rPr>
      </w:pPr>
      <w:r w:rsidRPr="00FD016C">
        <w:rPr>
          <w:rFonts w:ascii="Verdana" w:hAnsi="Verdana"/>
          <w:sz w:val="20"/>
          <w:szCs w:val="20"/>
        </w:rPr>
        <w:t xml:space="preserve">A Companhia instituiu, em fevereiro de 2014, o Plano de Sucessão Programada dos Empregados – </w:t>
      </w:r>
      <w:r w:rsidR="00513610" w:rsidRPr="00FD016C">
        <w:rPr>
          <w:rFonts w:ascii="Verdana" w:hAnsi="Verdana"/>
          <w:sz w:val="20"/>
          <w:szCs w:val="20"/>
        </w:rPr>
        <w:t>PSPE</w:t>
      </w:r>
      <w:r w:rsidR="00645811" w:rsidRPr="00FD016C">
        <w:rPr>
          <w:rFonts w:ascii="Verdana" w:hAnsi="Verdana"/>
          <w:sz w:val="20"/>
          <w:szCs w:val="20"/>
        </w:rPr>
        <w:t xml:space="preserve"> </w:t>
      </w:r>
      <w:r w:rsidRPr="00FD016C">
        <w:rPr>
          <w:rFonts w:ascii="Verdana" w:hAnsi="Verdana"/>
          <w:sz w:val="20"/>
          <w:szCs w:val="20"/>
        </w:rPr>
        <w:t>conforme aprovado na 282ª reunião do Conselho de Administração da ELETRONUCLEAR de 19</w:t>
      </w:r>
      <w:r w:rsidR="001933B3" w:rsidRPr="00FD016C">
        <w:rPr>
          <w:rFonts w:ascii="Verdana" w:hAnsi="Verdana"/>
          <w:sz w:val="20"/>
          <w:szCs w:val="20"/>
        </w:rPr>
        <w:t xml:space="preserve"> de dezembro de 2012</w:t>
      </w:r>
      <w:r w:rsidRPr="00FD016C">
        <w:rPr>
          <w:rFonts w:ascii="Verdana" w:hAnsi="Verdana"/>
          <w:sz w:val="20"/>
          <w:szCs w:val="20"/>
        </w:rPr>
        <w:t xml:space="preserve">, com o início das adesões </w:t>
      </w:r>
      <w:r w:rsidR="004F3D45" w:rsidRPr="00FD016C">
        <w:rPr>
          <w:rFonts w:ascii="Verdana" w:hAnsi="Verdana"/>
          <w:sz w:val="20"/>
          <w:szCs w:val="20"/>
        </w:rPr>
        <w:t>em</w:t>
      </w:r>
      <w:r w:rsidRPr="00FD016C">
        <w:rPr>
          <w:rFonts w:ascii="Verdana" w:hAnsi="Verdana"/>
          <w:sz w:val="20"/>
          <w:szCs w:val="20"/>
        </w:rPr>
        <w:t xml:space="preserve"> março de 2014 e término em abril de 2014. Ocorre</w:t>
      </w:r>
      <w:r w:rsidR="002C75F6" w:rsidRPr="00FD016C">
        <w:rPr>
          <w:rFonts w:ascii="Verdana" w:hAnsi="Verdana"/>
          <w:sz w:val="20"/>
          <w:szCs w:val="20"/>
        </w:rPr>
        <w:t>r</w:t>
      </w:r>
      <w:r w:rsidRPr="00FD016C">
        <w:rPr>
          <w:rFonts w:ascii="Verdana" w:hAnsi="Verdana"/>
          <w:sz w:val="20"/>
          <w:szCs w:val="20"/>
        </w:rPr>
        <w:t>am 341 desligamentos até 31 de dezembro de 2014, 277 até 31 até dezembro de 2015,</w:t>
      </w:r>
      <w:r w:rsidR="00B02629" w:rsidRPr="00FD016C">
        <w:rPr>
          <w:rFonts w:ascii="Verdana" w:hAnsi="Verdana"/>
          <w:sz w:val="20"/>
          <w:szCs w:val="20"/>
        </w:rPr>
        <w:t xml:space="preserve"> 1 em fevereiro de 2016,</w:t>
      </w:r>
      <w:r w:rsidR="00645811" w:rsidRPr="00FD016C">
        <w:rPr>
          <w:rFonts w:ascii="Verdana" w:hAnsi="Verdana"/>
          <w:sz w:val="20"/>
          <w:szCs w:val="20"/>
        </w:rPr>
        <w:t xml:space="preserve"> </w:t>
      </w:r>
      <w:r w:rsidR="002B1FD9" w:rsidRPr="00FD016C">
        <w:rPr>
          <w:rFonts w:ascii="Verdana" w:hAnsi="Verdana"/>
          <w:sz w:val="20"/>
          <w:szCs w:val="20"/>
        </w:rPr>
        <w:t>e o último em maio</w:t>
      </w:r>
      <w:r w:rsidRPr="00FD016C">
        <w:rPr>
          <w:rFonts w:ascii="Verdana" w:hAnsi="Verdana"/>
          <w:sz w:val="20"/>
          <w:szCs w:val="20"/>
        </w:rPr>
        <w:t xml:space="preserve"> de 2016. </w:t>
      </w:r>
      <w:r w:rsidR="0063741F" w:rsidRPr="00FD016C">
        <w:rPr>
          <w:rFonts w:ascii="Verdana" w:hAnsi="Verdana"/>
          <w:sz w:val="20"/>
          <w:szCs w:val="20"/>
        </w:rPr>
        <w:t xml:space="preserve">O incentivo de desligamento PSPE incluiu uma indenização financeira no momento do desligamento e </w:t>
      </w:r>
      <w:r w:rsidR="00AF26B8" w:rsidRPr="00FD016C">
        <w:rPr>
          <w:rFonts w:ascii="Verdana" w:hAnsi="Verdana"/>
          <w:sz w:val="20"/>
          <w:szCs w:val="20"/>
        </w:rPr>
        <w:t>garantia de continuidade</w:t>
      </w:r>
      <w:r w:rsidR="00645811" w:rsidRPr="00FD016C">
        <w:rPr>
          <w:rFonts w:ascii="Verdana" w:hAnsi="Verdana"/>
          <w:sz w:val="20"/>
          <w:szCs w:val="20"/>
        </w:rPr>
        <w:t xml:space="preserve"> </w:t>
      </w:r>
      <w:r w:rsidR="00AF26B8" w:rsidRPr="00FD016C">
        <w:rPr>
          <w:rFonts w:ascii="Verdana" w:hAnsi="Verdana"/>
          <w:sz w:val="20"/>
          <w:szCs w:val="20"/>
        </w:rPr>
        <w:t>n</w:t>
      </w:r>
      <w:r w:rsidR="0063741F" w:rsidRPr="00FD016C">
        <w:rPr>
          <w:rFonts w:ascii="Verdana" w:hAnsi="Verdana"/>
          <w:sz w:val="20"/>
          <w:szCs w:val="20"/>
        </w:rPr>
        <w:t xml:space="preserve">o plano de saúde </w:t>
      </w:r>
      <w:r w:rsidR="00AF26B8" w:rsidRPr="00FD016C">
        <w:rPr>
          <w:rFonts w:ascii="Verdana" w:hAnsi="Verdana"/>
          <w:sz w:val="20"/>
          <w:szCs w:val="20"/>
        </w:rPr>
        <w:t>da Companhia pelo período de</w:t>
      </w:r>
      <w:r w:rsidR="0063741F" w:rsidRPr="00FD016C">
        <w:rPr>
          <w:rFonts w:ascii="Verdana" w:hAnsi="Verdana"/>
          <w:sz w:val="20"/>
          <w:szCs w:val="20"/>
        </w:rPr>
        <w:t xml:space="preserve"> 5 anos</w:t>
      </w:r>
      <w:r w:rsidR="00AF26B8" w:rsidRPr="00FD016C">
        <w:rPr>
          <w:rFonts w:ascii="Verdana" w:hAnsi="Verdana"/>
          <w:sz w:val="20"/>
          <w:szCs w:val="20"/>
        </w:rPr>
        <w:t>, incluindo os respectivos dependentes.</w:t>
      </w:r>
    </w:p>
    <w:p w14:paraId="50B34F83" w14:textId="77777777" w:rsidR="001D7513" w:rsidRPr="00FD016C" w:rsidRDefault="001D7513" w:rsidP="007C1A21">
      <w:pPr>
        <w:keepNext/>
        <w:widowControl/>
        <w:spacing w:line="240" w:lineRule="auto"/>
        <w:jc w:val="both"/>
        <w:outlineLvl w:val="0"/>
        <w:rPr>
          <w:rFonts w:ascii="Verdana" w:hAnsi="Verdana"/>
          <w:sz w:val="20"/>
          <w:szCs w:val="20"/>
        </w:rPr>
      </w:pPr>
    </w:p>
    <w:p w14:paraId="09FE2DD5" w14:textId="668F5D7E" w:rsidR="00766976" w:rsidRPr="00FD016C" w:rsidRDefault="001D7513" w:rsidP="007C1A21">
      <w:pPr>
        <w:keepNext/>
        <w:widowControl/>
        <w:spacing w:line="240" w:lineRule="auto"/>
        <w:jc w:val="both"/>
        <w:outlineLvl w:val="0"/>
        <w:rPr>
          <w:rFonts w:ascii="Verdana" w:hAnsi="Verdana"/>
          <w:sz w:val="20"/>
          <w:szCs w:val="20"/>
        </w:rPr>
      </w:pPr>
      <w:r w:rsidRPr="00FD016C">
        <w:rPr>
          <w:rFonts w:ascii="Verdana" w:hAnsi="Verdana"/>
          <w:sz w:val="20"/>
          <w:szCs w:val="20"/>
        </w:rPr>
        <w:t xml:space="preserve">Em 2017, o Plano de Aposentadoria Extraordinária – PAE foi </w:t>
      </w:r>
      <w:r w:rsidR="00024BE8" w:rsidRPr="00FD016C">
        <w:rPr>
          <w:rFonts w:ascii="Verdana" w:hAnsi="Verdana"/>
          <w:sz w:val="20"/>
          <w:szCs w:val="20"/>
        </w:rPr>
        <w:t xml:space="preserve">aprovado </w:t>
      </w:r>
      <w:r w:rsidR="00076A15" w:rsidRPr="00FD016C">
        <w:rPr>
          <w:rFonts w:ascii="Verdana" w:hAnsi="Verdana"/>
          <w:sz w:val="20"/>
          <w:szCs w:val="20"/>
        </w:rPr>
        <w:t xml:space="preserve">pela Diretoria Executiva </w:t>
      </w:r>
      <w:r w:rsidR="003D09D6" w:rsidRPr="00FD016C">
        <w:rPr>
          <w:rFonts w:ascii="Verdana" w:hAnsi="Verdana"/>
          <w:sz w:val="20"/>
          <w:szCs w:val="20"/>
        </w:rPr>
        <w:t xml:space="preserve">na </w:t>
      </w:r>
      <w:r w:rsidR="00D33A05" w:rsidRPr="00FD016C">
        <w:rPr>
          <w:rFonts w:ascii="Verdana" w:hAnsi="Verdana"/>
          <w:sz w:val="20"/>
          <w:szCs w:val="20"/>
        </w:rPr>
        <w:t>1</w:t>
      </w:r>
      <w:r w:rsidR="003D09D6" w:rsidRPr="00FD016C">
        <w:rPr>
          <w:rFonts w:ascii="Verdana" w:hAnsi="Verdana"/>
          <w:sz w:val="20"/>
          <w:szCs w:val="20"/>
        </w:rPr>
        <w:t xml:space="preserve">352ª reunião realizada em </w:t>
      </w:r>
      <w:r w:rsidR="00064F4C" w:rsidRPr="00FD016C">
        <w:rPr>
          <w:rFonts w:ascii="Verdana" w:hAnsi="Verdana"/>
          <w:sz w:val="20"/>
          <w:szCs w:val="20"/>
        </w:rPr>
        <w:t>23</w:t>
      </w:r>
      <w:r w:rsidR="001933B3" w:rsidRPr="00FD016C">
        <w:rPr>
          <w:rFonts w:ascii="Verdana" w:hAnsi="Verdana"/>
          <w:sz w:val="20"/>
          <w:szCs w:val="20"/>
        </w:rPr>
        <w:t xml:space="preserve"> de maio de 2017</w:t>
      </w:r>
      <w:r w:rsidR="003D09D6" w:rsidRPr="00FD016C">
        <w:rPr>
          <w:rFonts w:ascii="Verdana" w:hAnsi="Verdana"/>
          <w:sz w:val="20"/>
          <w:szCs w:val="20"/>
        </w:rPr>
        <w:t xml:space="preserve"> e </w:t>
      </w:r>
      <w:r w:rsidR="00024BE8" w:rsidRPr="00FD016C">
        <w:rPr>
          <w:rFonts w:ascii="Verdana" w:hAnsi="Verdana"/>
          <w:sz w:val="20"/>
          <w:szCs w:val="20"/>
        </w:rPr>
        <w:t xml:space="preserve">pelo </w:t>
      </w:r>
      <w:r w:rsidRPr="00FD016C">
        <w:rPr>
          <w:rFonts w:ascii="Verdana" w:hAnsi="Verdana"/>
          <w:sz w:val="20"/>
          <w:szCs w:val="20"/>
        </w:rPr>
        <w:t xml:space="preserve">Conselho de Administração </w:t>
      </w:r>
      <w:r w:rsidR="00024BE8" w:rsidRPr="00FD016C">
        <w:rPr>
          <w:rFonts w:ascii="Verdana" w:hAnsi="Verdana"/>
          <w:sz w:val="20"/>
          <w:szCs w:val="20"/>
        </w:rPr>
        <w:t xml:space="preserve">da ELETRONUCLEAR na </w:t>
      </w:r>
      <w:r w:rsidR="003D09D6" w:rsidRPr="00FD016C">
        <w:rPr>
          <w:rFonts w:ascii="Verdana" w:hAnsi="Verdana"/>
          <w:sz w:val="20"/>
          <w:szCs w:val="20"/>
        </w:rPr>
        <w:t xml:space="preserve">360ª reunião realizada </w:t>
      </w:r>
      <w:r w:rsidR="00BE4F35" w:rsidRPr="00FD016C">
        <w:rPr>
          <w:rFonts w:ascii="Verdana" w:hAnsi="Verdana"/>
          <w:sz w:val="20"/>
          <w:szCs w:val="20"/>
        </w:rPr>
        <w:t xml:space="preserve">em </w:t>
      </w:r>
      <w:r w:rsidR="00064F4C" w:rsidRPr="00FD016C">
        <w:rPr>
          <w:rFonts w:ascii="Verdana" w:hAnsi="Verdana"/>
          <w:sz w:val="20"/>
          <w:szCs w:val="20"/>
        </w:rPr>
        <w:t>25</w:t>
      </w:r>
      <w:r w:rsidR="001933B3" w:rsidRPr="00FD016C">
        <w:rPr>
          <w:rFonts w:ascii="Verdana" w:hAnsi="Verdana"/>
          <w:sz w:val="20"/>
          <w:szCs w:val="20"/>
        </w:rPr>
        <w:t xml:space="preserve"> de maio de 2017</w:t>
      </w:r>
      <w:r w:rsidR="00024BE8" w:rsidRPr="00FD016C">
        <w:rPr>
          <w:rFonts w:ascii="Verdana" w:hAnsi="Verdana"/>
          <w:sz w:val="20"/>
          <w:szCs w:val="20"/>
        </w:rPr>
        <w:t>, com início da</w:t>
      </w:r>
      <w:r w:rsidR="00BE4F35" w:rsidRPr="00FD016C">
        <w:rPr>
          <w:rFonts w:ascii="Verdana" w:hAnsi="Verdana"/>
          <w:sz w:val="20"/>
          <w:szCs w:val="20"/>
        </w:rPr>
        <w:t>s</w:t>
      </w:r>
      <w:r w:rsidR="00024BE8" w:rsidRPr="00FD016C">
        <w:rPr>
          <w:rFonts w:ascii="Verdana" w:hAnsi="Verdana"/>
          <w:sz w:val="20"/>
          <w:szCs w:val="20"/>
        </w:rPr>
        <w:t xml:space="preserve"> adesões para </w:t>
      </w:r>
      <w:r w:rsidR="008A6C8C" w:rsidRPr="00FD016C">
        <w:rPr>
          <w:rFonts w:ascii="Verdana" w:hAnsi="Verdana"/>
          <w:sz w:val="20"/>
          <w:szCs w:val="20"/>
        </w:rPr>
        <w:t>maio</w:t>
      </w:r>
      <w:r w:rsidR="00024BE8" w:rsidRPr="00FD016C">
        <w:rPr>
          <w:rFonts w:ascii="Verdana" w:hAnsi="Verdana"/>
          <w:sz w:val="20"/>
          <w:szCs w:val="20"/>
        </w:rPr>
        <w:t xml:space="preserve"> de 2017 e </w:t>
      </w:r>
      <w:r w:rsidR="008D2C2F" w:rsidRPr="00FD016C">
        <w:rPr>
          <w:rFonts w:ascii="Verdana" w:hAnsi="Verdana"/>
          <w:sz w:val="20"/>
          <w:szCs w:val="20"/>
        </w:rPr>
        <w:t>término</w:t>
      </w:r>
      <w:r w:rsidR="00024BE8" w:rsidRPr="00FD016C">
        <w:rPr>
          <w:rFonts w:ascii="Verdana" w:hAnsi="Verdana"/>
          <w:sz w:val="20"/>
          <w:szCs w:val="20"/>
        </w:rPr>
        <w:t xml:space="preserve"> em </w:t>
      </w:r>
      <w:r w:rsidR="003D09D6" w:rsidRPr="00FD016C">
        <w:rPr>
          <w:rFonts w:ascii="Verdana" w:hAnsi="Verdana"/>
          <w:sz w:val="20"/>
          <w:szCs w:val="20"/>
        </w:rPr>
        <w:t xml:space="preserve">31 de </w:t>
      </w:r>
      <w:r w:rsidR="00D847CB" w:rsidRPr="00FD016C">
        <w:rPr>
          <w:rFonts w:ascii="Verdana" w:hAnsi="Verdana"/>
          <w:sz w:val="20"/>
          <w:szCs w:val="20"/>
        </w:rPr>
        <w:t>j</w:t>
      </w:r>
      <w:r w:rsidR="003D09D6" w:rsidRPr="00FD016C">
        <w:rPr>
          <w:rFonts w:ascii="Verdana" w:hAnsi="Verdana"/>
          <w:sz w:val="20"/>
          <w:szCs w:val="20"/>
        </w:rPr>
        <w:t>ulho</w:t>
      </w:r>
      <w:r w:rsidR="00024BE8" w:rsidRPr="00FD016C">
        <w:rPr>
          <w:rFonts w:ascii="Verdana" w:hAnsi="Verdana"/>
          <w:sz w:val="20"/>
          <w:szCs w:val="20"/>
        </w:rPr>
        <w:t xml:space="preserve"> de 2017. </w:t>
      </w:r>
      <w:r w:rsidR="00C87E2A" w:rsidRPr="00FD016C">
        <w:rPr>
          <w:rFonts w:ascii="Verdana" w:hAnsi="Verdana"/>
          <w:sz w:val="20"/>
          <w:szCs w:val="20"/>
        </w:rPr>
        <w:t xml:space="preserve">Ocorreram 185 desligamentos entre </w:t>
      </w:r>
      <w:r w:rsidR="008A6C8C" w:rsidRPr="00FD016C">
        <w:rPr>
          <w:rFonts w:ascii="Verdana" w:hAnsi="Verdana"/>
          <w:sz w:val="20"/>
          <w:szCs w:val="20"/>
        </w:rPr>
        <w:t>julho</w:t>
      </w:r>
      <w:r w:rsidR="00024BE8" w:rsidRPr="00FD016C">
        <w:rPr>
          <w:rFonts w:ascii="Verdana" w:hAnsi="Verdana"/>
          <w:sz w:val="20"/>
          <w:szCs w:val="20"/>
        </w:rPr>
        <w:t xml:space="preserve"> de 2017 </w:t>
      </w:r>
      <w:r w:rsidR="00C87E2A" w:rsidRPr="00FD016C">
        <w:rPr>
          <w:rFonts w:ascii="Verdana" w:hAnsi="Verdana"/>
          <w:sz w:val="20"/>
          <w:szCs w:val="20"/>
        </w:rPr>
        <w:t>e</w:t>
      </w:r>
      <w:r w:rsidR="00024BE8" w:rsidRPr="00FD016C">
        <w:rPr>
          <w:rFonts w:ascii="Verdana" w:hAnsi="Verdana"/>
          <w:sz w:val="20"/>
          <w:szCs w:val="20"/>
        </w:rPr>
        <w:t xml:space="preserve"> dezembro 2017. </w:t>
      </w:r>
      <w:r w:rsidR="0063741F" w:rsidRPr="00FD016C">
        <w:rPr>
          <w:rFonts w:ascii="Verdana" w:hAnsi="Verdana"/>
          <w:sz w:val="20"/>
          <w:szCs w:val="20"/>
        </w:rPr>
        <w:t xml:space="preserve">O incentivo de desligamento PAE incluiu uma indenização financeira no momento do desligamento </w:t>
      </w:r>
      <w:r w:rsidR="00740F5F" w:rsidRPr="00FD016C">
        <w:rPr>
          <w:rFonts w:ascii="Verdana" w:hAnsi="Verdana"/>
          <w:sz w:val="20"/>
          <w:szCs w:val="20"/>
        </w:rPr>
        <w:t>e garantia de continuidade no plano de saúde da Companhia pelo período de 5 anos, incluindo os respectivos dependentes</w:t>
      </w:r>
      <w:r w:rsidR="00AF26B8" w:rsidRPr="00FD016C">
        <w:rPr>
          <w:rFonts w:ascii="Verdana" w:hAnsi="Verdana"/>
          <w:sz w:val="20"/>
          <w:szCs w:val="20"/>
        </w:rPr>
        <w:t>.</w:t>
      </w:r>
    </w:p>
    <w:p w14:paraId="773104AA" w14:textId="77777777" w:rsidR="00AF26B8" w:rsidRPr="00FD016C" w:rsidRDefault="00AF26B8" w:rsidP="007C1A21">
      <w:pPr>
        <w:keepNext/>
        <w:widowControl/>
        <w:spacing w:line="240" w:lineRule="auto"/>
        <w:jc w:val="both"/>
        <w:outlineLvl w:val="0"/>
        <w:rPr>
          <w:rFonts w:ascii="Verdana" w:hAnsi="Verdana"/>
          <w:sz w:val="20"/>
          <w:szCs w:val="20"/>
        </w:rPr>
      </w:pPr>
    </w:p>
    <w:p w14:paraId="2E8CE81E" w14:textId="20F49424" w:rsidR="0063741F" w:rsidRPr="00FD016C" w:rsidRDefault="00175FCE" w:rsidP="007C1A21">
      <w:pPr>
        <w:keepNext/>
        <w:widowControl/>
        <w:spacing w:line="240" w:lineRule="auto"/>
        <w:jc w:val="both"/>
        <w:outlineLvl w:val="0"/>
        <w:rPr>
          <w:rFonts w:ascii="Verdana" w:hAnsi="Verdana"/>
          <w:sz w:val="20"/>
          <w:szCs w:val="20"/>
        </w:rPr>
      </w:pPr>
      <w:r w:rsidRPr="00FD016C">
        <w:rPr>
          <w:rFonts w:ascii="Verdana" w:hAnsi="Verdana"/>
          <w:sz w:val="20"/>
          <w:szCs w:val="20"/>
        </w:rPr>
        <w:t xml:space="preserve">O Plano de Demissão Consensual – PDC foi aprovado pelo Conselho de Administração na </w:t>
      </w:r>
      <w:r w:rsidR="00F76CFB" w:rsidRPr="00FD016C">
        <w:rPr>
          <w:rFonts w:ascii="Verdana" w:hAnsi="Verdana"/>
          <w:sz w:val="20"/>
          <w:szCs w:val="20"/>
        </w:rPr>
        <w:t>374ª</w:t>
      </w:r>
      <w:r w:rsidRPr="00FD016C">
        <w:rPr>
          <w:rFonts w:ascii="Verdana" w:hAnsi="Verdana"/>
          <w:sz w:val="20"/>
          <w:szCs w:val="20"/>
        </w:rPr>
        <w:t xml:space="preserve"> reunião realizada em </w:t>
      </w:r>
      <w:r w:rsidR="00F76CFB" w:rsidRPr="00FD016C">
        <w:rPr>
          <w:rFonts w:ascii="Verdana" w:hAnsi="Verdana"/>
          <w:sz w:val="20"/>
          <w:szCs w:val="20"/>
        </w:rPr>
        <w:t>23</w:t>
      </w:r>
      <w:r w:rsidR="001933B3" w:rsidRPr="00FD016C">
        <w:rPr>
          <w:rFonts w:ascii="Verdana" w:hAnsi="Verdana"/>
          <w:sz w:val="20"/>
          <w:szCs w:val="20"/>
        </w:rPr>
        <w:t xml:space="preserve"> de março de 2018</w:t>
      </w:r>
      <w:r w:rsidR="00F76CFB" w:rsidRPr="00FD016C">
        <w:rPr>
          <w:rFonts w:ascii="Verdana" w:hAnsi="Verdana"/>
          <w:sz w:val="20"/>
          <w:szCs w:val="20"/>
        </w:rPr>
        <w:t>,</w:t>
      </w:r>
      <w:r w:rsidRPr="00FD016C">
        <w:rPr>
          <w:rFonts w:ascii="Verdana" w:hAnsi="Verdana"/>
          <w:sz w:val="20"/>
          <w:szCs w:val="20"/>
        </w:rPr>
        <w:t xml:space="preserve"> com período de adesão entre 26</w:t>
      </w:r>
      <w:r w:rsidR="008C0E48" w:rsidRPr="00FD016C">
        <w:rPr>
          <w:rFonts w:ascii="Verdana" w:hAnsi="Verdana"/>
          <w:sz w:val="20"/>
          <w:szCs w:val="20"/>
        </w:rPr>
        <w:t>/</w:t>
      </w:r>
      <w:r w:rsidRPr="00FD016C">
        <w:rPr>
          <w:rFonts w:ascii="Verdana" w:hAnsi="Verdana"/>
          <w:sz w:val="20"/>
          <w:szCs w:val="20"/>
        </w:rPr>
        <w:t>03</w:t>
      </w:r>
      <w:r w:rsidR="008C0E48" w:rsidRPr="00FD016C">
        <w:rPr>
          <w:rFonts w:ascii="Verdana" w:hAnsi="Verdana"/>
          <w:sz w:val="20"/>
          <w:szCs w:val="20"/>
        </w:rPr>
        <w:t>/</w:t>
      </w:r>
      <w:r w:rsidR="004572B9" w:rsidRPr="00FD016C">
        <w:rPr>
          <w:rFonts w:ascii="Verdana" w:hAnsi="Verdana"/>
          <w:sz w:val="20"/>
          <w:szCs w:val="20"/>
        </w:rPr>
        <w:t>20</w:t>
      </w:r>
      <w:r w:rsidRPr="00FD016C">
        <w:rPr>
          <w:rFonts w:ascii="Verdana" w:hAnsi="Verdana"/>
          <w:sz w:val="20"/>
          <w:szCs w:val="20"/>
        </w:rPr>
        <w:t>18 e 27</w:t>
      </w:r>
      <w:r w:rsidR="008C0E48" w:rsidRPr="00FD016C">
        <w:rPr>
          <w:rFonts w:ascii="Verdana" w:hAnsi="Verdana"/>
          <w:sz w:val="20"/>
          <w:szCs w:val="20"/>
        </w:rPr>
        <w:t>/</w:t>
      </w:r>
      <w:r w:rsidRPr="00FD016C">
        <w:rPr>
          <w:rFonts w:ascii="Verdana" w:hAnsi="Verdana"/>
          <w:sz w:val="20"/>
          <w:szCs w:val="20"/>
        </w:rPr>
        <w:t>04</w:t>
      </w:r>
      <w:r w:rsidR="008C0E48" w:rsidRPr="00FD016C">
        <w:rPr>
          <w:rFonts w:ascii="Verdana" w:hAnsi="Verdana"/>
          <w:sz w:val="20"/>
          <w:szCs w:val="20"/>
        </w:rPr>
        <w:t>/</w:t>
      </w:r>
      <w:r w:rsidR="004572B9" w:rsidRPr="00FD016C">
        <w:rPr>
          <w:rFonts w:ascii="Verdana" w:hAnsi="Verdana"/>
          <w:sz w:val="20"/>
          <w:szCs w:val="20"/>
        </w:rPr>
        <w:t>20</w:t>
      </w:r>
      <w:r w:rsidRPr="00FD016C">
        <w:rPr>
          <w:rFonts w:ascii="Verdana" w:hAnsi="Verdana"/>
          <w:sz w:val="20"/>
          <w:szCs w:val="20"/>
        </w:rPr>
        <w:t>18</w:t>
      </w:r>
      <w:r w:rsidR="007226C2" w:rsidRPr="00FD016C">
        <w:rPr>
          <w:rFonts w:ascii="Verdana" w:hAnsi="Verdana"/>
          <w:sz w:val="20"/>
          <w:szCs w:val="20"/>
        </w:rPr>
        <w:t>.</w:t>
      </w:r>
      <w:r w:rsidR="00FF215F">
        <w:rPr>
          <w:rFonts w:ascii="Verdana" w:hAnsi="Verdana"/>
          <w:sz w:val="20"/>
          <w:szCs w:val="20"/>
        </w:rPr>
        <w:t xml:space="preserve"> </w:t>
      </w:r>
      <w:r w:rsidRPr="00FD016C">
        <w:rPr>
          <w:rFonts w:ascii="Verdana" w:hAnsi="Verdana"/>
          <w:sz w:val="20"/>
          <w:szCs w:val="20"/>
        </w:rPr>
        <w:t>Os desligamentos</w:t>
      </w:r>
      <w:r w:rsidR="00F76CFB" w:rsidRPr="00FD016C">
        <w:rPr>
          <w:rFonts w:ascii="Verdana" w:hAnsi="Verdana"/>
          <w:sz w:val="20"/>
          <w:szCs w:val="20"/>
        </w:rPr>
        <w:t>, que</w:t>
      </w:r>
      <w:r w:rsidR="00645811" w:rsidRPr="00FD016C">
        <w:rPr>
          <w:rFonts w:ascii="Verdana" w:hAnsi="Verdana"/>
          <w:sz w:val="20"/>
          <w:szCs w:val="20"/>
        </w:rPr>
        <w:t xml:space="preserve"> </w:t>
      </w:r>
      <w:r w:rsidR="00F76CFB" w:rsidRPr="00FD016C">
        <w:rPr>
          <w:rFonts w:ascii="Verdana" w:hAnsi="Verdana"/>
          <w:sz w:val="20"/>
          <w:szCs w:val="20"/>
        </w:rPr>
        <w:t xml:space="preserve">se iniciaram em 04 de </w:t>
      </w:r>
      <w:r w:rsidR="008A6C8C" w:rsidRPr="00FD016C">
        <w:rPr>
          <w:rFonts w:ascii="Verdana" w:hAnsi="Verdana"/>
          <w:sz w:val="20"/>
          <w:szCs w:val="20"/>
        </w:rPr>
        <w:t>junho</w:t>
      </w:r>
      <w:r w:rsidR="00F76CFB" w:rsidRPr="00FD016C">
        <w:rPr>
          <w:rFonts w:ascii="Verdana" w:hAnsi="Verdana"/>
          <w:sz w:val="20"/>
          <w:szCs w:val="20"/>
        </w:rPr>
        <w:t xml:space="preserve"> de 2018, </w:t>
      </w:r>
      <w:r w:rsidR="00D13AA0" w:rsidRPr="00FD016C">
        <w:rPr>
          <w:rFonts w:ascii="Verdana" w:hAnsi="Verdana"/>
          <w:sz w:val="20"/>
          <w:szCs w:val="20"/>
        </w:rPr>
        <w:t xml:space="preserve">foram </w:t>
      </w:r>
      <w:r w:rsidR="0012695D" w:rsidRPr="00FD016C">
        <w:rPr>
          <w:rFonts w:ascii="Verdana" w:hAnsi="Verdana"/>
          <w:sz w:val="20"/>
          <w:szCs w:val="20"/>
        </w:rPr>
        <w:t xml:space="preserve">efetuados até </w:t>
      </w:r>
      <w:r w:rsidR="007226C2" w:rsidRPr="00FD016C">
        <w:rPr>
          <w:rFonts w:ascii="Verdana" w:hAnsi="Verdana"/>
          <w:sz w:val="20"/>
          <w:szCs w:val="20"/>
        </w:rPr>
        <w:t>14</w:t>
      </w:r>
      <w:r w:rsidR="0012695D" w:rsidRPr="00FD016C">
        <w:rPr>
          <w:rFonts w:ascii="Verdana" w:hAnsi="Verdana"/>
          <w:sz w:val="20"/>
          <w:szCs w:val="20"/>
        </w:rPr>
        <w:t xml:space="preserve"> de </w:t>
      </w:r>
      <w:r w:rsidR="00D847CB" w:rsidRPr="00FD016C">
        <w:rPr>
          <w:rFonts w:ascii="Verdana" w:hAnsi="Verdana"/>
          <w:sz w:val="20"/>
          <w:szCs w:val="20"/>
        </w:rPr>
        <w:t>d</w:t>
      </w:r>
      <w:r w:rsidR="0012695D" w:rsidRPr="00FD016C">
        <w:rPr>
          <w:rFonts w:ascii="Verdana" w:hAnsi="Verdana"/>
          <w:sz w:val="20"/>
          <w:szCs w:val="20"/>
        </w:rPr>
        <w:t>ezembro de 2018</w:t>
      </w:r>
      <w:r w:rsidR="00F76CFB" w:rsidRPr="00FD016C">
        <w:rPr>
          <w:rFonts w:ascii="Verdana" w:hAnsi="Verdana"/>
          <w:sz w:val="20"/>
          <w:szCs w:val="20"/>
        </w:rPr>
        <w:t>.</w:t>
      </w:r>
      <w:r w:rsidR="0063741F" w:rsidRPr="00FD016C">
        <w:rPr>
          <w:rFonts w:ascii="Verdana" w:hAnsi="Verdana"/>
          <w:sz w:val="20"/>
          <w:szCs w:val="20"/>
        </w:rPr>
        <w:t>O incentivo de desligamento PDC incluiu uma indenização financeira</w:t>
      </w:r>
      <w:r w:rsidR="00F76AA3" w:rsidRPr="00FD016C">
        <w:rPr>
          <w:rFonts w:ascii="Verdana" w:hAnsi="Verdana"/>
          <w:sz w:val="20"/>
          <w:szCs w:val="20"/>
        </w:rPr>
        <w:t xml:space="preserve"> </w:t>
      </w:r>
      <w:r w:rsidR="00FC3341" w:rsidRPr="00FD016C">
        <w:rPr>
          <w:rFonts w:ascii="Verdana" w:hAnsi="Verdana"/>
          <w:sz w:val="20"/>
          <w:szCs w:val="20"/>
        </w:rPr>
        <w:lastRenderedPageBreak/>
        <w:t>no momento</w:t>
      </w:r>
      <w:r w:rsidR="0063741F" w:rsidRPr="00FD016C">
        <w:rPr>
          <w:rFonts w:ascii="Verdana" w:hAnsi="Verdana"/>
          <w:sz w:val="20"/>
          <w:szCs w:val="20"/>
        </w:rPr>
        <w:t xml:space="preserve"> do desligamento </w:t>
      </w:r>
      <w:r w:rsidR="00740F5F" w:rsidRPr="00FD016C">
        <w:rPr>
          <w:rFonts w:ascii="Verdana" w:hAnsi="Verdana"/>
          <w:sz w:val="20"/>
          <w:szCs w:val="20"/>
        </w:rPr>
        <w:t xml:space="preserve">e garantia de continuidade no plano de saúde da Companhia pelo período de </w:t>
      </w:r>
      <w:r w:rsidR="003F1B8D" w:rsidRPr="00FD016C">
        <w:rPr>
          <w:rFonts w:ascii="Verdana" w:hAnsi="Verdana"/>
          <w:sz w:val="20"/>
          <w:szCs w:val="20"/>
        </w:rPr>
        <w:t xml:space="preserve">5 </w:t>
      </w:r>
      <w:r w:rsidR="00740F5F" w:rsidRPr="00FD016C">
        <w:rPr>
          <w:rFonts w:ascii="Verdana" w:hAnsi="Verdana"/>
          <w:sz w:val="20"/>
          <w:szCs w:val="20"/>
        </w:rPr>
        <w:t>anos, incluindo os respectivos dependentes</w:t>
      </w:r>
      <w:r w:rsidR="0063741F" w:rsidRPr="00FD016C">
        <w:rPr>
          <w:rFonts w:ascii="Verdana" w:hAnsi="Verdana"/>
          <w:sz w:val="20"/>
          <w:szCs w:val="20"/>
        </w:rPr>
        <w:t>.</w:t>
      </w:r>
    </w:p>
    <w:p w14:paraId="16220B88" w14:textId="77777777" w:rsidR="00EF5144" w:rsidRPr="00FD016C" w:rsidRDefault="00EF5144" w:rsidP="007C1A21">
      <w:pPr>
        <w:keepNext/>
        <w:widowControl/>
        <w:spacing w:line="240" w:lineRule="auto"/>
        <w:jc w:val="both"/>
        <w:outlineLvl w:val="0"/>
        <w:rPr>
          <w:rFonts w:ascii="Verdana" w:hAnsi="Verdana"/>
          <w:sz w:val="20"/>
          <w:szCs w:val="20"/>
        </w:rPr>
      </w:pPr>
    </w:p>
    <w:p w14:paraId="2D429D6C" w14:textId="59659478" w:rsidR="003F4719" w:rsidRPr="00FD016C" w:rsidRDefault="00645811" w:rsidP="007C1A21">
      <w:pPr>
        <w:keepNext/>
        <w:widowControl/>
        <w:spacing w:line="240" w:lineRule="auto"/>
        <w:jc w:val="both"/>
        <w:outlineLvl w:val="0"/>
        <w:rPr>
          <w:rFonts w:ascii="Verdana" w:hAnsi="Verdana"/>
          <w:sz w:val="20"/>
          <w:szCs w:val="20"/>
        </w:rPr>
      </w:pPr>
      <w:r w:rsidRPr="00FD016C">
        <w:rPr>
          <w:rFonts w:ascii="Verdana" w:hAnsi="Verdana"/>
          <w:sz w:val="20"/>
          <w:szCs w:val="20"/>
        </w:rPr>
        <w:t xml:space="preserve"> </w:t>
      </w:r>
      <w:r w:rsidR="00806C1A" w:rsidRPr="00FD016C">
        <w:rPr>
          <w:rFonts w:ascii="Verdana" w:hAnsi="Verdana"/>
          <w:sz w:val="20"/>
          <w:szCs w:val="20"/>
        </w:rPr>
        <w:t xml:space="preserve">A </w:t>
      </w:r>
      <w:r w:rsidR="003F4719" w:rsidRPr="00FD016C">
        <w:rPr>
          <w:rFonts w:ascii="Verdana" w:hAnsi="Verdana"/>
          <w:sz w:val="20"/>
          <w:szCs w:val="20"/>
        </w:rPr>
        <w:t>ELETRONUCLEAR reconheceu</w:t>
      </w:r>
      <w:r w:rsidR="00806C1A" w:rsidRPr="00FD016C">
        <w:rPr>
          <w:rFonts w:ascii="Verdana" w:hAnsi="Verdana"/>
          <w:sz w:val="20"/>
          <w:szCs w:val="20"/>
        </w:rPr>
        <w:t xml:space="preserve"> </w:t>
      </w:r>
      <w:r w:rsidR="00490D44" w:rsidRPr="00FD016C">
        <w:rPr>
          <w:rFonts w:ascii="Verdana" w:hAnsi="Verdana"/>
          <w:sz w:val="20"/>
          <w:szCs w:val="20"/>
        </w:rPr>
        <w:t>a</w:t>
      </w:r>
      <w:r w:rsidR="00FA7E6A" w:rsidRPr="00FD016C">
        <w:rPr>
          <w:rFonts w:ascii="Verdana" w:hAnsi="Verdana"/>
          <w:sz w:val="20"/>
          <w:szCs w:val="20"/>
        </w:rPr>
        <w:t xml:space="preserve"> </w:t>
      </w:r>
      <w:r w:rsidR="00866430" w:rsidRPr="00FD016C">
        <w:rPr>
          <w:rFonts w:ascii="Verdana" w:hAnsi="Verdana"/>
          <w:sz w:val="20"/>
          <w:szCs w:val="20"/>
        </w:rPr>
        <w:t>baixa</w:t>
      </w:r>
      <w:r w:rsidR="00806C1A" w:rsidRPr="00FD016C">
        <w:rPr>
          <w:rFonts w:ascii="Verdana" w:hAnsi="Verdana"/>
          <w:sz w:val="20"/>
          <w:szCs w:val="20"/>
        </w:rPr>
        <w:t xml:space="preserve"> de provisão </w:t>
      </w:r>
      <w:r w:rsidR="00024BE8" w:rsidRPr="00FD016C">
        <w:rPr>
          <w:rFonts w:ascii="Verdana" w:hAnsi="Verdana"/>
          <w:sz w:val="20"/>
          <w:szCs w:val="20"/>
        </w:rPr>
        <w:t>de R$</w:t>
      </w:r>
      <w:r w:rsidR="00806C1A" w:rsidRPr="00FD016C">
        <w:rPr>
          <w:rFonts w:ascii="Verdana" w:hAnsi="Verdana"/>
          <w:sz w:val="20"/>
          <w:szCs w:val="20"/>
        </w:rPr>
        <w:t xml:space="preserve"> </w:t>
      </w:r>
      <w:r w:rsidR="00DD09D0" w:rsidRPr="00FD016C">
        <w:rPr>
          <w:rFonts w:ascii="Verdana" w:hAnsi="Verdana"/>
          <w:sz w:val="20"/>
          <w:szCs w:val="20"/>
        </w:rPr>
        <w:t>7.060</w:t>
      </w:r>
      <w:r w:rsidR="00806C1A" w:rsidRPr="00FD016C">
        <w:rPr>
          <w:rFonts w:ascii="Verdana" w:hAnsi="Verdana"/>
          <w:sz w:val="20"/>
          <w:szCs w:val="20"/>
        </w:rPr>
        <w:t xml:space="preserve"> </w:t>
      </w:r>
      <w:r w:rsidR="004F3D45" w:rsidRPr="00FD016C">
        <w:rPr>
          <w:rFonts w:ascii="Verdana" w:hAnsi="Verdana"/>
          <w:sz w:val="20"/>
          <w:szCs w:val="20"/>
        </w:rPr>
        <w:t>referente ao</w:t>
      </w:r>
      <w:r w:rsidR="00B62990" w:rsidRPr="00FD016C">
        <w:rPr>
          <w:rFonts w:ascii="Verdana" w:hAnsi="Verdana"/>
          <w:sz w:val="20"/>
          <w:szCs w:val="20"/>
        </w:rPr>
        <w:t xml:space="preserve"> </w:t>
      </w:r>
      <w:r w:rsidR="004F3D45" w:rsidRPr="00FD016C">
        <w:rPr>
          <w:rFonts w:ascii="Verdana" w:hAnsi="Verdana"/>
          <w:sz w:val="20"/>
          <w:szCs w:val="20"/>
        </w:rPr>
        <w:t>plano de</w:t>
      </w:r>
      <w:r w:rsidR="00F267F0" w:rsidRPr="00FD016C">
        <w:rPr>
          <w:rFonts w:ascii="Verdana" w:hAnsi="Verdana"/>
          <w:sz w:val="20"/>
          <w:szCs w:val="20"/>
        </w:rPr>
        <w:t xml:space="preserve"> incentivo de desligamento</w:t>
      </w:r>
      <w:r w:rsidR="00490D44" w:rsidRPr="00FD016C">
        <w:rPr>
          <w:rFonts w:ascii="Verdana" w:hAnsi="Verdana"/>
          <w:sz w:val="20"/>
          <w:szCs w:val="20"/>
        </w:rPr>
        <w:t xml:space="preserve"> dos</w:t>
      </w:r>
      <w:r w:rsidR="00B62990" w:rsidRPr="00FD016C">
        <w:rPr>
          <w:rFonts w:ascii="Verdana" w:hAnsi="Verdana"/>
          <w:sz w:val="20"/>
          <w:szCs w:val="20"/>
        </w:rPr>
        <w:t xml:space="preserve"> </w:t>
      </w:r>
      <w:r w:rsidR="00791C00" w:rsidRPr="00FD016C">
        <w:rPr>
          <w:rFonts w:ascii="Verdana" w:hAnsi="Verdana"/>
          <w:sz w:val="20"/>
          <w:szCs w:val="20"/>
        </w:rPr>
        <w:t>funcionários</w:t>
      </w:r>
      <w:r w:rsidR="00806C1A" w:rsidRPr="00FD016C">
        <w:rPr>
          <w:rFonts w:ascii="Verdana" w:hAnsi="Verdana"/>
          <w:sz w:val="20"/>
          <w:szCs w:val="20"/>
        </w:rPr>
        <w:t xml:space="preserve">, permanecendo </w:t>
      </w:r>
      <w:r w:rsidR="00B02629" w:rsidRPr="00FD016C">
        <w:rPr>
          <w:rFonts w:ascii="Verdana" w:hAnsi="Verdana"/>
          <w:sz w:val="20"/>
          <w:szCs w:val="20"/>
        </w:rPr>
        <w:t>o saldo</w:t>
      </w:r>
      <w:r w:rsidR="00B62990" w:rsidRPr="00FD016C">
        <w:rPr>
          <w:rFonts w:ascii="Verdana" w:hAnsi="Verdana"/>
          <w:sz w:val="20"/>
          <w:szCs w:val="20"/>
        </w:rPr>
        <w:t xml:space="preserve"> </w:t>
      </w:r>
      <w:r w:rsidR="00B02629" w:rsidRPr="00FD016C">
        <w:rPr>
          <w:rFonts w:ascii="Verdana" w:hAnsi="Verdana"/>
          <w:sz w:val="20"/>
          <w:szCs w:val="20"/>
        </w:rPr>
        <w:t>da provisão</w:t>
      </w:r>
      <w:r w:rsidR="003F4719" w:rsidRPr="00FD016C">
        <w:rPr>
          <w:rFonts w:ascii="Verdana" w:hAnsi="Verdana"/>
          <w:sz w:val="20"/>
          <w:szCs w:val="20"/>
        </w:rPr>
        <w:t xml:space="preserve"> </w:t>
      </w:r>
      <w:r w:rsidR="00806C1A" w:rsidRPr="00FD016C">
        <w:rPr>
          <w:rFonts w:ascii="Verdana" w:hAnsi="Verdana"/>
          <w:sz w:val="20"/>
          <w:szCs w:val="20"/>
        </w:rPr>
        <w:t>em 3</w:t>
      </w:r>
      <w:r w:rsidR="00B2062C" w:rsidRPr="00FD016C">
        <w:rPr>
          <w:rFonts w:ascii="Verdana" w:hAnsi="Verdana"/>
          <w:sz w:val="20"/>
          <w:szCs w:val="20"/>
        </w:rPr>
        <w:t>0</w:t>
      </w:r>
      <w:r w:rsidR="00806C1A" w:rsidRPr="00FD016C">
        <w:rPr>
          <w:rFonts w:ascii="Verdana" w:hAnsi="Verdana"/>
          <w:sz w:val="20"/>
          <w:szCs w:val="20"/>
        </w:rPr>
        <w:t xml:space="preserve"> de </w:t>
      </w:r>
      <w:r w:rsidR="00CA40CB" w:rsidRPr="00FD016C">
        <w:rPr>
          <w:rFonts w:ascii="Verdana" w:hAnsi="Verdana"/>
          <w:sz w:val="20"/>
          <w:szCs w:val="20"/>
        </w:rPr>
        <w:t>setembro</w:t>
      </w:r>
      <w:r w:rsidR="00806C1A" w:rsidRPr="00FD016C">
        <w:rPr>
          <w:rFonts w:ascii="Verdana" w:hAnsi="Verdana"/>
          <w:sz w:val="20"/>
          <w:szCs w:val="20"/>
        </w:rPr>
        <w:t xml:space="preserve"> de 202</w:t>
      </w:r>
      <w:r w:rsidR="00AC1F4C" w:rsidRPr="00FD016C">
        <w:rPr>
          <w:rFonts w:ascii="Verdana" w:hAnsi="Verdana"/>
          <w:sz w:val="20"/>
          <w:szCs w:val="20"/>
        </w:rPr>
        <w:t>1</w:t>
      </w:r>
      <w:r w:rsidR="00806C1A" w:rsidRPr="00FD016C">
        <w:rPr>
          <w:rFonts w:ascii="Verdana" w:hAnsi="Verdana"/>
          <w:sz w:val="20"/>
          <w:szCs w:val="20"/>
        </w:rPr>
        <w:t xml:space="preserve"> </w:t>
      </w:r>
      <w:r w:rsidR="00935658" w:rsidRPr="00FD016C">
        <w:rPr>
          <w:rFonts w:ascii="Verdana" w:hAnsi="Verdana"/>
          <w:sz w:val="20"/>
          <w:szCs w:val="20"/>
        </w:rPr>
        <w:t xml:space="preserve">de </w:t>
      </w:r>
      <w:r w:rsidR="003F01EE" w:rsidRPr="00FD016C">
        <w:rPr>
          <w:rFonts w:ascii="Verdana" w:hAnsi="Verdana"/>
          <w:sz w:val="20"/>
          <w:szCs w:val="20"/>
        </w:rPr>
        <w:t>R$</w:t>
      </w:r>
      <w:r w:rsidR="00603DB2">
        <w:rPr>
          <w:rFonts w:ascii="Verdana" w:hAnsi="Verdana"/>
          <w:sz w:val="20"/>
          <w:szCs w:val="20"/>
        </w:rPr>
        <w:t xml:space="preserve"> 11.239</w:t>
      </w:r>
      <w:r w:rsidR="00702915" w:rsidRPr="00FD016C">
        <w:rPr>
          <w:rFonts w:ascii="Verdana" w:hAnsi="Verdana"/>
          <w:sz w:val="20"/>
          <w:szCs w:val="20"/>
        </w:rPr>
        <w:t xml:space="preserve"> </w:t>
      </w:r>
      <w:r w:rsidR="00603DB2">
        <w:rPr>
          <w:rFonts w:ascii="Verdana" w:hAnsi="Verdana"/>
          <w:sz w:val="20"/>
          <w:szCs w:val="20"/>
        </w:rPr>
        <w:t>-</w:t>
      </w:r>
      <w:r w:rsidR="00B62990" w:rsidRPr="00FD016C">
        <w:rPr>
          <w:rFonts w:ascii="Verdana" w:hAnsi="Verdana"/>
          <w:sz w:val="20"/>
          <w:szCs w:val="20"/>
        </w:rPr>
        <w:t xml:space="preserve"> </w:t>
      </w:r>
      <w:r w:rsidR="003F4719" w:rsidRPr="00FD016C">
        <w:rPr>
          <w:rFonts w:ascii="Verdana" w:hAnsi="Verdana"/>
          <w:sz w:val="20"/>
          <w:szCs w:val="20"/>
        </w:rPr>
        <w:t xml:space="preserve">(R$ </w:t>
      </w:r>
      <w:r w:rsidR="00AC1F4C" w:rsidRPr="00FD016C">
        <w:rPr>
          <w:rFonts w:ascii="Verdana" w:hAnsi="Verdana"/>
          <w:sz w:val="20"/>
          <w:szCs w:val="20"/>
        </w:rPr>
        <w:t>18.299</w:t>
      </w:r>
      <w:r w:rsidR="00B62990" w:rsidRPr="00FD016C">
        <w:rPr>
          <w:rFonts w:ascii="Verdana" w:hAnsi="Verdana"/>
          <w:sz w:val="20"/>
          <w:szCs w:val="20"/>
        </w:rPr>
        <w:t xml:space="preserve"> </w:t>
      </w:r>
      <w:r w:rsidR="003F4719" w:rsidRPr="00FD016C">
        <w:rPr>
          <w:rFonts w:ascii="Verdana" w:hAnsi="Verdana"/>
          <w:sz w:val="20"/>
          <w:szCs w:val="20"/>
        </w:rPr>
        <w:t xml:space="preserve">em </w:t>
      </w:r>
      <w:r w:rsidR="00311C5C" w:rsidRPr="00FD016C">
        <w:rPr>
          <w:rFonts w:ascii="Verdana" w:hAnsi="Verdana"/>
          <w:sz w:val="20"/>
          <w:szCs w:val="20"/>
        </w:rPr>
        <w:t xml:space="preserve">31 </w:t>
      </w:r>
      <w:r w:rsidR="00FF215F">
        <w:rPr>
          <w:rFonts w:ascii="Verdana" w:hAnsi="Verdana"/>
          <w:sz w:val="20"/>
          <w:szCs w:val="20"/>
        </w:rPr>
        <w:t xml:space="preserve">de </w:t>
      </w:r>
      <w:r w:rsidR="003F4719" w:rsidRPr="00FD016C">
        <w:rPr>
          <w:rFonts w:ascii="Verdana" w:hAnsi="Verdana"/>
          <w:sz w:val="20"/>
          <w:szCs w:val="20"/>
        </w:rPr>
        <w:t>dezembro de 20</w:t>
      </w:r>
      <w:r w:rsidR="00AC1F4C" w:rsidRPr="00FD016C">
        <w:rPr>
          <w:rFonts w:ascii="Verdana" w:hAnsi="Verdana"/>
          <w:sz w:val="20"/>
          <w:szCs w:val="20"/>
        </w:rPr>
        <w:t>20</w:t>
      </w:r>
      <w:r w:rsidR="003F4719" w:rsidRPr="00FD016C">
        <w:rPr>
          <w:rFonts w:ascii="Verdana" w:hAnsi="Verdana"/>
          <w:sz w:val="20"/>
          <w:szCs w:val="20"/>
        </w:rPr>
        <w:t>).</w:t>
      </w:r>
    </w:p>
    <w:p w14:paraId="76AE8130" w14:textId="77777777" w:rsidR="00DD09D0" w:rsidRPr="00FD016C" w:rsidRDefault="00DD09D0" w:rsidP="007C1A21">
      <w:pPr>
        <w:keepNext/>
        <w:widowControl/>
        <w:spacing w:line="240" w:lineRule="auto"/>
        <w:jc w:val="both"/>
        <w:outlineLvl w:val="0"/>
        <w:rPr>
          <w:rFonts w:ascii="Verdana" w:hAnsi="Verdana"/>
          <w:sz w:val="20"/>
          <w:szCs w:val="20"/>
        </w:rPr>
      </w:pPr>
    </w:p>
    <w:p w14:paraId="71589563" w14:textId="09C6EC78" w:rsidR="008F0087" w:rsidRPr="00FD016C" w:rsidRDefault="00C02A37" w:rsidP="007C1A21">
      <w:pPr>
        <w:keepNext/>
        <w:widowControl/>
        <w:spacing w:line="240" w:lineRule="auto"/>
        <w:jc w:val="both"/>
        <w:outlineLvl w:val="0"/>
        <w:rPr>
          <w:rFonts w:ascii="Verdana" w:hAnsi="Verdana"/>
          <w:sz w:val="20"/>
          <w:szCs w:val="20"/>
        </w:rPr>
      </w:pPr>
      <w:r w:rsidRPr="00FD016C">
        <w:rPr>
          <w:noProof/>
        </w:rPr>
        <w:drawing>
          <wp:inline distT="0" distB="0" distL="0" distR="0" wp14:anchorId="06D676D5" wp14:editId="359E0231">
            <wp:extent cx="5562600" cy="3244850"/>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62600" cy="3244850"/>
                    </a:xfrm>
                    <a:prstGeom prst="rect">
                      <a:avLst/>
                    </a:prstGeom>
                    <a:noFill/>
                    <a:ln>
                      <a:noFill/>
                    </a:ln>
                  </pic:spPr>
                </pic:pic>
              </a:graphicData>
            </a:graphic>
          </wp:inline>
        </w:drawing>
      </w:r>
    </w:p>
    <w:p w14:paraId="1F415E91" w14:textId="489C0B5B" w:rsidR="00D5405D" w:rsidRPr="00FD016C" w:rsidRDefault="00D5405D" w:rsidP="005144E2">
      <w:pPr>
        <w:widowControl/>
        <w:rPr>
          <w:rFonts w:ascii="Verdana" w:hAnsi="Verdana" w:cs="Arial"/>
          <w:b/>
          <w:sz w:val="20"/>
          <w:szCs w:val="20"/>
        </w:rPr>
      </w:pPr>
    </w:p>
    <w:p w14:paraId="01AA8B7B" w14:textId="77777777" w:rsidR="00DD09D0" w:rsidRPr="00FD016C" w:rsidRDefault="00DD09D0" w:rsidP="005144E2">
      <w:pPr>
        <w:widowControl/>
        <w:rPr>
          <w:rFonts w:ascii="Verdana" w:hAnsi="Verdana" w:cs="Arial"/>
          <w:b/>
          <w:sz w:val="20"/>
          <w:szCs w:val="20"/>
        </w:rPr>
      </w:pPr>
    </w:p>
    <w:p w14:paraId="06B5A55C" w14:textId="77777777" w:rsidR="00DD09D0" w:rsidRPr="00FD016C" w:rsidRDefault="00DD09D0" w:rsidP="005144E2">
      <w:pPr>
        <w:widowControl/>
        <w:rPr>
          <w:rFonts w:ascii="Verdana" w:hAnsi="Verdana" w:cs="Arial"/>
          <w:b/>
          <w:sz w:val="20"/>
          <w:szCs w:val="20"/>
        </w:rPr>
      </w:pPr>
    </w:p>
    <w:p w14:paraId="7DD6625D" w14:textId="3F00CE17" w:rsidR="00A16C43" w:rsidRPr="00FD016C" w:rsidRDefault="00DD521D" w:rsidP="005144E2">
      <w:pPr>
        <w:widowControl/>
        <w:rPr>
          <w:rFonts w:ascii="Verdana" w:hAnsi="Verdana" w:cs="Arial"/>
          <w:b/>
          <w:color w:val="0070C0"/>
          <w:sz w:val="26"/>
          <w:szCs w:val="26"/>
        </w:rPr>
      </w:pPr>
      <w:r w:rsidRPr="00FD016C">
        <w:rPr>
          <w:rFonts w:ascii="Verdana" w:hAnsi="Verdana" w:cs="Arial"/>
          <w:b/>
          <w:color w:val="0070C0"/>
          <w:sz w:val="26"/>
          <w:szCs w:val="26"/>
        </w:rPr>
        <w:t>N</w:t>
      </w:r>
      <w:r w:rsidR="00A16C43" w:rsidRPr="00FD016C">
        <w:rPr>
          <w:rFonts w:ascii="Verdana" w:hAnsi="Verdana" w:cs="Arial"/>
          <w:b/>
          <w:color w:val="0070C0"/>
          <w:sz w:val="26"/>
          <w:szCs w:val="26"/>
        </w:rPr>
        <w:t>OTA 23 – PROVISÕES PARA RISCOS</w:t>
      </w:r>
    </w:p>
    <w:p w14:paraId="24887BFA" w14:textId="77777777" w:rsidR="00A16C43" w:rsidRPr="00FD016C" w:rsidRDefault="00A16C43" w:rsidP="005144E2">
      <w:pPr>
        <w:widowControl/>
        <w:rPr>
          <w:rFonts w:ascii="Verdana" w:hAnsi="Verdana" w:cs="Arial"/>
          <w:b/>
          <w:sz w:val="20"/>
          <w:szCs w:val="20"/>
        </w:rPr>
      </w:pPr>
    </w:p>
    <w:p w14:paraId="2308F8C5" w14:textId="77777777" w:rsidR="001933B3" w:rsidRPr="00FD016C" w:rsidRDefault="001933B3" w:rsidP="005144E2">
      <w:pPr>
        <w:widowControl/>
        <w:rPr>
          <w:rFonts w:ascii="Verdana" w:hAnsi="Verdana" w:cs="Arial"/>
          <w:b/>
          <w:sz w:val="20"/>
          <w:szCs w:val="20"/>
        </w:rPr>
      </w:pPr>
    </w:p>
    <w:p w14:paraId="2A3C53F7" w14:textId="61861061" w:rsidR="00A16C43" w:rsidRPr="00FD016C" w:rsidRDefault="00A16C43" w:rsidP="005144E2">
      <w:pPr>
        <w:widowControl/>
        <w:jc w:val="both"/>
        <w:rPr>
          <w:rFonts w:ascii="Verdana" w:hAnsi="Verdana" w:cs="Arial"/>
          <w:sz w:val="20"/>
          <w:szCs w:val="20"/>
        </w:rPr>
      </w:pPr>
      <w:r w:rsidRPr="00FD016C">
        <w:rPr>
          <w:rFonts w:ascii="Verdana" w:hAnsi="Verdana" w:cs="Arial"/>
          <w:sz w:val="20"/>
          <w:szCs w:val="20"/>
        </w:rPr>
        <w:t>A Companhia, amparada pela sua Procuradoria Jurídica, mantém o registro no passivo não circulante, de provisões para contingências judiciais que atendem os critérios de reconhecimento apresentados no CPC 25 – Provisões, Passivos Contingentes e Ativos Contingentes</w:t>
      </w:r>
      <w:r w:rsidR="000B23F7" w:rsidRPr="00FD016C">
        <w:rPr>
          <w:rFonts w:ascii="Verdana" w:hAnsi="Verdana" w:cs="Arial"/>
          <w:sz w:val="20"/>
          <w:szCs w:val="20"/>
        </w:rPr>
        <w:t xml:space="preserve"> </w:t>
      </w:r>
      <w:r w:rsidRPr="00FD016C">
        <w:rPr>
          <w:rFonts w:ascii="Verdana" w:hAnsi="Verdana" w:cs="Arial"/>
          <w:sz w:val="20"/>
          <w:szCs w:val="20"/>
        </w:rPr>
        <w:t>conforme quadro abaixo:</w:t>
      </w:r>
    </w:p>
    <w:p w14:paraId="676DFF9F" w14:textId="77777777" w:rsidR="00004EAA" w:rsidRPr="00FD016C" w:rsidRDefault="00004EAA" w:rsidP="005144E2">
      <w:pPr>
        <w:widowControl/>
        <w:jc w:val="both"/>
        <w:rPr>
          <w:rFonts w:ascii="Verdana" w:hAnsi="Verdana" w:cs="Arial"/>
          <w:sz w:val="20"/>
          <w:szCs w:val="20"/>
        </w:rPr>
      </w:pPr>
    </w:p>
    <w:p w14:paraId="65002811" w14:textId="77777777" w:rsidR="003B746A" w:rsidRDefault="003B746A" w:rsidP="005144E2">
      <w:pPr>
        <w:widowControl/>
        <w:jc w:val="both"/>
        <w:rPr>
          <w:rFonts w:ascii="Verdana" w:hAnsi="Verdana" w:cs="Arial"/>
          <w:sz w:val="20"/>
          <w:szCs w:val="20"/>
        </w:rPr>
      </w:pPr>
    </w:p>
    <w:p w14:paraId="5F896CCA" w14:textId="77777777" w:rsidR="003772BC" w:rsidRDefault="003772BC" w:rsidP="005144E2">
      <w:pPr>
        <w:widowControl/>
        <w:jc w:val="both"/>
        <w:rPr>
          <w:rFonts w:ascii="Verdana" w:hAnsi="Verdana" w:cs="Arial"/>
          <w:sz w:val="20"/>
          <w:szCs w:val="20"/>
        </w:rPr>
      </w:pPr>
    </w:p>
    <w:p w14:paraId="361F5A2C" w14:textId="77777777" w:rsidR="003772BC" w:rsidRDefault="003772BC" w:rsidP="005144E2">
      <w:pPr>
        <w:widowControl/>
        <w:jc w:val="both"/>
        <w:rPr>
          <w:rFonts w:ascii="Verdana" w:hAnsi="Verdana" w:cs="Arial"/>
          <w:sz w:val="20"/>
          <w:szCs w:val="20"/>
        </w:rPr>
      </w:pPr>
    </w:p>
    <w:p w14:paraId="6BD32D30" w14:textId="77777777" w:rsidR="003772BC" w:rsidRDefault="003772BC" w:rsidP="005144E2">
      <w:pPr>
        <w:widowControl/>
        <w:jc w:val="both"/>
        <w:rPr>
          <w:rFonts w:ascii="Verdana" w:hAnsi="Verdana" w:cs="Arial"/>
          <w:sz w:val="20"/>
          <w:szCs w:val="20"/>
        </w:rPr>
      </w:pPr>
    </w:p>
    <w:p w14:paraId="1F797729" w14:textId="77777777" w:rsidR="003772BC" w:rsidRDefault="003772BC" w:rsidP="005144E2">
      <w:pPr>
        <w:widowControl/>
        <w:jc w:val="both"/>
        <w:rPr>
          <w:rFonts w:ascii="Verdana" w:hAnsi="Verdana" w:cs="Arial"/>
          <w:sz w:val="20"/>
          <w:szCs w:val="20"/>
        </w:rPr>
      </w:pPr>
    </w:p>
    <w:p w14:paraId="11DD28F4" w14:textId="77777777" w:rsidR="003772BC" w:rsidRDefault="003772BC" w:rsidP="005144E2">
      <w:pPr>
        <w:widowControl/>
        <w:jc w:val="both"/>
        <w:rPr>
          <w:rFonts w:ascii="Verdana" w:hAnsi="Verdana" w:cs="Arial"/>
          <w:sz w:val="20"/>
          <w:szCs w:val="20"/>
        </w:rPr>
      </w:pPr>
    </w:p>
    <w:p w14:paraId="6C78CFEF" w14:textId="77777777" w:rsidR="003772BC" w:rsidRDefault="003772BC" w:rsidP="005144E2">
      <w:pPr>
        <w:widowControl/>
        <w:jc w:val="both"/>
        <w:rPr>
          <w:rFonts w:ascii="Verdana" w:hAnsi="Verdana" w:cs="Arial"/>
          <w:sz w:val="20"/>
          <w:szCs w:val="20"/>
        </w:rPr>
      </w:pPr>
    </w:p>
    <w:p w14:paraId="71CE05F9" w14:textId="77777777" w:rsidR="003772BC" w:rsidRDefault="003772BC" w:rsidP="005144E2">
      <w:pPr>
        <w:widowControl/>
        <w:jc w:val="both"/>
        <w:rPr>
          <w:rFonts w:ascii="Verdana" w:hAnsi="Verdana" w:cs="Arial"/>
          <w:sz w:val="20"/>
          <w:szCs w:val="20"/>
        </w:rPr>
      </w:pPr>
    </w:p>
    <w:p w14:paraId="07C80EEE" w14:textId="77777777" w:rsidR="003772BC" w:rsidRDefault="003772BC" w:rsidP="005144E2">
      <w:pPr>
        <w:widowControl/>
        <w:jc w:val="both"/>
        <w:rPr>
          <w:rFonts w:ascii="Verdana" w:hAnsi="Verdana" w:cs="Arial"/>
          <w:sz w:val="20"/>
          <w:szCs w:val="20"/>
        </w:rPr>
      </w:pPr>
    </w:p>
    <w:p w14:paraId="20F1827A" w14:textId="77777777" w:rsidR="003772BC" w:rsidRDefault="003772BC" w:rsidP="005144E2">
      <w:pPr>
        <w:widowControl/>
        <w:jc w:val="both"/>
        <w:rPr>
          <w:rFonts w:ascii="Verdana" w:hAnsi="Verdana" w:cs="Arial"/>
          <w:sz w:val="20"/>
          <w:szCs w:val="20"/>
        </w:rPr>
      </w:pPr>
    </w:p>
    <w:p w14:paraId="6C2736C5" w14:textId="77777777" w:rsidR="003772BC" w:rsidRDefault="003772BC" w:rsidP="005144E2">
      <w:pPr>
        <w:widowControl/>
        <w:jc w:val="both"/>
        <w:rPr>
          <w:rFonts w:ascii="Verdana" w:hAnsi="Verdana" w:cs="Arial"/>
          <w:sz w:val="20"/>
          <w:szCs w:val="20"/>
        </w:rPr>
      </w:pPr>
    </w:p>
    <w:p w14:paraId="376D031A" w14:textId="77777777" w:rsidR="003772BC" w:rsidRDefault="003772BC" w:rsidP="005144E2">
      <w:pPr>
        <w:widowControl/>
        <w:jc w:val="both"/>
        <w:rPr>
          <w:rFonts w:ascii="Verdana" w:hAnsi="Verdana" w:cs="Arial"/>
          <w:sz w:val="20"/>
          <w:szCs w:val="20"/>
        </w:rPr>
      </w:pPr>
    </w:p>
    <w:p w14:paraId="6C1CC6B2" w14:textId="77777777" w:rsidR="003772BC" w:rsidRPr="00FD016C" w:rsidRDefault="003772BC" w:rsidP="005144E2">
      <w:pPr>
        <w:widowControl/>
        <w:jc w:val="both"/>
        <w:rPr>
          <w:rFonts w:ascii="Verdana" w:hAnsi="Verdana" w:cs="Arial"/>
          <w:sz w:val="20"/>
          <w:szCs w:val="20"/>
        </w:rPr>
      </w:pPr>
    </w:p>
    <w:p w14:paraId="01F46F40" w14:textId="77777777" w:rsidR="00A16C43" w:rsidRPr="00FD016C" w:rsidRDefault="00A16C43" w:rsidP="00067006">
      <w:pPr>
        <w:pStyle w:val="PargrafodaLista"/>
        <w:widowControl/>
        <w:numPr>
          <w:ilvl w:val="0"/>
          <w:numId w:val="17"/>
        </w:numPr>
        <w:tabs>
          <w:tab w:val="center" w:pos="4419"/>
          <w:tab w:val="right" w:pos="8838"/>
        </w:tabs>
        <w:ind w:left="426" w:hanging="426"/>
        <w:rPr>
          <w:rFonts w:ascii="Verdana" w:hAnsi="Verdana" w:cs="Arial"/>
          <w:b/>
          <w:color w:val="0070C0"/>
        </w:rPr>
      </w:pPr>
      <w:r w:rsidRPr="00FD016C">
        <w:rPr>
          <w:rFonts w:ascii="Verdana" w:hAnsi="Verdana" w:cs="Arial"/>
          <w:b/>
          <w:color w:val="0070C0"/>
        </w:rPr>
        <w:lastRenderedPageBreak/>
        <w:t>Composição</w:t>
      </w:r>
    </w:p>
    <w:p w14:paraId="2AC5588B" w14:textId="77777777" w:rsidR="004C20FF" w:rsidRPr="00FD016C" w:rsidRDefault="004C20FF" w:rsidP="004C20FF">
      <w:pPr>
        <w:widowControl/>
        <w:spacing w:line="240" w:lineRule="auto"/>
        <w:jc w:val="both"/>
        <w:rPr>
          <w:rFonts w:ascii="Verdana" w:hAnsi="Verdana" w:cs="Arial"/>
          <w:sz w:val="20"/>
          <w:szCs w:val="20"/>
        </w:rPr>
      </w:pPr>
    </w:p>
    <w:p w14:paraId="6FE2A0A3" w14:textId="1A458905" w:rsidR="004C20FF" w:rsidRPr="00FD016C" w:rsidRDefault="004C20FF" w:rsidP="004C20FF">
      <w:pPr>
        <w:widowControl/>
        <w:spacing w:line="240" w:lineRule="auto"/>
        <w:jc w:val="both"/>
        <w:rPr>
          <w:rFonts w:ascii="Verdana" w:hAnsi="Verdana" w:cs="Arial"/>
          <w:sz w:val="20"/>
          <w:szCs w:val="20"/>
        </w:rPr>
      </w:pPr>
      <w:r w:rsidRPr="00FD016C">
        <w:rPr>
          <w:rFonts w:ascii="Verdana" w:hAnsi="Verdana" w:cs="Arial"/>
          <w:sz w:val="20"/>
          <w:szCs w:val="20"/>
        </w:rPr>
        <w:t xml:space="preserve">Os depósitos judiciais apresentados no quadro </w:t>
      </w:r>
      <w:r w:rsidR="007B72D5" w:rsidRPr="00FD016C">
        <w:rPr>
          <w:rFonts w:ascii="Verdana" w:hAnsi="Verdana" w:cs="Arial"/>
          <w:sz w:val="20"/>
          <w:szCs w:val="20"/>
        </w:rPr>
        <w:t>abaixo</w:t>
      </w:r>
      <w:r w:rsidRPr="00FD016C">
        <w:rPr>
          <w:rFonts w:ascii="Verdana" w:hAnsi="Verdana" w:cs="Arial"/>
          <w:sz w:val="20"/>
          <w:szCs w:val="20"/>
        </w:rPr>
        <w:t xml:space="preserve"> são apenas aqueles vinculados às contingências de perda provável.  Os demais depósitos judiciais da Companhia estão divulgados na Nota 12.</w:t>
      </w:r>
    </w:p>
    <w:p w14:paraId="320F46F3" w14:textId="5646968E" w:rsidR="00062B2C" w:rsidRPr="00FD016C" w:rsidRDefault="00062B2C" w:rsidP="004C20FF">
      <w:pPr>
        <w:widowControl/>
        <w:spacing w:line="240" w:lineRule="auto"/>
        <w:jc w:val="both"/>
        <w:rPr>
          <w:rFonts w:ascii="Verdana" w:hAnsi="Verdana" w:cs="Arial"/>
          <w:sz w:val="20"/>
          <w:szCs w:val="20"/>
        </w:rPr>
      </w:pPr>
    </w:p>
    <w:p w14:paraId="0156F77F" w14:textId="7740AE64" w:rsidR="00A61BC0" w:rsidRPr="00FD016C" w:rsidRDefault="0057444C" w:rsidP="004C20FF">
      <w:pPr>
        <w:widowControl/>
        <w:spacing w:line="240" w:lineRule="auto"/>
        <w:jc w:val="both"/>
        <w:rPr>
          <w:rFonts w:ascii="Verdana" w:hAnsi="Verdana" w:cs="Arial"/>
          <w:sz w:val="20"/>
          <w:szCs w:val="20"/>
        </w:rPr>
      </w:pPr>
      <w:r w:rsidRPr="00FD016C">
        <w:rPr>
          <w:noProof/>
        </w:rPr>
        <w:drawing>
          <wp:inline distT="0" distB="0" distL="0" distR="0" wp14:anchorId="160C8F72" wp14:editId="02E1AE3E">
            <wp:extent cx="6073140" cy="3747681"/>
            <wp:effectExtent l="0" t="0" r="3810" b="5715"/>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73140" cy="3747681"/>
                    </a:xfrm>
                    <a:prstGeom prst="rect">
                      <a:avLst/>
                    </a:prstGeom>
                    <a:noFill/>
                    <a:ln>
                      <a:noFill/>
                    </a:ln>
                  </pic:spPr>
                </pic:pic>
              </a:graphicData>
            </a:graphic>
          </wp:inline>
        </w:drawing>
      </w:r>
    </w:p>
    <w:p w14:paraId="00616C81" w14:textId="6930C29F" w:rsidR="00A61BC0" w:rsidRPr="00FD016C" w:rsidRDefault="00A61BC0" w:rsidP="004C20FF">
      <w:pPr>
        <w:widowControl/>
        <w:spacing w:line="240" w:lineRule="auto"/>
        <w:jc w:val="both"/>
        <w:rPr>
          <w:rFonts w:ascii="Verdana" w:hAnsi="Verdana" w:cs="Arial"/>
          <w:sz w:val="20"/>
          <w:szCs w:val="20"/>
        </w:rPr>
      </w:pPr>
    </w:p>
    <w:p w14:paraId="2B5E157A" w14:textId="77777777" w:rsidR="0070445B" w:rsidRPr="00FD016C" w:rsidRDefault="0070445B" w:rsidP="0070445B">
      <w:pPr>
        <w:widowControl/>
        <w:spacing w:line="240" w:lineRule="auto"/>
        <w:jc w:val="both"/>
        <w:rPr>
          <w:rFonts w:ascii="Verdana" w:hAnsi="Verdana" w:cs="Arial"/>
          <w:sz w:val="20"/>
          <w:szCs w:val="20"/>
        </w:rPr>
      </w:pPr>
      <w:r w:rsidRPr="00FD016C">
        <w:rPr>
          <w:rFonts w:ascii="Verdana" w:hAnsi="Verdana" w:cs="Arial"/>
          <w:sz w:val="20"/>
          <w:szCs w:val="20"/>
        </w:rPr>
        <w:t>Os depósitos judiciais apresentados no quadro acima são apenas aqueles vinculados às contingências de perda provável.  Os demais depósitos judiciais da Companhia estão divulgados na Nota 12.</w:t>
      </w:r>
    </w:p>
    <w:p w14:paraId="536AC003" w14:textId="77777777" w:rsidR="0070445B" w:rsidRPr="00FD016C" w:rsidRDefault="0070445B" w:rsidP="0070445B">
      <w:pPr>
        <w:widowControl/>
        <w:spacing w:line="240" w:lineRule="auto"/>
        <w:jc w:val="both"/>
        <w:rPr>
          <w:rFonts w:ascii="Verdana" w:hAnsi="Verdana" w:cs="Arial"/>
          <w:sz w:val="20"/>
          <w:szCs w:val="20"/>
        </w:rPr>
      </w:pPr>
    </w:p>
    <w:p w14:paraId="6A855A61" w14:textId="260C139A" w:rsidR="000D3B20" w:rsidRDefault="000D3B20" w:rsidP="000D3B20">
      <w:pPr>
        <w:widowControl/>
        <w:spacing w:line="240" w:lineRule="auto"/>
        <w:jc w:val="both"/>
        <w:rPr>
          <w:rFonts w:ascii="Verdana" w:hAnsi="Verdana" w:cs="Arial"/>
          <w:sz w:val="20"/>
          <w:szCs w:val="20"/>
        </w:rPr>
      </w:pPr>
      <w:r w:rsidRPr="00FD016C">
        <w:rPr>
          <w:rFonts w:ascii="Verdana" w:hAnsi="Verdana" w:cs="Arial"/>
          <w:sz w:val="20"/>
          <w:szCs w:val="20"/>
        </w:rPr>
        <w:t>Os processos judiciais, avaliados como de perda possível, movidos contra a Companhia e, portanto, não provisionados, montam R$ 1.179.188 atualizados em 30 de setembro 2021 (R$ 1.647.034 em 31 de dezembro de 2020), sendo R$ 650.734 de processos de natureza trabalhista (R$ 984.771 em</w:t>
      </w:r>
      <w:r w:rsidR="009E103E" w:rsidRPr="00FD016C">
        <w:rPr>
          <w:rFonts w:ascii="Verdana" w:hAnsi="Verdana" w:cs="Arial"/>
          <w:sz w:val="20"/>
          <w:szCs w:val="20"/>
        </w:rPr>
        <w:t xml:space="preserve"> 31 de dezembro de 2020), R$ 658</w:t>
      </w:r>
      <w:r w:rsidRPr="00FD016C">
        <w:rPr>
          <w:rFonts w:ascii="Verdana" w:hAnsi="Verdana" w:cs="Arial"/>
          <w:sz w:val="20"/>
          <w:szCs w:val="20"/>
        </w:rPr>
        <w:t xml:space="preserve"> de ações tributárias (R$ 122.357 em 31 de dezembro de 2020), R$ 248.08</w:t>
      </w:r>
      <w:r w:rsidR="009E103E" w:rsidRPr="00FD016C">
        <w:rPr>
          <w:rFonts w:ascii="Verdana" w:hAnsi="Verdana" w:cs="Arial"/>
          <w:sz w:val="20"/>
          <w:szCs w:val="20"/>
        </w:rPr>
        <w:t>9</w:t>
      </w:r>
      <w:r w:rsidRPr="00FD016C">
        <w:rPr>
          <w:rFonts w:ascii="Verdana" w:hAnsi="Verdana" w:cs="Arial"/>
          <w:sz w:val="20"/>
          <w:szCs w:val="20"/>
        </w:rPr>
        <w:t xml:space="preserve"> de ações cíveis (R$ 299.717 em 31 de dezembro de 2020)</w:t>
      </w:r>
      <w:r w:rsidR="009E103E" w:rsidRPr="00FD016C">
        <w:rPr>
          <w:rFonts w:ascii="Verdana" w:hAnsi="Verdana" w:cs="Arial"/>
          <w:sz w:val="20"/>
          <w:szCs w:val="20"/>
        </w:rPr>
        <w:t xml:space="preserve"> e R$ 279.707 de ações ambientais (R$ 240.009 em 31 de dezembro de 2020)</w:t>
      </w:r>
      <w:r w:rsidRPr="00FD016C">
        <w:rPr>
          <w:rFonts w:ascii="Verdana" w:hAnsi="Verdana" w:cs="Arial"/>
          <w:sz w:val="20"/>
          <w:szCs w:val="20"/>
        </w:rPr>
        <w:t>.</w:t>
      </w:r>
    </w:p>
    <w:p w14:paraId="17E0CB86" w14:textId="77777777" w:rsidR="00283B62" w:rsidRDefault="00283B62" w:rsidP="00283B62">
      <w:pPr>
        <w:jc w:val="both"/>
        <w:rPr>
          <w:rFonts w:ascii="Verdana" w:hAnsi="Verdana" w:cs="Arial"/>
          <w:sz w:val="20"/>
          <w:szCs w:val="20"/>
        </w:rPr>
      </w:pPr>
    </w:p>
    <w:p w14:paraId="30B1CF4E" w14:textId="108CD20E" w:rsidR="0030769F" w:rsidRPr="00C22D20" w:rsidRDefault="0030769F" w:rsidP="0030769F">
      <w:pPr>
        <w:jc w:val="both"/>
        <w:rPr>
          <w:rFonts w:ascii="Verdana" w:hAnsi="Verdana" w:cs="Arial"/>
          <w:sz w:val="20"/>
          <w:szCs w:val="20"/>
        </w:rPr>
      </w:pPr>
      <w:r>
        <w:rPr>
          <w:rFonts w:ascii="Verdana" w:hAnsi="Verdana" w:cs="Arial"/>
          <w:sz w:val="20"/>
          <w:szCs w:val="20"/>
        </w:rPr>
        <w:t xml:space="preserve">Na movimentação dos processos de prognóstico possível destacam-se as alterações de prognóstico do processo de natureza tributária nº </w:t>
      </w:r>
      <w:r w:rsidRPr="00987CD8">
        <w:rPr>
          <w:rFonts w:ascii="Verdana" w:hAnsi="Verdana" w:cs="Arial"/>
          <w:sz w:val="20"/>
          <w:szCs w:val="20"/>
        </w:rPr>
        <w:t>0003767-29.2009.8.19.0001</w:t>
      </w:r>
      <w:r>
        <w:rPr>
          <w:rFonts w:ascii="Verdana" w:hAnsi="Verdana" w:cs="Arial"/>
          <w:sz w:val="20"/>
          <w:szCs w:val="20"/>
        </w:rPr>
        <w:t xml:space="preserve">, movido pelo Estado do Rio de Janeiro, no montante de </w:t>
      </w:r>
      <w:r w:rsidR="00363C1C">
        <w:rPr>
          <w:rFonts w:ascii="Verdana" w:hAnsi="Verdana" w:cs="Arial"/>
          <w:sz w:val="20"/>
          <w:szCs w:val="20"/>
        </w:rPr>
        <w:t xml:space="preserve">atualizado de </w:t>
      </w:r>
      <w:r w:rsidR="000617D4">
        <w:rPr>
          <w:rFonts w:ascii="Verdana" w:hAnsi="Verdana" w:cs="Arial"/>
          <w:sz w:val="20"/>
          <w:szCs w:val="20"/>
        </w:rPr>
        <w:t xml:space="preserve">R$ </w:t>
      </w:r>
      <w:r w:rsidR="00363C1C">
        <w:rPr>
          <w:rFonts w:ascii="Verdana" w:hAnsi="Verdana" w:cs="Arial"/>
          <w:sz w:val="20"/>
          <w:szCs w:val="20"/>
        </w:rPr>
        <w:t>121.570</w:t>
      </w:r>
      <w:r w:rsidR="000617D4">
        <w:rPr>
          <w:rFonts w:ascii="Verdana" w:hAnsi="Verdana" w:cs="Arial"/>
          <w:sz w:val="20"/>
          <w:szCs w:val="20"/>
        </w:rPr>
        <w:t xml:space="preserve"> </w:t>
      </w:r>
      <w:r>
        <w:rPr>
          <w:rFonts w:ascii="Verdana" w:hAnsi="Verdana" w:cs="Arial"/>
          <w:sz w:val="20"/>
          <w:szCs w:val="20"/>
        </w:rPr>
        <w:t xml:space="preserve">que passou a ser considerado com prognóstico de perda remota e as dos processos de natureza trabalhista nº </w:t>
      </w:r>
      <w:r w:rsidRPr="007473A4">
        <w:rPr>
          <w:rFonts w:ascii="Verdana" w:hAnsi="Verdana" w:cs="Arial"/>
          <w:sz w:val="20"/>
          <w:szCs w:val="20"/>
        </w:rPr>
        <w:t>0010786-77.2015.5.08.0116</w:t>
      </w:r>
      <w:r>
        <w:rPr>
          <w:rFonts w:ascii="Verdana" w:hAnsi="Verdana" w:cs="Arial"/>
          <w:sz w:val="20"/>
          <w:szCs w:val="20"/>
        </w:rPr>
        <w:t xml:space="preserve">, nº </w:t>
      </w:r>
      <w:r w:rsidRPr="004A10BC">
        <w:rPr>
          <w:rFonts w:ascii="Verdana" w:hAnsi="Verdana" w:cs="Arial"/>
          <w:sz w:val="20"/>
          <w:szCs w:val="20"/>
        </w:rPr>
        <w:t xml:space="preserve">0010787-62.2015.5.08.0116 </w:t>
      </w:r>
      <w:r>
        <w:rPr>
          <w:rFonts w:ascii="Verdana" w:hAnsi="Verdana" w:cs="Arial"/>
          <w:sz w:val="20"/>
          <w:szCs w:val="20"/>
        </w:rPr>
        <w:t xml:space="preserve">e nº </w:t>
      </w:r>
      <w:r w:rsidRPr="007473A4">
        <w:rPr>
          <w:rFonts w:ascii="Verdana" w:hAnsi="Verdana" w:cs="Arial"/>
          <w:sz w:val="20"/>
          <w:szCs w:val="20"/>
        </w:rPr>
        <w:t>0010788-47.2015.5.08.0116</w:t>
      </w:r>
      <w:r>
        <w:rPr>
          <w:rFonts w:ascii="Verdana" w:hAnsi="Verdana" w:cs="Arial"/>
          <w:sz w:val="20"/>
          <w:szCs w:val="20"/>
        </w:rPr>
        <w:t xml:space="preserve">, totalizando o montante </w:t>
      </w:r>
      <w:r w:rsidR="000617D4">
        <w:rPr>
          <w:rFonts w:ascii="Verdana" w:hAnsi="Verdana" w:cs="Arial"/>
          <w:sz w:val="20"/>
          <w:szCs w:val="20"/>
        </w:rPr>
        <w:t xml:space="preserve">atualizado </w:t>
      </w:r>
      <w:r>
        <w:rPr>
          <w:rFonts w:ascii="Verdana" w:hAnsi="Verdana" w:cs="Arial"/>
          <w:sz w:val="20"/>
          <w:szCs w:val="20"/>
        </w:rPr>
        <w:t xml:space="preserve">de R$ </w:t>
      </w:r>
      <w:r w:rsidR="000617D4">
        <w:rPr>
          <w:rFonts w:ascii="Verdana" w:hAnsi="Verdana" w:cs="Arial"/>
          <w:sz w:val="20"/>
          <w:szCs w:val="20"/>
        </w:rPr>
        <w:t>350.217</w:t>
      </w:r>
      <w:r>
        <w:rPr>
          <w:rFonts w:ascii="Verdana" w:hAnsi="Verdana" w:cs="Arial"/>
          <w:sz w:val="20"/>
          <w:szCs w:val="20"/>
        </w:rPr>
        <w:t xml:space="preserve"> que também passaram a ser considerados com prognóstico de perda </w:t>
      </w:r>
      <w:r w:rsidR="000617D4">
        <w:rPr>
          <w:rFonts w:ascii="Verdana" w:hAnsi="Verdana" w:cs="Arial"/>
          <w:sz w:val="20"/>
          <w:szCs w:val="20"/>
        </w:rPr>
        <w:t>remota</w:t>
      </w:r>
      <w:r>
        <w:rPr>
          <w:rFonts w:ascii="Verdana" w:hAnsi="Verdana" w:cs="Arial"/>
          <w:sz w:val="20"/>
          <w:szCs w:val="20"/>
        </w:rPr>
        <w:t>.</w:t>
      </w:r>
    </w:p>
    <w:p w14:paraId="5AF0B68F" w14:textId="77777777" w:rsidR="00283B62" w:rsidRDefault="00283B62" w:rsidP="000D3B20">
      <w:pPr>
        <w:widowControl/>
        <w:spacing w:line="240" w:lineRule="auto"/>
        <w:jc w:val="both"/>
        <w:rPr>
          <w:rFonts w:ascii="Verdana" w:hAnsi="Verdana" w:cs="Arial"/>
          <w:sz w:val="20"/>
          <w:szCs w:val="20"/>
        </w:rPr>
      </w:pPr>
    </w:p>
    <w:p w14:paraId="26FF9B18" w14:textId="77777777" w:rsidR="003772BC" w:rsidRPr="00FD016C" w:rsidRDefault="003772BC" w:rsidP="000D3B20">
      <w:pPr>
        <w:widowControl/>
        <w:spacing w:line="240" w:lineRule="auto"/>
        <w:jc w:val="both"/>
        <w:rPr>
          <w:rFonts w:ascii="Verdana" w:hAnsi="Verdana" w:cs="Arial"/>
          <w:sz w:val="20"/>
          <w:szCs w:val="20"/>
        </w:rPr>
      </w:pPr>
    </w:p>
    <w:p w14:paraId="460A7630" w14:textId="77777777" w:rsidR="000D3B20" w:rsidRPr="00FD016C" w:rsidRDefault="000D3B20" w:rsidP="000D3B20">
      <w:pPr>
        <w:widowControl/>
        <w:spacing w:line="240" w:lineRule="auto"/>
        <w:jc w:val="both"/>
        <w:rPr>
          <w:rFonts w:ascii="Verdana" w:hAnsi="Verdana"/>
          <w:sz w:val="20"/>
          <w:szCs w:val="20"/>
        </w:rPr>
      </w:pPr>
      <w:r w:rsidRPr="00FD016C">
        <w:rPr>
          <w:rFonts w:ascii="Verdana" w:hAnsi="Verdana"/>
          <w:sz w:val="20"/>
          <w:szCs w:val="20"/>
        </w:rPr>
        <w:lastRenderedPageBreak/>
        <w:t>Dentre as ações de causas prováveis e possíveis, e, que apresentam valores avaliados com perda superiores a 1,33% da Receita Operacional Líquida (até setembro de 2021), ou seja, acima de R$ 27.159, destacam-se:</w:t>
      </w:r>
    </w:p>
    <w:p w14:paraId="183F252E" w14:textId="77777777" w:rsidR="000D3B20" w:rsidRPr="00FD016C" w:rsidRDefault="000D3B20" w:rsidP="000D3B20">
      <w:pPr>
        <w:widowControl/>
        <w:spacing w:line="240" w:lineRule="auto"/>
        <w:jc w:val="both"/>
        <w:rPr>
          <w:rFonts w:ascii="Verdana" w:hAnsi="Verdana"/>
          <w:sz w:val="20"/>
          <w:szCs w:val="20"/>
        </w:rPr>
      </w:pPr>
    </w:p>
    <w:tbl>
      <w:tblPr>
        <w:tblW w:w="20879" w:type="dxa"/>
        <w:tblInd w:w="-66" w:type="dxa"/>
        <w:tblCellMar>
          <w:left w:w="0" w:type="dxa"/>
          <w:right w:w="0" w:type="dxa"/>
        </w:tblCellMar>
        <w:tblLook w:val="04A0" w:firstRow="1" w:lastRow="0" w:firstColumn="1" w:lastColumn="0" w:noHBand="0" w:noVBand="1"/>
      </w:tblPr>
      <w:tblGrid>
        <w:gridCol w:w="113"/>
        <w:gridCol w:w="1361"/>
        <w:gridCol w:w="8284"/>
        <w:gridCol w:w="145"/>
        <w:gridCol w:w="6967"/>
        <w:gridCol w:w="3894"/>
        <w:gridCol w:w="115"/>
      </w:tblGrid>
      <w:tr w:rsidR="000D3B20" w:rsidRPr="00FD016C" w14:paraId="786998F8" w14:textId="77777777" w:rsidTr="000D3B20">
        <w:trPr>
          <w:trHeight w:val="684"/>
        </w:trPr>
        <w:tc>
          <w:tcPr>
            <w:tcW w:w="9758" w:type="dxa"/>
            <w:gridSpan w:val="3"/>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A789968" w14:textId="77777777" w:rsidR="000D3B20" w:rsidRPr="00FD016C" w:rsidRDefault="000D3B20" w:rsidP="00556D61">
            <w:pPr>
              <w:ind w:firstLine="1205"/>
              <w:rPr>
                <w:rFonts w:ascii="Verdana" w:hAnsi="Verdana" w:cs="Arial"/>
                <w:b/>
                <w:bCs/>
                <w:sz w:val="18"/>
                <w:szCs w:val="18"/>
              </w:rPr>
            </w:pPr>
            <w:r w:rsidRPr="00FD016C">
              <w:rPr>
                <w:rFonts w:ascii="Verdana" w:hAnsi="Verdana" w:cs="Arial"/>
                <w:b/>
                <w:bCs/>
                <w:sz w:val="18"/>
                <w:szCs w:val="18"/>
              </w:rPr>
              <w:t>a)     Ação Trabalhista n. 0064500-25.1989.5.01.0029</w:t>
            </w:r>
          </w:p>
        </w:tc>
        <w:tc>
          <w:tcPr>
            <w:tcW w:w="11121" w:type="dxa"/>
            <w:gridSpan w:val="4"/>
            <w:vAlign w:val="center"/>
            <w:hideMark/>
          </w:tcPr>
          <w:p w14:paraId="2FA2176E"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711499B8" w14:textId="77777777" w:rsidTr="007F473C">
        <w:trPr>
          <w:trHeight w:val="547"/>
        </w:trPr>
        <w:tc>
          <w:tcPr>
            <w:tcW w:w="14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1E6346"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Instância /Juízo</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32D99"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 xml:space="preserve">[1ª] Instância - [29ª] Vara do Trabalho da Capital do Rio de Janeiro </w:t>
            </w:r>
          </w:p>
        </w:tc>
        <w:tc>
          <w:tcPr>
            <w:tcW w:w="11121" w:type="dxa"/>
            <w:gridSpan w:val="4"/>
            <w:vAlign w:val="center"/>
            <w:hideMark/>
          </w:tcPr>
          <w:p w14:paraId="7E89371F"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4E2233BC" w14:textId="77777777" w:rsidTr="007F473C">
        <w:trPr>
          <w:trHeight w:val="532"/>
        </w:trPr>
        <w:tc>
          <w:tcPr>
            <w:tcW w:w="14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5A129E"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Partes</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890B18" w14:textId="76BF774F" w:rsidR="000D3B20" w:rsidRPr="00FD016C" w:rsidRDefault="000D3B20" w:rsidP="007050B2">
            <w:pPr>
              <w:jc w:val="both"/>
              <w:rPr>
                <w:rFonts w:ascii="Verdana" w:hAnsi="Verdana" w:cs="Arial"/>
                <w:sz w:val="18"/>
                <w:szCs w:val="18"/>
              </w:rPr>
            </w:pPr>
            <w:r w:rsidRPr="00FD016C">
              <w:rPr>
                <w:rFonts w:ascii="Verdana" w:hAnsi="Verdana" w:cs="Arial"/>
                <w:sz w:val="18"/>
                <w:szCs w:val="18"/>
              </w:rPr>
              <w:t>Sindicato do Engenheiros do Estado do RJ – SENGE (Substituindo cerca de 245 empregado</w:t>
            </w:r>
            <w:r w:rsidR="007050B2">
              <w:rPr>
                <w:rFonts w:ascii="Verdana" w:hAnsi="Verdana" w:cs="Arial"/>
                <w:sz w:val="18"/>
                <w:szCs w:val="18"/>
              </w:rPr>
              <w:t xml:space="preserve">s e </w:t>
            </w:r>
            <w:proofErr w:type="spellStart"/>
            <w:r w:rsidR="007050B2">
              <w:rPr>
                <w:rFonts w:ascii="Verdana" w:hAnsi="Verdana" w:cs="Arial"/>
                <w:sz w:val="18"/>
                <w:szCs w:val="18"/>
              </w:rPr>
              <w:t>ex-empregados</w:t>
            </w:r>
            <w:proofErr w:type="spellEnd"/>
            <w:r w:rsidR="007050B2">
              <w:rPr>
                <w:rFonts w:ascii="Verdana" w:hAnsi="Verdana" w:cs="Arial"/>
                <w:sz w:val="18"/>
                <w:szCs w:val="18"/>
              </w:rPr>
              <w:t>) x ELETRONUCLEAR</w:t>
            </w:r>
            <w:r w:rsidRPr="00FD016C">
              <w:rPr>
                <w:rFonts w:ascii="Verdana" w:hAnsi="Verdana" w:cs="Arial"/>
                <w:sz w:val="18"/>
                <w:szCs w:val="18"/>
              </w:rPr>
              <w:t xml:space="preserve"> (Reclamada)</w:t>
            </w:r>
          </w:p>
        </w:tc>
        <w:tc>
          <w:tcPr>
            <w:tcW w:w="11121" w:type="dxa"/>
            <w:gridSpan w:val="4"/>
            <w:vAlign w:val="center"/>
            <w:hideMark/>
          </w:tcPr>
          <w:p w14:paraId="447B6D70"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5B42BA89" w14:textId="77777777" w:rsidTr="007F473C">
        <w:trPr>
          <w:trHeight w:val="532"/>
        </w:trPr>
        <w:tc>
          <w:tcPr>
            <w:tcW w:w="14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27892B"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Valores, bens ou direitos envolvidos</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C5F03E" w14:textId="5C794F32" w:rsidR="000D3B20" w:rsidRPr="00FD016C" w:rsidRDefault="000D3B20" w:rsidP="00996D8D">
            <w:pPr>
              <w:jc w:val="both"/>
              <w:rPr>
                <w:rFonts w:ascii="Verdana" w:hAnsi="Verdana" w:cs="Arial"/>
                <w:sz w:val="18"/>
                <w:szCs w:val="18"/>
              </w:rPr>
            </w:pPr>
            <w:r w:rsidRPr="00FD016C">
              <w:rPr>
                <w:rFonts w:ascii="Verdana" w:hAnsi="Verdana" w:cs="Arial"/>
                <w:sz w:val="18"/>
                <w:szCs w:val="18"/>
              </w:rPr>
              <w:t>R$ 611.7</w:t>
            </w:r>
            <w:r w:rsidR="00996D8D" w:rsidRPr="00FD016C">
              <w:rPr>
                <w:rFonts w:ascii="Verdana" w:hAnsi="Verdana" w:cs="Arial"/>
                <w:sz w:val="18"/>
                <w:szCs w:val="18"/>
              </w:rPr>
              <w:t>30</w:t>
            </w:r>
          </w:p>
        </w:tc>
        <w:tc>
          <w:tcPr>
            <w:tcW w:w="11121" w:type="dxa"/>
            <w:gridSpan w:val="4"/>
            <w:vAlign w:val="center"/>
            <w:hideMark/>
          </w:tcPr>
          <w:p w14:paraId="289E4827"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18FDC15B" w14:textId="77777777" w:rsidTr="007F473C">
        <w:trPr>
          <w:trHeight w:val="7037"/>
        </w:trPr>
        <w:tc>
          <w:tcPr>
            <w:tcW w:w="14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FB06B8"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Objeto:</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3D785E" w14:textId="1D6808AD" w:rsidR="000D3B20" w:rsidRPr="00FD016C" w:rsidRDefault="000D3B20" w:rsidP="007050B2">
            <w:pPr>
              <w:jc w:val="both"/>
              <w:rPr>
                <w:rFonts w:ascii="Verdana" w:hAnsi="Verdana" w:cs="Arial"/>
                <w:sz w:val="18"/>
                <w:szCs w:val="18"/>
              </w:rPr>
            </w:pPr>
            <w:r w:rsidRPr="00FD016C">
              <w:rPr>
                <w:rFonts w:ascii="Verdana" w:hAnsi="Verdana" w:cs="Arial"/>
                <w:sz w:val="18"/>
                <w:szCs w:val="18"/>
              </w:rPr>
              <w:t>URP/1989 – Plano Econômico. A controvérsia principal do processo reside na interpretação da coisa julgada que delimitou o pagamento do índice da URP apenas do mês de fevereiro de 1989. Contudo, em fase de liquidação a outra parte alegou que deve ser aplicado o índice de 26,05% mês a mês até sua incorporação na remuneração dos substituídos ou até sua demissão. Há possibilidade de ter decisão judicial homologando o valor histórico de R$ 359.67</w:t>
            </w:r>
            <w:r w:rsidR="00FF215F">
              <w:rPr>
                <w:rFonts w:ascii="Verdana" w:hAnsi="Verdana" w:cs="Arial"/>
                <w:sz w:val="18"/>
                <w:szCs w:val="18"/>
              </w:rPr>
              <w:t>1</w:t>
            </w:r>
            <w:r w:rsidRPr="00FD016C">
              <w:rPr>
                <w:rFonts w:ascii="Verdana" w:hAnsi="Verdana" w:cs="Arial"/>
                <w:sz w:val="18"/>
                <w:szCs w:val="18"/>
              </w:rPr>
              <w:t xml:space="preserve">, calculado pelo perito judicial em 2014. Ressalte-se que a Advocacia Geral da União – AGU ingressou nos autos. A AGU tem tese jurídica que se alinha à defesa da </w:t>
            </w:r>
            <w:r w:rsidR="007050B2">
              <w:rPr>
                <w:rFonts w:ascii="Verdana" w:hAnsi="Verdana" w:cs="Arial"/>
                <w:sz w:val="18"/>
                <w:szCs w:val="18"/>
              </w:rPr>
              <w:t>ELETRONUCLEAR</w:t>
            </w:r>
            <w:r w:rsidRPr="00FD016C">
              <w:rPr>
                <w:rFonts w:ascii="Verdana" w:hAnsi="Verdana" w:cs="Arial"/>
                <w:sz w:val="18"/>
                <w:szCs w:val="18"/>
              </w:rPr>
              <w:t xml:space="preserve">, ao explicitar que: [1] a decisão em fase de liquidação/execução que estabelece direito à incorporação da URP/1989 na remuneração dos substituídos ofende a decisão já transitada em julgado; [2] o valor exigido com base na decisão transitada em julgado, ou seja, o pagamento da URP relativa apenas ao mês de fevereiro de 1989,  já foi adimplido, por conta da existência de Acordo Coletivo pactuado em 1989, entre as partes da presente ação judicial, cujo conteúdo trata especificadamente da quitação da URP/1989. No momento há laudo emitido pelo perito do Juízo.  Em 24.11.2017 foi publicada decisão judicial para as partes se manifestarem em relação ao laudo pericial que respondeu os quesitos apresentados pela Companhia. Nesse laudo o Perito do Juízo, por amostragem, destacou que os valores indicados no acordo coletivo especifico da URP de fevereiro de 1989 foram pagos.  A última decisão publicada em diário oficial é a do dia 16.03.2018, destinada à parte autora (SENGE) para que oferte manifestação em relação a petição apresentada pela parte Ré.  Há outros andamentos processuais que constam no sítio eletrônico do Tribunal Regional do Trabalho da 1ª Região, são eles: [1] autos enviados à contadoria da Vara; [2] homologada a liquidação; [3] petição da União Federal; [4] petição do </w:t>
            </w:r>
            <w:proofErr w:type="spellStart"/>
            <w:r w:rsidRPr="00FD016C">
              <w:rPr>
                <w:rFonts w:ascii="Verdana" w:hAnsi="Verdana" w:cs="Arial"/>
                <w:sz w:val="18"/>
                <w:szCs w:val="18"/>
              </w:rPr>
              <w:t>Senge</w:t>
            </w:r>
            <w:proofErr w:type="spellEnd"/>
            <w:r w:rsidRPr="00FD016C">
              <w:rPr>
                <w:rFonts w:ascii="Verdana" w:hAnsi="Verdana" w:cs="Arial"/>
                <w:sz w:val="18"/>
                <w:szCs w:val="18"/>
              </w:rPr>
              <w:t xml:space="preserve"> com impugnação aos cálculos, todos atos processuais aos quais a Companhia ainda não foi intimada para tomar ciência. Em 29 de janeiro de 2019 foi publicada decisão para a Companhia pagar o débito ou ofertar defesa, o que inaugurou a fase de execução do processo. De toda forma, na decisão a Companhia foi isentada de ofertar bens à penhora para ajuizar eventual defesa. Em 19.07.19</w:t>
            </w:r>
            <w:r w:rsidR="007F473C" w:rsidRPr="00FD016C">
              <w:rPr>
                <w:rFonts w:ascii="Verdana" w:hAnsi="Verdana" w:cs="Arial"/>
                <w:sz w:val="18"/>
                <w:szCs w:val="18"/>
              </w:rPr>
              <w:t>,</w:t>
            </w:r>
            <w:r w:rsidRPr="00FD016C">
              <w:rPr>
                <w:rFonts w:ascii="Verdana" w:hAnsi="Verdana" w:cs="Arial"/>
                <w:sz w:val="18"/>
                <w:szCs w:val="18"/>
              </w:rPr>
              <w:t xml:space="preserve"> foi publicada decisão para a Companhia pagar honorários do perito do Juízo, o que já foi realizado. Em 04/12/2019 foram opostos embargos de declaração pela </w:t>
            </w:r>
            <w:r w:rsidR="007050B2">
              <w:rPr>
                <w:rFonts w:ascii="Verdana" w:hAnsi="Verdana" w:cs="Arial"/>
                <w:sz w:val="18"/>
                <w:szCs w:val="18"/>
              </w:rPr>
              <w:t>ELETRONUCLEAR</w:t>
            </w:r>
            <w:r w:rsidRPr="00FD016C">
              <w:rPr>
                <w:rFonts w:ascii="Verdana" w:hAnsi="Verdana" w:cs="Arial"/>
                <w:sz w:val="18"/>
                <w:szCs w:val="18"/>
              </w:rPr>
              <w:t xml:space="preserve">. Em 19/08/2021, houve a migração para o processo eletrônico, com a intimação da </w:t>
            </w:r>
            <w:r w:rsidR="007050B2">
              <w:rPr>
                <w:rFonts w:ascii="Verdana" w:hAnsi="Verdana" w:cs="Arial"/>
                <w:sz w:val="18"/>
                <w:szCs w:val="18"/>
              </w:rPr>
              <w:t>ELETRONUCLEAR</w:t>
            </w:r>
            <w:r w:rsidRPr="00FD016C">
              <w:rPr>
                <w:rFonts w:ascii="Verdana" w:hAnsi="Verdana" w:cs="Arial"/>
                <w:sz w:val="18"/>
                <w:szCs w:val="18"/>
              </w:rPr>
              <w:t xml:space="preserve"> para juntar as principais peças dos autos físicos que totalizam 48 volumes. Após, foram julgados e rejeitados os declaratórios da empresa (opostos em 2019). Na sequência, a </w:t>
            </w:r>
            <w:r w:rsidR="007050B2">
              <w:rPr>
                <w:rFonts w:ascii="Verdana" w:hAnsi="Verdana" w:cs="Arial"/>
                <w:sz w:val="18"/>
                <w:szCs w:val="18"/>
              </w:rPr>
              <w:t>ELETRONUCLEAR</w:t>
            </w:r>
            <w:r w:rsidRPr="00FD016C">
              <w:rPr>
                <w:rFonts w:ascii="Verdana" w:hAnsi="Verdana" w:cs="Arial"/>
                <w:sz w:val="18"/>
                <w:szCs w:val="18"/>
              </w:rPr>
              <w:t xml:space="preserve"> interpôs embargos à execução, ainda pendente de julgamento.</w:t>
            </w:r>
          </w:p>
        </w:tc>
        <w:tc>
          <w:tcPr>
            <w:tcW w:w="11121" w:type="dxa"/>
            <w:gridSpan w:val="4"/>
            <w:vAlign w:val="center"/>
            <w:hideMark/>
          </w:tcPr>
          <w:p w14:paraId="373F787A"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4B508C98" w14:textId="77777777" w:rsidTr="007F473C">
        <w:trPr>
          <w:trHeight w:val="532"/>
        </w:trPr>
        <w:tc>
          <w:tcPr>
            <w:tcW w:w="1474"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EF7C26"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Expectativa de Perda</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7AB191"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 xml:space="preserve">Possível </w:t>
            </w:r>
          </w:p>
        </w:tc>
        <w:tc>
          <w:tcPr>
            <w:tcW w:w="11121" w:type="dxa"/>
            <w:gridSpan w:val="4"/>
            <w:vAlign w:val="center"/>
            <w:hideMark/>
          </w:tcPr>
          <w:p w14:paraId="24FAF9DE"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0CC97CAD" w14:textId="77777777" w:rsidTr="007F473C">
        <w:trPr>
          <w:trHeight w:val="304"/>
        </w:trPr>
        <w:tc>
          <w:tcPr>
            <w:tcW w:w="1474" w:type="dxa"/>
            <w:gridSpan w:val="2"/>
            <w:noWrap/>
            <w:tcMar>
              <w:top w:w="0" w:type="dxa"/>
              <w:left w:w="70" w:type="dxa"/>
              <w:bottom w:w="0" w:type="dxa"/>
              <w:right w:w="70" w:type="dxa"/>
            </w:tcMar>
            <w:vAlign w:val="center"/>
          </w:tcPr>
          <w:p w14:paraId="6C2E7FFA" w14:textId="77777777" w:rsidR="000D3B20" w:rsidRPr="00FD016C" w:rsidRDefault="000D3B20" w:rsidP="00556D61">
            <w:pPr>
              <w:rPr>
                <w:rFonts w:ascii="Verdana" w:hAnsi="Verdana" w:cs="Arial"/>
                <w:sz w:val="18"/>
                <w:szCs w:val="18"/>
              </w:rPr>
            </w:pPr>
          </w:p>
        </w:tc>
        <w:tc>
          <w:tcPr>
            <w:tcW w:w="8284" w:type="dxa"/>
            <w:noWrap/>
            <w:tcMar>
              <w:top w:w="0" w:type="dxa"/>
              <w:left w:w="70" w:type="dxa"/>
              <w:bottom w:w="0" w:type="dxa"/>
              <w:right w:w="70" w:type="dxa"/>
            </w:tcMar>
            <w:vAlign w:val="bottom"/>
            <w:hideMark/>
          </w:tcPr>
          <w:p w14:paraId="4EF09514" w14:textId="77777777" w:rsidR="000D3B20" w:rsidRPr="00FD016C" w:rsidRDefault="000D3B20" w:rsidP="00556D61">
            <w:pPr>
              <w:rPr>
                <w:rFonts w:ascii="Verdana" w:hAnsi="Verdana" w:cs="Arial"/>
                <w:sz w:val="18"/>
                <w:szCs w:val="18"/>
              </w:rPr>
            </w:pPr>
          </w:p>
        </w:tc>
        <w:tc>
          <w:tcPr>
            <w:tcW w:w="11121" w:type="dxa"/>
            <w:gridSpan w:val="4"/>
            <w:vAlign w:val="center"/>
            <w:hideMark/>
          </w:tcPr>
          <w:p w14:paraId="7E93F275"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r>
      <w:tr w:rsidR="000D3B20" w:rsidRPr="00FD016C" w14:paraId="38A1AB8C" w14:textId="77777777" w:rsidTr="007F473C">
        <w:trPr>
          <w:trHeight w:val="319"/>
        </w:trPr>
        <w:tc>
          <w:tcPr>
            <w:tcW w:w="1474" w:type="dxa"/>
            <w:gridSpan w:val="2"/>
            <w:noWrap/>
            <w:tcMar>
              <w:top w:w="0" w:type="dxa"/>
              <w:left w:w="70" w:type="dxa"/>
              <w:bottom w:w="0" w:type="dxa"/>
              <w:right w:w="70" w:type="dxa"/>
            </w:tcMar>
            <w:vAlign w:val="center"/>
            <w:hideMark/>
          </w:tcPr>
          <w:p w14:paraId="28C0AA3A" w14:textId="77777777" w:rsidR="000D3B20" w:rsidRPr="00FD016C" w:rsidRDefault="000D3B20" w:rsidP="00556D61">
            <w:pPr>
              <w:rPr>
                <w:rFonts w:ascii="Verdana" w:hAnsi="Verdana"/>
                <w:sz w:val="18"/>
                <w:szCs w:val="18"/>
              </w:rPr>
            </w:pPr>
          </w:p>
        </w:tc>
        <w:tc>
          <w:tcPr>
            <w:tcW w:w="8284" w:type="dxa"/>
            <w:noWrap/>
            <w:tcMar>
              <w:top w:w="0" w:type="dxa"/>
              <w:left w:w="70" w:type="dxa"/>
              <w:bottom w:w="0" w:type="dxa"/>
              <w:right w:w="70" w:type="dxa"/>
            </w:tcMar>
            <w:vAlign w:val="bottom"/>
            <w:hideMark/>
          </w:tcPr>
          <w:p w14:paraId="024F4173" w14:textId="77777777" w:rsidR="000D3B20" w:rsidRPr="00FD016C" w:rsidRDefault="000D3B20" w:rsidP="00556D61">
            <w:pPr>
              <w:rPr>
                <w:rFonts w:ascii="Verdana" w:hAnsi="Verdana"/>
                <w:sz w:val="18"/>
                <w:szCs w:val="18"/>
              </w:rPr>
            </w:pPr>
          </w:p>
        </w:tc>
        <w:tc>
          <w:tcPr>
            <w:tcW w:w="11121" w:type="dxa"/>
            <w:gridSpan w:val="4"/>
            <w:vAlign w:val="center"/>
            <w:hideMark/>
          </w:tcPr>
          <w:p w14:paraId="358E8C1B"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r>
      <w:tr w:rsidR="000D3B20" w:rsidRPr="00FD016C" w14:paraId="10BFCBA0" w14:textId="77777777" w:rsidTr="000D3B20">
        <w:trPr>
          <w:trHeight w:val="510"/>
        </w:trPr>
        <w:tc>
          <w:tcPr>
            <w:tcW w:w="113" w:type="dxa"/>
            <w:vAlign w:val="center"/>
            <w:hideMark/>
          </w:tcPr>
          <w:p w14:paraId="4A27C771" w14:textId="77777777" w:rsidR="000D3B20" w:rsidRPr="00FD016C" w:rsidRDefault="000D3B20" w:rsidP="00556D61">
            <w:pPr>
              <w:rPr>
                <w:rFonts w:ascii="Verdana" w:hAnsi="Verdana"/>
                <w:sz w:val="18"/>
                <w:szCs w:val="18"/>
              </w:rPr>
            </w:pPr>
            <w:r w:rsidRPr="00FD016C">
              <w:rPr>
                <w:rFonts w:ascii="Verdana" w:hAnsi="Verdana"/>
                <w:sz w:val="18"/>
                <w:szCs w:val="18"/>
              </w:rPr>
              <w:lastRenderedPageBreak/>
              <w:t> </w:t>
            </w:r>
          </w:p>
        </w:tc>
        <w:tc>
          <w:tcPr>
            <w:tcW w:w="9645"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31B24F8" w14:textId="77777777" w:rsidR="000D3B20" w:rsidRPr="00FD016C" w:rsidRDefault="000D3B20" w:rsidP="00556D61">
            <w:pPr>
              <w:ind w:firstLine="1205"/>
              <w:rPr>
                <w:rFonts w:ascii="Verdana" w:hAnsi="Verdana" w:cs="Arial"/>
                <w:b/>
                <w:bCs/>
                <w:sz w:val="18"/>
                <w:szCs w:val="18"/>
              </w:rPr>
            </w:pPr>
            <w:r w:rsidRPr="00FD016C">
              <w:rPr>
                <w:rFonts w:ascii="Verdana" w:hAnsi="Verdana" w:cs="Arial"/>
                <w:b/>
                <w:bCs/>
                <w:sz w:val="18"/>
                <w:szCs w:val="18"/>
              </w:rPr>
              <w:t>b)   Ação Cível n. 0022780-32.2018.4.02.5101</w:t>
            </w:r>
          </w:p>
        </w:tc>
        <w:tc>
          <w:tcPr>
            <w:tcW w:w="7112" w:type="dxa"/>
            <w:gridSpan w:val="2"/>
            <w:vAlign w:val="center"/>
            <w:hideMark/>
          </w:tcPr>
          <w:p w14:paraId="73664603" w14:textId="77777777" w:rsidR="000D3B20" w:rsidRPr="00FD016C" w:rsidRDefault="000D3B20" w:rsidP="00556D61">
            <w:pPr>
              <w:rPr>
                <w:rFonts w:ascii="Verdana" w:hAnsi="Verdana" w:cs="Arial"/>
                <w:b/>
                <w:bCs/>
                <w:sz w:val="18"/>
                <w:szCs w:val="18"/>
              </w:rPr>
            </w:pPr>
          </w:p>
        </w:tc>
        <w:tc>
          <w:tcPr>
            <w:tcW w:w="3894" w:type="dxa"/>
            <w:vAlign w:val="center"/>
            <w:hideMark/>
          </w:tcPr>
          <w:p w14:paraId="3598CE1D"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4227ED1A"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35924A64" w14:textId="77777777" w:rsidTr="007F473C">
        <w:trPr>
          <w:trHeight w:val="315"/>
        </w:trPr>
        <w:tc>
          <w:tcPr>
            <w:tcW w:w="113" w:type="dxa"/>
            <w:vAlign w:val="center"/>
            <w:hideMark/>
          </w:tcPr>
          <w:p w14:paraId="28F3700D"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1E5BAC"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Instância /Juízo</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AF8AC3"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[1ª] Instância – [10ª] Vara Federal - RJ</w:t>
            </w:r>
          </w:p>
        </w:tc>
        <w:tc>
          <w:tcPr>
            <w:tcW w:w="7112" w:type="dxa"/>
            <w:gridSpan w:val="2"/>
            <w:vAlign w:val="center"/>
            <w:hideMark/>
          </w:tcPr>
          <w:p w14:paraId="226B13F0" w14:textId="77777777" w:rsidR="000D3B20" w:rsidRPr="00FD016C" w:rsidRDefault="000D3B20" w:rsidP="00556D61">
            <w:pPr>
              <w:rPr>
                <w:rFonts w:ascii="Verdana" w:hAnsi="Verdana" w:cs="Arial"/>
                <w:sz w:val="18"/>
                <w:szCs w:val="18"/>
              </w:rPr>
            </w:pPr>
          </w:p>
        </w:tc>
        <w:tc>
          <w:tcPr>
            <w:tcW w:w="3894" w:type="dxa"/>
            <w:vAlign w:val="center"/>
            <w:hideMark/>
          </w:tcPr>
          <w:p w14:paraId="00E8A167"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77849D45"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01D67877" w14:textId="77777777" w:rsidTr="007F473C">
        <w:trPr>
          <w:trHeight w:val="315"/>
        </w:trPr>
        <w:tc>
          <w:tcPr>
            <w:tcW w:w="113" w:type="dxa"/>
            <w:vAlign w:val="center"/>
            <w:hideMark/>
          </w:tcPr>
          <w:p w14:paraId="483CBA1D"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BCD7EE"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Partes</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B4A6CB"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Andrade Gutierrez S.A.</w:t>
            </w:r>
          </w:p>
        </w:tc>
        <w:tc>
          <w:tcPr>
            <w:tcW w:w="7112" w:type="dxa"/>
            <w:gridSpan w:val="2"/>
            <w:vAlign w:val="center"/>
            <w:hideMark/>
          </w:tcPr>
          <w:p w14:paraId="546F91B6" w14:textId="77777777" w:rsidR="000D3B20" w:rsidRPr="00FD016C" w:rsidRDefault="000D3B20" w:rsidP="00556D61">
            <w:pPr>
              <w:rPr>
                <w:rFonts w:ascii="Verdana" w:hAnsi="Verdana" w:cs="Arial"/>
                <w:sz w:val="18"/>
                <w:szCs w:val="18"/>
              </w:rPr>
            </w:pPr>
          </w:p>
        </w:tc>
        <w:tc>
          <w:tcPr>
            <w:tcW w:w="3894" w:type="dxa"/>
            <w:vAlign w:val="center"/>
            <w:hideMark/>
          </w:tcPr>
          <w:p w14:paraId="5735D665"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476ED461"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616CCA7D" w14:textId="77777777" w:rsidTr="007F473C">
        <w:trPr>
          <w:trHeight w:val="525"/>
        </w:trPr>
        <w:tc>
          <w:tcPr>
            <w:tcW w:w="113" w:type="dxa"/>
            <w:vAlign w:val="center"/>
            <w:hideMark/>
          </w:tcPr>
          <w:p w14:paraId="1BD81DF0"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013636"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Valores, bens ou direitos envolvidos</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89A509" w14:textId="35656D7F" w:rsidR="000D3B20" w:rsidRPr="00FD016C" w:rsidRDefault="000D3B20" w:rsidP="00996D8D">
            <w:pPr>
              <w:jc w:val="both"/>
              <w:rPr>
                <w:rFonts w:ascii="Verdana" w:hAnsi="Verdana" w:cs="Arial"/>
                <w:sz w:val="18"/>
                <w:szCs w:val="18"/>
              </w:rPr>
            </w:pPr>
            <w:r w:rsidRPr="00FD016C">
              <w:rPr>
                <w:rFonts w:ascii="Verdana" w:hAnsi="Verdana" w:cs="Arial"/>
                <w:sz w:val="18"/>
                <w:szCs w:val="18"/>
              </w:rPr>
              <w:t>Valor atualizado: R$ 165.40</w:t>
            </w:r>
            <w:r w:rsidR="00996D8D" w:rsidRPr="00FD016C">
              <w:rPr>
                <w:rFonts w:ascii="Verdana" w:hAnsi="Verdana" w:cs="Arial"/>
                <w:sz w:val="18"/>
                <w:szCs w:val="18"/>
              </w:rPr>
              <w:t>1</w:t>
            </w:r>
          </w:p>
        </w:tc>
        <w:tc>
          <w:tcPr>
            <w:tcW w:w="7112" w:type="dxa"/>
            <w:gridSpan w:val="2"/>
            <w:vAlign w:val="center"/>
            <w:hideMark/>
          </w:tcPr>
          <w:p w14:paraId="358D27EE" w14:textId="77777777" w:rsidR="000D3B20" w:rsidRPr="00FD016C" w:rsidRDefault="000D3B20" w:rsidP="00556D61">
            <w:pPr>
              <w:rPr>
                <w:rFonts w:ascii="Verdana" w:hAnsi="Verdana" w:cs="Arial"/>
                <w:sz w:val="18"/>
                <w:szCs w:val="18"/>
              </w:rPr>
            </w:pPr>
          </w:p>
        </w:tc>
        <w:tc>
          <w:tcPr>
            <w:tcW w:w="3894" w:type="dxa"/>
            <w:vAlign w:val="center"/>
            <w:hideMark/>
          </w:tcPr>
          <w:p w14:paraId="0341B141"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0A39AB49"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6547E917" w14:textId="77777777" w:rsidTr="007F473C">
        <w:trPr>
          <w:trHeight w:val="1140"/>
        </w:trPr>
        <w:tc>
          <w:tcPr>
            <w:tcW w:w="113" w:type="dxa"/>
            <w:vAlign w:val="center"/>
            <w:hideMark/>
          </w:tcPr>
          <w:p w14:paraId="25A10C5F"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vMerge w:val="restart"/>
            <w:tcBorders>
              <w:top w:val="nil"/>
              <w:left w:val="single" w:sz="8" w:space="0" w:color="auto"/>
              <w:bottom w:val="single" w:sz="8" w:space="0" w:color="000000"/>
              <w:right w:val="single" w:sz="8" w:space="0" w:color="auto"/>
            </w:tcBorders>
            <w:tcMar>
              <w:top w:w="0" w:type="dxa"/>
              <w:left w:w="70" w:type="dxa"/>
              <w:bottom w:w="0" w:type="dxa"/>
              <w:right w:w="70" w:type="dxa"/>
            </w:tcMar>
            <w:vAlign w:val="center"/>
            <w:hideMark/>
          </w:tcPr>
          <w:p w14:paraId="2E646371"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Objeto:</w:t>
            </w:r>
          </w:p>
        </w:tc>
        <w:tc>
          <w:tcPr>
            <w:tcW w:w="828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C47B21A" w14:textId="29BA8E96" w:rsidR="000D3B20" w:rsidRPr="00FD016C" w:rsidRDefault="000D3B20" w:rsidP="00556D61">
            <w:pPr>
              <w:jc w:val="both"/>
              <w:rPr>
                <w:rFonts w:ascii="Verdana" w:hAnsi="Verdana" w:cs="Arial"/>
                <w:sz w:val="18"/>
                <w:szCs w:val="18"/>
              </w:rPr>
            </w:pPr>
            <w:r w:rsidRPr="00FD016C">
              <w:rPr>
                <w:rFonts w:ascii="Verdana" w:hAnsi="Verdana" w:cs="Arial"/>
                <w:sz w:val="18"/>
                <w:szCs w:val="18"/>
              </w:rPr>
              <w:t xml:space="preserve">Trata-se de ação declaratória e condenatória, para (i) reestabelecimento do equilíbrio econômico-financeiro e recomposição de prejuízos, impedindo-se o enriquecimento ilícito da </w:t>
            </w:r>
            <w:r w:rsidR="00E10867">
              <w:rPr>
                <w:rFonts w:ascii="Verdana" w:hAnsi="Verdana" w:cs="Arial"/>
                <w:sz w:val="18"/>
                <w:szCs w:val="18"/>
              </w:rPr>
              <w:t>ELETRONUCLEAR</w:t>
            </w:r>
            <w:r w:rsidRPr="00FD016C">
              <w:rPr>
                <w:rFonts w:ascii="Verdana" w:hAnsi="Verdana" w:cs="Arial"/>
                <w:sz w:val="18"/>
                <w:szCs w:val="18"/>
              </w:rPr>
              <w:t>; (</w:t>
            </w:r>
            <w:proofErr w:type="spellStart"/>
            <w:r w:rsidRPr="00FD016C">
              <w:rPr>
                <w:rFonts w:ascii="Verdana" w:hAnsi="Verdana" w:cs="Arial"/>
                <w:sz w:val="18"/>
                <w:szCs w:val="18"/>
              </w:rPr>
              <w:t>ii</w:t>
            </w:r>
            <w:proofErr w:type="spellEnd"/>
            <w:r w:rsidRPr="00FD016C">
              <w:rPr>
                <w:rFonts w:ascii="Verdana" w:hAnsi="Verdana" w:cs="Arial"/>
                <w:sz w:val="18"/>
                <w:szCs w:val="18"/>
              </w:rPr>
              <w:t>) revogação da decisão que declarou a nulidade do Contrato e seus aditamentos; (</w:t>
            </w:r>
            <w:proofErr w:type="spellStart"/>
            <w:r w:rsidRPr="00FD016C">
              <w:rPr>
                <w:rFonts w:ascii="Verdana" w:hAnsi="Verdana" w:cs="Arial"/>
                <w:sz w:val="18"/>
                <w:szCs w:val="18"/>
              </w:rPr>
              <w:t>iii</w:t>
            </w:r>
            <w:proofErr w:type="spellEnd"/>
            <w:r w:rsidRPr="00FD016C">
              <w:rPr>
                <w:rFonts w:ascii="Verdana" w:hAnsi="Verdana" w:cs="Arial"/>
                <w:sz w:val="18"/>
                <w:szCs w:val="18"/>
              </w:rPr>
              <w:t xml:space="preserve">) reconhecimento de rescisão contratual por inadimplemento da </w:t>
            </w:r>
            <w:r w:rsidR="007050B2">
              <w:rPr>
                <w:rFonts w:ascii="Verdana" w:hAnsi="Verdana" w:cs="Arial"/>
                <w:sz w:val="18"/>
                <w:szCs w:val="18"/>
              </w:rPr>
              <w:t>ELETRONUCLEAR</w:t>
            </w:r>
            <w:r w:rsidRPr="00FD016C">
              <w:rPr>
                <w:rFonts w:ascii="Verdana" w:hAnsi="Verdana" w:cs="Arial"/>
                <w:sz w:val="18"/>
                <w:szCs w:val="18"/>
              </w:rPr>
              <w:t>; (</w:t>
            </w:r>
            <w:proofErr w:type="spellStart"/>
            <w:r w:rsidRPr="00FD016C">
              <w:rPr>
                <w:rFonts w:ascii="Verdana" w:hAnsi="Verdana" w:cs="Arial"/>
                <w:sz w:val="18"/>
                <w:szCs w:val="18"/>
              </w:rPr>
              <w:t>iv</w:t>
            </w:r>
            <w:proofErr w:type="spellEnd"/>
            <w:r w:rsidRPr="00FD016C">
              <w:rPr>
                <w:rFonts w:ascii="Verdana" w:hAnsi="Verdana" w:cs="Arial"/>
                <w:sz w:val="18"/>
                <w:szCs w:val="18"/>
              </w:rPr>
              <w:t xml:space="preserve">) cobrança dos serviços prestados pela AG e não pagos pela </w:t>
            </w:r>
            <w:r w:rsidR="007050B2">
              <w:rPr>
                <w:rFonts w:ascii="Verdana" w:hAnsi="Verdana" w:cs="Arial"/>
                <w:sz w:val="18"/>
                <w:szCs w:val="18"/>
              </w:rPr>
              <w:t>ELETRONUCLEAR</w:t>
            </w:r>
            <w:r w:rsidRPr="00FD016C">
              <w:rPr>
                <w:rFonts w:ascii="Verdana" w:hAnsi="Verdana" w:cs="Arial"/>
                <w:sz w:val="18"/>
                <w:szCs w:val="18"/>
              </w:rPr>
              <w:t>.</w:t>
            </w:r>
          </w:p>
          <w:p w14:paraId="4588774C" w14:textId="214EE67C" w:rsidR="000D3B20" w:rsidRPr="00FD016C" w:rsidRDefault="000D3B20" w:rsidP="00556D61">
            <w:pPr>
              <w:jc w:val="both"/>
              <w:rPr>
                <w:rFonts w:ascii="Verdana" w:hAnsi="Verdana" w:cs="Arial"/>
                <w:sz w:val="18"/>
                <w:szCs w:val="18"/>
              </w:rPr>
            </w:pPr>
            <w:r w:rsidRPr="00FD016C">
              <w:rPr>
                <w:rFonts w:ascii="Verdana" w:hAnsi="Verdana" w:cs="Arial"/>
                <w:sz w:val="18"/>
                <w:szCs w:val="18"/>
              </w:rPr>
              <w:t xml:space="preserve">Contestação apresentada pela </w:t>
            </w:r>
            <w:r w:rsidR="007050B2">
              <w:rPr>
                <w:rFonts w:ascii="Verdana" w:hAnsi="Verdana" w:cs="Arial"/>
                <w:sz w:val="18"/>
                <w:szCs w:val="18"/>
              </w:rPr>
              <w:t>ELETRONUCLEAR</w:t>
            </w:r>
            <w:r w:rsidRPr="00FD016C">
              <w:rPr>
                <w:rFonts w:ascii="Verdana" w:hAnsi="Verdana" w:cs="Arial"/>
                <w:sz w:val="18"/>
                <w:szCs w:val="18"/>
              </w:rPr>
              <w:t xml:space="preserve"> em 16.05.18. Réplica pela AG em 10.08.18.</w:t>
            </w:r>
          </w:p>
          <w:p w14:paraId="1F556F02" w14:textId="5913A2BC" w:rsidR="000D3B20" w:rsidRPr="00FD016C" w:rsidRDefault="000D3B20" w:rsidP="007050B2">
            <w:pPr>
              <w:jc w:val="both"/>
              <w:rPr>
                <w:rFonts w:ascii="Verdana" w:hAnsi="Verdana" w:cs="Arial"/>
                <w:sz w:val="18"/>
                <w:szCs w:val="18"/>
              </w:rPr>
            </w:pPr>
            <w:r w:rsidRPr="00FD016C">
              <w:rPr>
                <w:rFonts w:ascii="Verdana" w:hAnsi="Verdana" w:cs="Arial"/>
                <w:sz w:val="18"/>
                <w:szCs w:val="18"/>
              </w:rPr>
              <w:t xml:space="preserve">Despacho do juiz determinando às partes que especifiquem as provas a serem produzidas. Em 07.01.2020, o juiz proferiu despacho determinando a suspensão do processo até a decisão final da ação de ressarcimento proposta pela </w:t>
            </w:r>
            <w:r w:rsidR="007050B2">
              <w:rPr>
                <w:rFonts w:ascii="Verdana" w:hAnsi="Verdana" w:cs="Arial"/>
                <w:sz w:val="18"/>
                <w:szCs w:val="18"/>
              </w:rPr>
              <w:t>ELETRONUCLEAR</w:t>
            </w:r>
            <w:r w:rsidRPr="00FD016C">
              <w:rPr>
                <w:rFonts w:ascii="Verdana" w:hAnsi="Verdana" w:cs="Arial"/>
                <w:sz w:val="18"/>
                <w:szCs w:val="18"/>
              </w:rPr>
              <w:t xml:space="preserve"> em face da Andrade Gutierrez. Em 27.01.2020, a Andrade ofereceu embargos de declaração requerendo o acolhimento do seu recurso para que a ação movida pela </w:t>
            </w:r>
            <w:r w:rsidR="007050B2">
              <w:rPr>
                <w:rFonts w:ascii="Verdana" w:hAnsi="Verdana" w:cs="Arial"/>
                <w:sz w:val="18"/>
                <w:szCs w:val="18"/>
              </w:rPr>
              <w:t>ELETRONUCLEAR</w:t>
            </w:r>
            <w:r w:rsidRPr="00FD016C">
              <w:rPr>
                <w:rFonts w:ascii="Verdana" w:hAnsi="Verdana" w:cs="Arial"/>
                <w:sz w:val="18"/>
                <w:szCs w:val="18"/>
              </w:rPr>
              <w:t xml:space="preserve"> em face da AG seja suspensa alegando que a ação que move contra a </w:t>
            </w:r>
            <w:r w:rsidR="007050B2">
              <w:rPr>
                <w:rFonts w:ascii="Verdana" w:hAnsi="Verdana" w:cs="Arial"/>
                <w:sz w:val="18"/>
                <w:szCs w:val="18"/>
              </w:rPr>
              <w:t>ELETRONUCLEAR</w:t>
            </w:r>
            <w:r w:rsidRPr="00FD016C">
              <w:rPr>
                <w:rFonts w:ascii="Verdana" w:hAnsi="Verdana" w:cs="Arial"/>
                <w:sz w:val="18"/>
                <w:szCs w:val="18"/>
              </w:rPr>
              <w:t xml:space="preserve"> é prejudicial àquela. Em 17.12.2020: Despacho Saneador. Determinação de prova pericial. </w:t>
            </w:r>
          </w:p>
        </w:tc>
        <w:tc>
          <w:tcPr>
            <w:tcW w:w="7112" w:type="dxa"/>
            <w:gridSpan w:val="2"/>
            <w:vAlign w:val="center"/>
            <w:hideMark/>
          </w:tcPr>
          <w:p w14:paraId="2B9075BF" w14:textId="77777777" w:rsidR="000D3B20" w:rsidRPr="00FD016C" w:rsidRDefault="000D3B20" w:rsidP="00556D61">
            <w:pPr>
              <w:rPr>
                <w:rFonts w:ascii="Verdana" w:hAnsi="Verdana" w:cs="Arial"/>
                <w:sz w:val="18"/>
                <w:szCs w:val="18"/>
              </w:rPr>
            </w:pPr>
          </w:p>
        </w:tc>
        <w:tc>
          <w:tcPr>
            <w:tcW w:w="3894" w:type="dxa"/>
            <w:vAlign w:val="center"/>
            <w:hideMark/>
          </w:tcPr>
          <w:p w14:paraId="6001E7F1"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442BF44C"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526D78E3" w14:textId="77777777" w:rsidTr="007F473C">
        <w:trPr>
          <w:trHeight w:val="230"/>
        </w:trPr>
        <w:tc>
          <w:tcPr>
            <w:tcW w:w="113" w:type="dxa"/>
            <w:vAlign w:val="center"/>
            <w:hideMark/>
          </w:tcPr>
          <w:p w14:paraId="12C5FD43"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vMerge/>
            <w:tcBorders>
              <w:top w:val="nil"/>
              <w:left w:val="single" w:sz="8" w:space="0" w:color="auto"/>
              <w:bottom w:val="single" w:sz="8" w:space="0" w:color="000000"/>
              <w:right w:val="single" w:sz="8" w:space="0" w:color="auto"/>
            </w:tcBorders>
            <w:vAlign w:val="center"/>
            <w:hideMark/>
          </w:tcPr>
          <w:p w14:paraId="5091A804" w14:textId="77777777" w:rsidR="000D3B20" w:rsidRPr="00FD016C" w:rsidRDefault="000D3B20" w:rsidP="00556D61">
            <w:pPr>
              <w:rPr>
                <w:rFonts w:ascii="Verdana" w:eastAsiaTheme="minorHAnsi" w:hAnsi="Verdana" w:cs="Arial"/>
                <w:b/>
                <w:bCs/>
                <w:sz w:val="18"/>
                <w:szCs w:val="18"/>
                <w:lang w:eastAsia="en-US"/>
              </w:rPr>
            </w:pPr>
          </w:p>
        </w:tc>
        <w:tc>
          <w:tcPr>
            <w:tcW w:w="8284" w:type="dxa"/>
            <w:vMerge/>
            <w:tcBorders>
              <w:top w:val="nil"/>
              <w:left w:val="nil"/>
              <w:bottom w:val="single" w:sz="8" w:space="0" w:color="000000"/>
              <w:right w:val="single" w:sz="8" w:space="0" w:color="auto"/>
            </w:tcBorders>
            <w:vAlign w:val="center"/>
            <w:hideMark/>
          </w:tcPr>
          <w:p w14:paraId="7EE76F86" w14:textId="77777777" w:rsidR="000D3B20" w:rsidRPr="00FD016C" w:rsidRDefault="000D3B20" w:rsidP="00556D61">
            <w:pPr>
              <w:rPr>
                <w:rFonts w:ascii="Verdana" w:eastAsiaTheme="minorHAnsi" w:hAnsi="Verdana" w:cs="Arial"/>
                <w:sz w:val="18"/>
                <w:szCs w:val="18"/>
                <w:lang w:eastAsia="en-US"/>
              </w:rPr>
            </w:pPr>
          </w:p>
        </w:tc>
        <w:tc>
          <w:tcPr>
            <w:tcW w:w="7112" w:type="dxa"/>
            <w:gridSpan w:val="2"/>
            <w:vAlign w:val="center"/>
            <w:hideMark/>
          </w:tcPr>
          <w:p w14:paraId="0FAE723A" w14:textId="77777777" w:rsidR="000D3B20" w:rsidRPr="00FD016C" w:rsidRDefault="000D3B20" w:rsidP="00556D61">
            <w:pPr>
              <w:rPr>
                <w:rFonts w:ascii="Verdana" w:hAnsi="Verdana"/>
                <w:sz w:val="18"/>
                <w:szCs w:val="18"/>
              </w:rPr>
            </w:pPr>
          </w:p>
        </w:tc>
        <w:tc>
          <w:tcPr>
            <w:tcW w:w="3894" w:type="dxa"/>
            <w:vAlign w:val="center"/>
            <w:hideMark/>
          </w:tcPr>
          <w:p w14:paraId="3260C901"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460BEC1A"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78B9B21B" w14:textId="77777777" w:rsidTr="007F473C">
        <w:trPr>
          <w:trHeight w:val="510"/>
        </w:trPr>
        <w:tc>
          <w:tcPr>
            <w:tcW w:w="113" w:type="dxa"/>
            <w:vAlign w:val="center"/>
            <w:hideMark/>
          </w:tcPr>
          <w:p w14:paraId="4CC37554" w14:textId="77777777" w:rsidR="000D3B20" w:rsidRPr="00FD016C" w:rsidRDefault="000D3B20" w:rsidP="00556D61">
            <w:pPr>
              <w:rPr>
                <w:rFonts w:ascii="Verdana" w:hAnsi="Verdana"/>
                <w:sz w:val="18"/>
                <w:szCs w:val="18"/>
              </w:rPr>
            </w:pPr>
            <w:r w:rsidRPr="00FD016C">
              <w:rPr>
                <w:rFonts w:ascii="Verdana" w:hAnsi="Verdana"/>
                <w:sz w:val="18"/>
                <w:szCs w:val="18"/>
              </w:rPr>
              <w:t> </w:t>
            </w:r>
          </w:p>
        </w:tc>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7901B1"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Expectativa de Perda</w:t>
            </w:r>
          </w:p>
        </w:tc>
        <w:tc>
          <w:tcPr>
            <w:tcW w:w="828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42A58A"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Possível</w:t>
            </w:r>
          </w:p>
        </w:tc>
        <w:tc>
          <w:tcPr>
            <w:tcW w:w="7112" w:type="dxa"/>
            <w:gridSpan w:val="2"/>
            <w:vAlign w:val="center"/>
            <w:hideMark/>
          </w:tcPr>
          <w:p w14:paraId="09D5687E" w14:textId="77777777" w:rsidR="000D3B20" w:rsidRPr="00FD016C" w:rsidRDefault="000D3B20" w:rsidP="00556D61">
            <w:pPr>
              <w:rPr>
                <w:rFonts w:ascii="Verdana" w:hAnsi="Verdana" w:cs="Arial"/>
                <w:sz w:val="18"/>
                <w:szCs w:val="18"/>
              </w:rPr>
            </w:pPr>
          </w:p>
        </w:tc>
        <w:tc>
          <w:tcPr>
            <w:tcW w:w="3894" w:type="dxa"/>
            <w:vAlign w:val="center"/>
            <w:hideMark/>
          </w:tcPr>
          <w:p w14:paraId="5B166215" w14:textId="77777777" w:rsidR="000D3B20" w:rsidRPr="00FD016C" w:rsidRDefault="000D3B20" w:rsidP="00556D61">
            <w:pPr>
              <w:rPr>
                <w:rFonts w:ascii="Verdana" w:eastAsiaTheme="minorHAnsi" w:hAnsi="Verdana"/>
                <w:sz w:val="18"/>
                <w:szCs w:val="18"/>
                <w:lang w:eastAsia="en-US"/>
              </w:rPr>
            </w:pPr>
            <w:r w:rsidRPr="00FD016C">
              <w:rPr>
                <w:rFonts w:ascii="Verdana" w:hAnsi="Verdana"/>
                <w:sz w:val="18"/>
                <w:szCs w:val="18"/>
              </w:rPr>
              <w:t> </w:t>
            </w:r>
          </w:p>
        </w:tc>
        <w:tc>
          <w:tcPr>
            <w:tcW w:w="115" w:type="dxa"/>
            <w:vAlign w:val="center"/>
            <w:hideMark/>
          </w:tcPr>
          <w:p w14:paraId="04BD9996" w14:textId="77777777" w:rsidR="000D3B20" w:rsidRPr="00FD016C" w:rsidRDefault="000D3B20" w:rsidP="00556D61">
            <w:pPr>
              <w:rPr>
                <w:rFonts w:ascii="Verdana" w:hAnsi="Verdana"/>
                <w:sz w:val="18"/>
                <w:szCs w:val="18"/>
              </w:rPr>
            </w:pPr>
            <w:r w:rsidRPr="00FD016C">
              <w:rPr>
                <w:rFonts w:ascii="Verdana" w:hAnsi="Verdana"/>
                <w:sz w:val="18"/>
                <w:szCs w:val="18"/>
              </w:rPr>
              <w:t> </w:t>
            </w:r>
          </w:p>
        </w:tc>
      </w:tr>
      <w:tr w:rsidR="000D3B20" w:rsidRPr="00FD016C" w14:paraId="6122C894" w14:textId="77777777" w:rsidTr="007F473C">
        <w:trPr>
          <w:gridBefore w:val="1"/>
          <w:gridAfter w:val="3"/>
          <w:wBefore w:w="113" w:type="dxa"/>
          <w:wAfter w:w="10976" w:type="dxa"/>
          <w:trHeight w:val="270"/>
        </w:trPr>
        <w:tc>
          <w:tcPr>
            <w:tcW w:w="1361" w:type="dxa"/>
            <w:noWrap/>
            <w:tcMar>
              <w:top w:w="0" w:type="dxa"/>
              <w:left w:w="70" w:type="dxa"/>
              <w:bottom w:w="0" w:type="dxa"/>
              <w:right w:w="70" w:type="dxa"/>
            </w:tcMar>
            <w:vAlign w:val="center"/>
            <w:hideMark/>
          </w:tcPr>
          <w:p w14:paraId="1FF2935C" w14:textId="77777777" w:rsidR="000D3B20" w:rsidRPr="00FD016C" w:rsidRDefault="000D3B20" w:rsidP="00556D61">
            <w:pPr>
              <w:rPr>
                <w:rFonts w:ascii="Verdana" w:hAnsi="Verdana"/>
                <w:sz w:val="18"/>
                <w:szCs w:val="18"/>
              </w:rPr>
            </w:pPr>
          </w:p>
          <w:p w14:paraId="716706DC" w14:textId="77777777" w:rsidR="000D3B20" w:rsidRPr="00FD016C" w:rsidRDefault="000D3B20" w:rsidP="00556D61">
            <w:pPr>
              <w:rPr>
                <w:rFonts w:ascii="Verdana" w:hAnsi="Verdana"/>
                <w:sz w:val="18"/>
                <w:szCs w:val="18"/>
              </w:rPr>
            </w:pPr>
          </w:p>
        </w:tc>
        <w:tc>
          <w:tcPr>
            <w:tcW w:w="8429" w:type="dxa"/>
            <w:gridSpan w:val="2"/>
            <w:noWrap/>
            <w:tcMar>
              <w:top w:w="0" w:type="dxa"/>
              <w:left w:w="70" w:type="dxa"/>
              <w:bottom w:w="0" w:type="dxa"/>
              <w:right w:w="70" w:type="dxa"/>
            </w:tcMar>
            <w:vAlign w:val="bottom"/>
            <w:hideMark/>
          </w:tcPr>
          <w:p w14:paraId="187F27B3" w14:textId="77777777" w:rsidR="000D3B20" w:rsidRPr="00FD016C" w:rsidRDefault="000D3B20" w:rsidP="00556D61">
            <w:pPr>
              <w:rPr>
                <w:rFonts w:ascii="Verdana" w:hAnsi="Verdana"/>
                <w:sz w:val="18"/>
                <w:szCs w:val="18"/>
              </w:rPr>
            </w:pPr>
          </w:p>
        </w:tc>
      </w:tr>
      <w:tr w:rsidR="000D3B20" w:rsidRPr="00FD016C" w14:paraId="58148E7B" w14:textId="77777777" w:rsidTr="000D3B20">
        <w:trPr>
          <w:gridBefore w:val="1"/>
          <w:gridAfter w:val="3"/>
          <w:wBefore w:w="113" w:type="dxa"/>
          <w:wAfter w:w="10976" w:type="dxa"/>
          <w:trHeight w:val="578"/>
        </w:trPr>
        <w:tc>
          <w:tcPr>
            <w:tcW w:w="9790" w:type="dxa"/>
            <w:gridSpan w:val="3"/>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E75CBB5" w14:textId="77777777" w:rsidR="000D3B20" w:rsidRPr="00FD016C" w:rsidRDefault="000D3B20" w:rsidP="00556D61">
            <w:pPr>
              <w:ind w:firstLine="1004"/>
              <w:rPr>
                <w:rFonts w:ascii="Verdana" w:eastAsiaTheme="minorHAnsi" w:hAnsi="Verdana" w:cs="Arial"/>
                <w:b/>
                <w:bCs/>
                <w:sz w:val="18"/>
                <w:szCs w:val="18"/>
                <w:lang w:eastAsia="en-US"/>
              </w:rPr>
            </w:pPr>
            <w:r w:rsidRPr="00FD016C">
              <w:rPr>
                <w:rFonts w:ascii="Verdana" w:hAnsi="Verdana" w:cs="Arial"/>
                <w:b/>
                <w:bCs/>
                <w:sz w:val="18"/>
                <w:szCs w:val="18"/>
              </w:rPr>
              <w:t>c)    Ação Ambiental n. 5000837-67.2020.4.02.5111</w:t>
            </w:r>
          </w:p>
        </w:tc>
      </w:tr>
      <w:tr w:rsidR="000D3B20" w:rsidRPr="00FD016C" w14:paraId="468B849D" w14:textId="77777777" w:rsidTr="007F473C">
        <w:trPr>
          <w:gridBefore w:val="1"/>
          <w:gridAfter w:val="3"/>
          <w:wBefore w:w="113" w:type="dxa"/>
          <w:wAfter w:w="10976" w:type="dxa"/>
          <w:trHeight w:val="450"/>
        </w:trPr>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AAF993"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Instância /Juízo</w:t>
            </w:r>
          </w:p>
        </w:tc>
        <w:tc>
          <w:tcPr>
            <w:tcW w:w="842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5353DAA"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1ª Vara Federal de Angra dos Reis</w:t>
            </w:r>
          </w:p>
        </w:tc>
      </w:tr>
      <w:tr w:rsidR="000D3B20" w:rsidRPr="00FD016C" w14:paraId="54309B17" w14:textId="77777777" w:rsidTr="007F473C">
        <w:trPr>
          <w:gridBefore w:val="1"/>
          <w:gridAfter w:val="3"/>
          <w:wBefore w:w="113" w:type="dxa"/>
          <w:wAfter w:w="10976" w:type="dxa"/>
          <w:trHeight w:val="270"/>
        </w:trPr>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16B5D6A"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Partes</w:t>
            </w:r>
          </w:p>
        </w:tc>
        <w:tc>
          <w:tcPr>
            <w:tcW w:w="8429"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3EEB984E" w14:textId="42D0AD08" w:rsidR="000D3B20" w:rsidRPr="00FD016C" w:rsidRDefault="000D3B20" w:rsidP="00556D61">
            <w:pPr>
              <w:jc w:val="both"/>
              <w:rPr>
                <w:rFonts w:ascii="Verdana" w:hAnsi="Verdana" w:cs="Arial"/>
                <w:sz w:val="18"/>
                <w:szCs w:val="18"/>
              </w:rPr>
            </w:pPr>
            <w:r w:rsidRPr="00FD016C">
              <w:rPr>
                <w:rFonts w:ascii="Verdana" w:hAnsi="Verdana"/>
                <w:color w:val="000000"/>
                <w:sz w:val="18"/>
                <w:szCs w:val="18"/>
              </w:rPr>
              <w:t xml:space="preserve">Ministério Público Federal de </w:t>
            </w:r>
            <w:proofErr w:type="spellStart"/>
            <w:r w:rsidRPr="00FD016C">
              <w:rPr>
                <w:rFonts w:ascii="Verdana" w:hAnsi="Verdana"/>
                <w:color w:val="000000"/>
                <w:sz w:val="18"/>
                <w:szCs w:val="18"/>
              </w:rPr>
              <w:t>Guarulho</w:t>
            </w:r>
            <w:proofErr w:type="spellEnd"/>
            <w:r w:rsidRPr="00FD016C">
              <w:rPr>
                <w:rFonts w:ascii="Verdana" w:hAnsi="Verdana"/>
                <w:color w:val="000000"/>
                <w:sz w:val="18"/>
                <w:szCs w:val="18"/>
              </w:rPr>
              <w:t xml:space="preserve">/Mogi </w:t>
            </w:r>
            <w:r w:rsidRPr="00FD016C">
              <w:rPr>
                <w:rFonts w:ascii="Verdana" w:hAnsi="Verdana" w:cs="Arial"/>
                <w:sz w:val="18"/>
                <w:szCs w:val="18"/>
              </w:rPr>
              <w:t xml:space="preserve">x </w:t>
            </w:r>
            <w:r w:rsidR="007050B2">
              <w:rPr>
                <w:rFonts w:ascii="Verdana" w:hAnsi="Verdana" w:cs="Arial"/>
                <w:sz w:val="18"/>
                <w:szCs w:val="18"/>
              </w:rPr>
              <w:t>ELETRONUCLEAR</w:t>
            </w:r>
            <w:r w:rsidRPr="00FD016C">
              <w:rPr>
                <w:rFonts w:ascii="Verdana" w:hAnsi="Verdana" w:cs="Arial"/>
                <w:sz w:val="18"/>
                <w:szCs w:val="18"/>
              </w:rPr>
              <w:t xml:space="preserve"> (Reclamada)</w:t>
            </w:r>
          </w:p>
          <w:p w14:paraId="6F3EB848" w14:textId="77777777" w:rsidR="000D3B20" w:rsidRPr="00FD016C" w:rsidRDefault="000D3B20" w:rsidP="00556D61">
            <w:pPr>
              <w:jc w:val="both"/>
              <w:rPr>
                <w:rFonts w:ascii="Verdana" w:hAnsi="Verdana" w:cs="Arial"/>
                <w:sz w:val="18"/>
                <w:szCs w:val="18"/>
              </w:rPr>
            </w:pPr>
          </w:p>
        </w:tc>
      </w:tr>
      <w:tr w:rsidR="000D3B20" w:rsidRPr="00FD016C" w14:paraId="5AAB08DC" w14:textId="77777777" w:rsidTr="007F473C">
        <w:trPr>
          <w:gridBefore w:val="1"/>
          <w:gridAfter w:val="3"/>
          <w:wBefore w:w="113" w:type="dxa"/>
          <w:wAfter w:w="10976" w:type="dxa"/>
          <w:trHeight w:val="450"/>
        </w:trPr>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BAA1C9"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Valores, bens ou direitos envolvidos</w:t>
            </w:r>
          </w:p>
        </w:tc>
        <w:tc>
          <w:tcPr>
            <w:tcW w:w="8429"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7DDD9374" w14:textId="77777777" w:rsidR="000D3B20" w:rsidRPr="00FD016C" w:rsidRDefault="000D3B20" w:rsidP="00556D61">
            <w:pPr>
              <w:jc w:val="both"/>
              <w:rPr>
                <w:rFonts w:ascii="Verdana" w:hAnsi="Verdana" w:cs="Arial"/>
                <w:sz w:val="18"/>
                <w:szCs w:val="18"/>
              </w:rPr>
            </w:pPr>
          </w:p>
          <w:p w14:paraId="386EB783" w14:textId="5F21DB1D" w:rsidR="000D3B20" w:rsidRPr="00FD016C" w:rsidRDefault="000D3B20" w:rsidP="00556D61">
            <w:pPr>
              <w:jc w:val="both"/>
              <w:rPr>
                <w:rFonts w:ascii="Verdana" w:hAnsi="Verdana" w:cs="Arial"/>
                <w:sz w:val="18"/>
                <w:szCs w:val="18"/>
              </w:rPr>
            </w:pPr>
            <w:r w:rsidRPr="00FD016C">
              <w:rPr>
                <w:rFonts w:ascii="Verdana" w:hAnsi="Verdana" w:cs="Arial"/>
                <w:sz w:val="18"/>
                <w:szCs w:val="18"/>
              </w:rPr>
              <w:t>R$ 30.168</w:t>
            </w:r>
          </w:p>
          <w:p w14:paraId="0A82E580" w14:textId="77777777" w:rsidR="000D3B20" w:rsidRPr="00FD016C" w:rsidRDefault="000D3B20" w:rsidP="00556D61">
            <w:pPr>
              <w:jc w:val="both"/>
              <w:rPr>
                <w:rFonts w:ascii="Verdana" w:hAnsi="Verdana" w:cs="Arial"/>
                <w:sz w:val="18"/>
                <w:szCs w:val="18"/>
              </w:rPr>
            </w:pPr>
          </w:p>
        </w:tc>
      </w:tr>
      <w:tr w:rsidR="000D3B20" w:rsidRPr="00FD016C" w14:paraId="61279F42" w14:textId="77777777" w:rsidTr="007F473C">
        <w:trPr>
          <w:gridBefore w:val="1"/>
          <w:gridAfter w:val="3"/>
          <w:wBefore w:w="113" w:type="dxa"/>
          <w:wAfter w:w="10976" w:type="dxa"/>
          <w:trHeight w:val="2493"/>
        </w:trPr>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FC3F3"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Objeto:</w:t>
            </w:r>
          </w:p>
        </w:tc>
        <w:tc>
          <w:tcPr>
            <w:tcW w:w="842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68D2DED" w14:textId="24F8D917" w:rsidR="000D3B20" w:rsidRPr="00FD016C" w:rsidRDefault="000D3B20" w:rsidP="00E10867">
            <w:pPr>
              <w:jc w:val="both"/>
              <w:rPr>
                <w:rFonts w:ascii="Verdana" w:hAnsi="Verdana" w:cs="Arial"/>
                <w:bCs/>
                <w:color w:val="FF0000"/>
                <w:sz w:val="18"/>
                <w:szCs w:val="18"/>
              </w:rPr>
            </w:pPr>
            <w:r w:rsidRPr="00FD016C">
              <w:rPr>
                <w:rFonts w:ascii="Verdana" w:hAnsi="Verdana" w:cs="Arial"/>
                <w:bCs/>
                <w:sz w:val="18"/>
                <w:szCs w:val="18"/>
              </w:rPr>
              <w:t xml:space="preserve">ACP proposta pelo MPF em face da </w:t>
            </w:r>
            <w:r w:rsidR="00E10867">
              <w:rPr>
                <w:rFonts w:ascii="Verdana" w:hAnsi="Verdana" w:cs="Arial"/>
                <w:bCs/>
                <w:sz w:val="18"/>
                <w:szCs w:val="18"/>
              </w:rPr>
              <w:t>ELETRONUCLEAR</w:t>
            </w:r>
            <w:r w:rsidRPr="00FD016C">
              <w:rPr>
                <w:rFonts w:ascii="Verdana" w:hAnsi="Verdana" w:cs="Arial"/>
                <w:bCs/>
                <w:sz w:val="18"/>
                <w:szCs w:val="18"/>
              </w:rPr>
              <w:t xml:space="preserve"> e IBAMA, alegando descumprimento das condicionantes socioambientais da LP e da LI de Angra 3 e objetivando a anulação/não concessão de novas licenças de instalação e operação até que todas as condicionantes da LP sejam cumpridas. O juízo da 1ª Vara Federal de Angra dos Reis vem marcando audiências periódicas para se inteirar das providências tomadas pela </w:t>
            </w:r>
            <w:r w:rsidR="007050B2">
              <w:rPr>
                <w:rFonts w:ascii="Verdana" w:hAnsi="Verdana" w:cs="Arial"/>
                <w:bCs/>
                <w:sz w:val="18"/>
                <w:szCs w:val="18"/>
              </w:rPr>
              <w:t>ELETRONUCLEAR</w:t>
            </w:r>
            <w:r w:rsidRPr="00FD016C">
              <w:rPr>
                <w:rFonts w:ascii="Verdana" w:hAnsi="Verdana" w:cs="Arial"/>
                <w:bCs/>
                <w:sz w:val="18"/>
                <w:szCs w:val="18"/>
              </w:rPr>
              <w:t xml:space="preserve"> e pelo IBAMA quanto às condicionantes, com vistas à celebração de um acordo judicial. A próxima audiência está marcada para 25/11/2021. Ainda não há decisão.</w:t>
            </w:r>
          </w:p>
        </w:tc>
      </w:tr>
      <w:tr w:rsidR="000D3B20" w:rsidRPr="00FD016C" w14:paraId="387C4E37" w14:textId="77777777" w:rsidTr="007F473C">
        <w:trPr>
          <w:gridBefore w:val="1"/>
          <w:gridAfter w:val="3"/>
          <w:wBefore w:w="113" w:type="dxa"/>
          <w:wAfter w:w="10976" w:type="dxa"/>
          <w:trHeight w:val="501"/>
        </w:trPr>
        <w:tc>
          <w:tcPr>
            <w:tcW w:w="13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158FBA"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Expectativa de Perda</w:t>
            </w:r>
          </w:p>
        </w:tc>
        <w:tc>
          <w:tcPr>
            <w:tcW w:w="842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E37A9DC"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Possível</w:t>
            </w:r>
          </w:p>
        </w:tc>
      </w:tr>
    </w:tbl>
    <w:p w14:paraId="13D16009" w14:textId="77777777" w:rsidR="000D3B20" w:rsidRPr="00FD016C" w:rsidRDefault="000D3B20" w:rsidP="000D3B20">
      <w:pPr>
        <w:rPr>
          <w:rFonts w:ascii="Calibri" w:eastAsiaTheme="minorHAnsi" w:hAnsi="Calibri"/>
          <w:sz w:val="22"/>
          <w:szCs w:val="22"/>
          <w:lang w:eastAsia="en-US"/>
        </w:rPr>
      </w:pPr>
    </w:p>
    <w:tbl>
      <w:tblPr>
        <w:tblW w:w="9769" w:type="dxa"/>
        <w:tblInd w:w="2" w:type="dxa"/>
        <w:tblCellMar>
          <w:left w:w="0" w:type="dxa"/>
          <w:right w:w="0" w:type="dxa"/>
        </w:tblCellMar>
        <w:tblLook w:val="04A0" w:firstRow="1" w:lastRow="0" w:firstColumn="1" w:lastColumn="0" w:noHBand="0" w:noVBand="1"/>
      </w:tblPr>
      <w:tblGrid>
        <w:gridCol w:w="1548"/>
        <w:gridCol w:w="8221"/>
      </w:tblGrid>
      <w:tr w:rsidR="000D3B20" w:rsidRPr="00FD016C" w14:paraId="4A69B4E0" w14:textId="77777777" w:rsidTr="007F473C">
        <w:trPr>
          <w:trHeight w:val="645"/>
        </w:trPr>
        <w:tc>
          <w:tcPr>
            <w:tcW w:w="9769" w:type="dxa"/>
            <w:gridSpan w:val="2"/>
            <w:tcBorders>
              <w:top w:val="single" w:sz="8" w:space="0" w:color="auto"/>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25DFAC1" w14:textId="77777777" w:rsidR="000D3B20" w:rsidRPr="00FD016C" w:rsidRDefault="000D3B20" w:rsidP="00556D61">
            <w:pPr>
              <w:ind w:firstLine="1004"/>
              <w:rPr>
                <w:rFonts w:ascii="Verdana" w:hAnsi="Verdana" w:cs="Arial"/>
                <w:b/>
                <w:bCs/>
                <w:sz w:val="18"/>
                <w:szCs w:val="18"/>
              </w:rPr>
            </w:pPr>
            <w:r w:rsidRPr="00FD016C">
              <w:rPr>
                <w:rFonts w:ascii="Verdana" w:hAnsi="Verdana" w:cs="Arial"/>
                <w:b/>
                <w:bCs/>
                <w:sz w:val="18"/>
                <w:szCs w:val="18"/>
              </w:rPr>
              <w:lastRenderedPageBreak/>
              <w:t>d)    Ação Ambiental n. 5000859-28.2020.4.01.5111</w:t>
            </w:r>
          </w:p>
        </w:tc>
      </w:tr>
      <w:tr w:rsidR="000D3B20" w:rsidRPr="00FD016C" w14:paraId="7020C1A2" w14:textId="77777777" w:rsidTr="007F473C">
        <w:trPr>
          <w:trHeight w:val="315"/>
        </w:trPr>
        <w:tc>
          <w:tcPr>
            <w:tcW w:w="15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4CCB64"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Instância /Juízo</w:t>
            </w:r>
          </w:p>
        </w:tc>
        <w:tc>
          <w:tcPr>
            <w:tcW w:w="8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23A940" w14:textId="77777777" w:rsidR="000D3B20" w:rsidRPr="00FD016C" w:rsidRDefault="000D3B20" w:rsidP="00556D61">
            <w:pPr>
              <w:rPr>
                <w:rFonts w:ascii="Verdana" w:hAnsi="Verdana" w:cs="Arial"/>
                <w:b/>
                <w:bCs/>
                <w:sz w:val="18"/>
                <w:szCs w:val="18"/>
              </w:rPr>
            </w:pPr>
          </w:p>
        </w:tc>
      </w:tr>
      <w:tr w:rsidR="000D3B20" w:rsidRPr="00FD016C" w14:paraId="32A9BA91" w14:textId="77777777" w:rsidTr="007F473C">
        <w:trPr>
          <w:trHeight w:val="525"/>
        </w:trPr>
        <w:tc>
          <w:tcPr>
            <w:tcW w:w="15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B14556" w14:textId="77777777" w:rsidR="000D3B20" w:rsidRPr="00FD016C" w:rsidRDefault="000D3B20" w:rsidP="00556D61">
            <w:pPr>
              <w:rPr>
                <w:rFonts w:ascii="Verdana" w:eastAsiaTheme="minorHAnsi" w:hAnsi="Verdana" w:cs="Arial"/>
                <w:b/>
                <w:bCs/>
                <w:sz w:val="18"/>
                <w:szCs w:val="18"/>
                <w:lang w:eastAsia="en-US"/>
              </w:rPr>
            </w:pPr>
            <w:r w:rsidRPr="00FD016C">
              <w:rPr>
                <w:rFonts w:ascii="Verdana" w:hAnsi="Verdana" w:cs="Arial"/>
                <w:b/>
                <w:bCs/>
                <w:sz w:val="18"/>
                <w:szCs w:val="18"/>
              </w:rPr>
              <w:t>Partes</w:t>
            </w:r>
          </w:p>
        </w:tc>
        <w:tc>
          <w:tcPr>
            <w:tcW w:w="8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BDB3DC"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MPF- Ministério Público Federal</w:t>
            </w:r>
          </w:p>
        </w:tc>
      </w:tr>
      <w:tr w:rsidR="000D3B20" w:rsidRPr="00FD016C" w14:paraId="206D8DB2" w14:textId="77777777" w:rsidTr="007F473C">
        <w:trPr>
          <w:trHeight w:val="525"/>
        </w:trPr>
        <w:tc>
          <w:tcPr>
            <w:tcW w:w="15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6716A2"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Valores, bens ou direitos envolvidos</w:t>
            </w:r>
          </w:p>
        </w:tc>
        <w:tc>
          <w:tcPr>
            <w:tcW w:w="8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DC030A" w14:textId="4576472D" w:rsidR="000D3B20" w:rsidRPr="00FD016C" w:rsidRDefault="000D3B20" w:rsidP="00996D8D">
            <w:pPr>
              <w:jc w:val="both"/>
              <w:rPr>
                <w:rFonts w:ascii="Verdana" w:hAnsi="Verdana" w:cs="Arial"/>
                <w:sz w:val="18"/>
                <w:szCs w:val="18"/>
              </w:rPr>
            </w:pPr>
            <w:r w:rsidRPr="00FD016C">
              <w:rPr>
                <w:rFonts w:ascii="Verdana" w:hAnsi="Verdana" w:cs="Arial"/>
                <w:sz w:val="18"/>
                <w:szCs w:val="18"/>
              </w:rPr>
              <w:t>Valor atualizado: R$ 240.601</w:t>
            </w:r>
          </w:p>
        </w:tc>
      </w:tr>
      <w:tr w:rsidR="000D3B20" w:rsidRPr="00FD016C" w14:paraId="61E23A98" w14:textId="77777777" w:rsidTr="007F473C">
        <w:trPr>
          <w:trHeight w:val="2295"/>
        </w:trPr>
        <w:tc>
          <w:tcPr>
            <w:tcW w:w="15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5E1B145"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Objeto:</w:t>
            </w:r>
          </w:p>
        </w:tc>
        <w:tc>
          <w:tcPr>
            <w:tcW w:w="8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5A621B"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ACP proposta pelo Ministério Público Federal em face da ELETRONUCLEAR, COMISSÃO NACIONAL DE ENERGIA NUCLEAR- CNEN e INSTITUTO BRASILEIRO DO MEIO AMBIENTE E DOS RECURSOS NATURAIS RENOVÁVEIS - IBAMA objetivando a declaração de nulidade das licenças concedidas à 1ª RÉ para o desenvolvimento da UNIDADE DE ARMAZENAMENTO COMPLEMENTAR A SECO - UAS da Central Nuclear Almirante Álvaro Alberto – CNAAA.</w:t>
            </w:r>
          </w:p>
          <w:p w14:paraId="4C728EEF" w14:textId="5262C521" w:rsidR="000D3B20" w:rsidRPr="00FD016C" w:rsidRDefault="000D3B20" w:rsidP="007050B2">
            <w:pPr>
              <w:jc w:val="both"/>
              <w:rPr>
                <w:rFonts w:ascii="Verdana" w:hAnsi="Verdana" w:cs="Arial"/>
                <w:sz w:val="18"/>
                <w:szCs w:val="18"/>
              </w:rPr>
            </w:pPr>
            <w:r w:rsidRPr="00FD016C">
              <w:rPr>
                <w:rFonts w:ascii="Verdana" w:hAnsi="Verdana" w:cs="Arial"/>
                <w:sz w:val="18"/>
                <w:szCs w:val="18"/>
              </w:rPr>
              <w:t xml:space="preserve">Em 21.01.2021: Apresentação de contestação pela </w:t>
            </w:r>
            <w:r w:rsidR="007050B2">
              <w:rPr>
                <w:rFonts w:ascii="Verdana" w:hAnsi="Verdana" w:cs="Arial"/>
                <w:sz w:val="18"/>
                <w:szCs w:val="18"/>
              </w:rPr>
              <w:t>ELETRONUCLEAR</w:t>
            </w:r>
            <w:r w:rsidRPr="00FD016C">
              <w:rPr>
                <w:rFonts w:ascii="Verdana" w:hAnsi="Verdana" w:cs="Arial"/>
                <w:sz w:val="18"/>
                <w:szCs w:val="18"/>
              </w:rPr>
              <w:t>.</w:t>
            </w:r>
            <w:r w:rsidRPr="00FD016C">
              <w:rPr>
                <w:rFonts w:ascii="Verdana" w:hAnsi="Verdana"/>
                <w:sz w:val="18"/>
                <w:szCs w:val="18"/>
              </w:rPr>
              <w:t xml:space="preserve"> </w:t>
            </w:r>
            <w:r w:rsidRPr="00FD016C">
              <w:rPr>
                <w:rFonts w:ascii="Verdana" w:hAnsi="Verdana" w:cs="Arial"/>
                <w:sz w:val="18"/>
                <w:szCs w:val="18"/>
              </w:rPr>
              <w:t xml:space="preserve">Realizada audiência em 03.02.2021, sem acordo. Em 18.02.2021, a liminar que impedia a transferência dos elementos combustíveis usados para a UAS foi revogada. Em primeira instância, os autos foram encaminhados para saneamento. Em segunda instância, houve a apresentação de agravo de instrumento contra a decisão de revogação da liminar por associação ambiental. Em 23.04.2021, o recurso foi respondido pela </w:t>
            </w:r>
            <w:r w:rsidR="007050B2">
              <w:rPr>
                <w:rFonts w:ascii="Verdana" w:hAnsi="Verdana" w:cs="Arial"/>
                <w:sz w:val="18"/>
                <w:szCs w:val="18"/>
              </w:rPr>
              <w:t>E</w:t>
            </w:r>
            <w:r w:rsidR="00E10867">
              <w:rPr>
                <w:rFonts w:ascii="Verdana" w:hAnsi="Verdana" w:cs="Arial"/>
                <w:sz w:val="18"/>
                <w:szCs w:val="18"/>
              </w:rPr>
              <w:t>LETRONUCLEAR.</w:t>
            </w:r>
            <w:r w:rsidRPr="00FD016C">
              <w:rPr>
                <w:rFonts w:ascii="Verdana" w:hAnsi="Verdana"/>
                <w:sz w:val="18"/>
                <w:szCs w:val="18"/>
              </w:rPr>
              <w:t xml:space="preserve">  </w:t>
            </w:r>
          </w:p>
        </w:tc>
      </w:tr>
      <w:tr w:rsidR="000D3B20" w:rsidRPr="00FD016C" w14:paraId="3B15EE7F" w14:textId="77777777" w:rsidTr="007F473C">
        <w:trPr>
          <w:trHeight w:val="555"/>
        </w:trPr>
        <w:tc>
          <w:tcPr>
            <w:tcW w:w="15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EB5E8" w14:textId="77777777" w:rsidR="000D3B20" w:rsidRPr="00FD016C" w:rsidRDefault="000D3B20" w:rsidP="00556D61">
            <w:pPr>
              <w:rPr>
                <w:rFonts w:ascii="Verdana" w:hAnsi="Verdana" w:cs="Arial"/>
                <w:b/>
                <w:bCs/>
                <w:sz w:val="18"/>
                <w:szCs w:val="18"/>
              </w:rPr>
            </w:pPr>
            <w:r w:rsidRPr="00FD016C">
              <w:rPr>
                <w:rFonts w:ascii="Verdana" w:hAnsi="Verdana" w:cs="Arial"/>
                <w:b/>
                <w:bCs/>
                <w:sz w:val="18"/>
                <w:szCs w:val="18"/>
              </w:rPr>
              <w:t>Expectativa de Perda</w:t>
            </w:r>
          </w:p>
        </w:tc>
        <w:tc>
          <w:tcPr>
            <w:tcW w:w="82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55334" w14:textId="77777777" w:rsidR="000D3B20" w:rsidRPr="00FD016C" w:rsidRDefault="000D3B20" w:rsidP="00556D61">
            <w:pPr>
              <w:jc w:val="both"/>
              <w:rPr>
                <w:rFonts w:ascii="Verdana" w:hAnsi="Verdana" w:cs="Arial"/>
                <w:sz w:val="18"/>
                <w:szCs w:val="18"/>
              </w:rPr>
            </w:pPr>
            <w:r w:rsidRPr="00FD016C">
              <w:rPr>
                <w:rFonts w:ascii="Verdana" w:hAnsi="Verdana" w:cs="Arial"/>
                <w:sz w:val="18"/>
                <w:szCs w:val="18"/>
              </w:rPr>
              <w:t>Possível</w:t>
            </w:r>
          </w:p>
        </w:tc>
      </w:tr>
    </w:tbl>
    <w:p w14:paraId="5AEA52D5" w14:textId="77777777" w:rsidR="000D3B20" w:rsidRPr="00FD016C" w:rsidRDefault="000D3B20" w:rsidP="000D3B20">
      <w:pPr>
        <w:widowControl/>
        <w:spacing w:line="240" w:lineRule="auto"/>
        <w:jc w:val="both"/>
        <w:rPr>
          <w:rFonts w:ascii="Verdana" w:hAnsi="Verdana"/>
          <w:sz w:val="20"/>
          <w:szCs w:val="20"/>
        </w:rPr>
      </w:pPr>
    </w:p>
    <w:p w14:paraId="3F3E8E2D" w14:textId="2DCE64E4" w:rsidR="000D3B20" w:rsidRPr="00FD016C" w:rsidRDefault="000D3B20" w:rsidP="000D3B20">
      <w:pPr>
        <w:widowControl/>
        <w:spacing w:line="240" w:lineRule="auto"/>
        <w:jc w:val="both"/>
        <w:rPr>
          <w:rFonts w:ascii="Verdana" w:hAnsi="Verdana"/>
          <w:sz w:val="20"/>
          <w:szCs w:val="20"/>
        </w:rPr>
      </w:pPr>
      <w:r w:rsidRPr="00FD016C">
        <w:rPr>
          <w:rFonts w:ascii="Verdana" w:hAnsi="Verdana"/>
          <w:sz w:val="20"/>
          <w:szCs w:val="20"/>
        </w:rPr>
        <w:t xml:space="preserve">Os processos de contingência ativa com expectativa de ganho provável para retorno de caixa à ELETRONUCLEAR referentes a processos tributários federais e outros de natureza cível, e não reconhecidos nas demonstrações </w:t>
      </w:r>
      <w:r w:rsidRPr="00FD016C">
        <w:rPr>
          <w:rFonts w:ascii="Verdana" w:hAnsi="Verdana" w:cs="Arial"/>
          <w:sz w:val="20"/>
          <w:szCs w:val="20"/>
        </w:rPr>
        <w:t>financeiras</w:t>
      </w:r>
      <w:r w:rsidRPr="00FD016C">
        <w:rPr>
          <w:rFonts w:ascii="Verdana" w:hAnsi="Verdana"/>
          <w:sz w:val="20"/>
          <w:szCs w:val="20"/>
        </w:rPr>
        <w:t>, apresentam o montante de R$ 7</w:t>
      </w:r>
      <w:r w:rsidR="00996D8D" w:rsidRPr="00FD016C">
        <w:rPr>
          <w:rFonts w:ascii="Verdana" w:hAnsi="Verdana"/>
          <w:sz w:val="20"/>
          <w:szCs w:val="20"/>
        </w:rPr>
        <w:t>68.</w:t>
      </w:r>
      <w:r w:rsidRPr="00FD016C">
        <w:rPr>
          <w:rFonts w:ascii="Verdana" w:hAnsi="Verdana"/>
          <w:sz w:val="20"/>
          <w:szCs w:val="20"/>
        </w:rPr>
        <w:t xml:space="preserve"> </w:t>
      </w:r>
    </w:p>
    <w:p w14:paraId="5DE1281E" w14:textId="77777777" w:rsidR="000D3B20" w:rsidRPr="00FD016C" w:rsidRDefault="000D3B20" w:rsidP="000D3B20">
      <w:pPr>
        <w:widowControl/>
        <w:spacing w:line="240" w:lineRule="auto"/>
        <w:jc w:val="both"/>
        <w:rPr>
          <w:rFonts w:ascii="Verdana" w:hAnsi="Verdana"/>
          <w:sz w:val="20"/>
          <w:szCs w:val="20"/>
        </w:rPr>
      </w:pPr>
    </w:p>
    <w:p w14:paraId="074CE62D" w14:textId="77777777" w:rsidR="0070445B" w:rsidRPr="00FD016C" w:rsidRDefault="0070445B" w:rsidP="0070445B">
      <w:pPr>
        <w:rPr>
          <w:rFonts w:ascii="Verdana" w:eastAsiaTheme="minorHAnsi" w:hAnsi="Verdana" w:cs="Calibri"/>
          <w:color w:val="000000"/>
          <w:sz w:val="20"/>
          <w:szCs w:val="20"/>
          <w:lang w:eastAsia="en-US"/>
        </w:rPr>
      </w:pPr>
    </w:p>
    <w:p w14:paraId="171E73D0" w14:textId="77777777" w:rsidR="00A16C43" w:rsidRPr="00FD016C" w:rsidRDefault="00A16C43" w:rsidP="005144E2">
      <w:pPr>
        <w:widowControl/>
        <w:tabs>
          <w:tab w:val="center" w:pos="4419"/>
          <w:tab w:val="right" w:pos="8838"/>
        </w:tabs>
        <w:rPr>
          <w:rFonts w:ascii="Verdana" w:hAnsi="Verdana" w:cs="Arial"/>
          <w:b/>
          <w:color w:val="0070C0"/>
        </w:rPr>
      </w:pPr>
      <w:r w:rsidRPr="00FD016C">
        <w:rPr>
          <w:rFonts w:ascii="Verdana" w:hAnsi="Verdana" w:cs="Arial"/>
          <w:b/>
          <w:color w:val="0070C0"/>
        </w:rPr>
        <w:t>b) Movimentação</w:t>
      </w:r>
    </w:p>
    <w:p w14:paraId="064DA9DD" w14:textId="135B9C48" w:rsidR="00A16C43" w:rsidRPr="00FD016C" w:rsidRDefault="00A16C43" w:rsidP="005144E2">
      <w:pPr>
        <w:widowControl/>
        <w:tabs>
          <w:tab w:val="center" w:pos="4419"/>
          <w:tab w:val="right" w:pos="8838"/>
        </w:tabs>
        <w:rPr>
          <w:rFonts w:ascii="Verdana" w:hAnsi="Verdana" w:cs="Arial"/>
          <w:b/>
          <w:sz w:val="20"/>
          <w:szCs w:val="20"/>
        </w:rPr>
      </w:pPr>
    </w:p>
    <w:p w14:paraId="170411F1" w14:textId="170751B8" w:rsidR="00055740" w:rsidRPr="00FD016C" w:rsidRDefault="0057444C" w:rsidP="005144E2">
      <w:pPr>
        <w:widowControl/>
        <w:tabs>
          <w:tab w:val="center" w:pos="4419"/>
          <w:tab w:val="right" w:pos="8838"/>
        </w:tabs>
        <w:rPr>
          <w:rFonts w:ascii="Verdana" w:hAnsi="Verdana" w:cs="Arial"/>
          <w:sz w:val="20"/>
          <w:szCs w:val="20"/>
        </w:rPr>
      </w:pPr>
      <w:r w:rsidRPr="00FD016C">
        <w:rPr>
          <w:noProof/>
        </w:rPr>
        <w:drawing>
          <wp:inline distT="0" distB="0" distL="0" distR="0" wp14:anchorId="22369EFB" wp14:editId="5ED13A5B">
            <wp:extent cx="6073140" cy="1369235"/>
            <wp:effectExtent l="0" t="0" r="3810" b="2540"/>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73140" cy="1369235"/>
                    </a:xfrm>
                    <a:prstGeom prst="rect">
                      <a:avLst/>
                    </a:prstGeom>
                    <a:noFill/>
                    <a:ln>
                      <a:noFill/>
                    </a:ln>
                  </pic:spPr>
                </pic:pic>
              </a:graphicData>
            </a:graphic>
          </wp:inline>
        </w:drawing>
      </w:r>
    </w:p>
    <w:p w14:paraId="198D8FE7" w14:textId="77777777" w:rsidR="00653F0F" w:rsidRPr="00FD016C" w:rsidRDefault="00653F0F" w:rsidP="005144E2">
      <w:pPr>
        <w:widowControl/>
        <w:tabs>
          <w:tab w:val="center" w:pos="4419"/>
          <w:tab w:val="right" w:pos="8838"/>
        </w:tabs>
        <w:rPr>
          <w:rFonts w:ascii="Verdana" w:hAnsi="Verdana" w:cs="Arial"/>
          <w:sz w:val="20"/>
          <w:szCs w:val="20"/>
        </w:rPr>
      </w:pPr>
    </w:p>
    <w:p w14:paraId="5BADBC6D" w14:textId="77777777" w:rsidR="00996629" w:rsidRPr="00FD016C" w:rsidRDefault="00996629" w:rsidP="005144E2">
      <w:pPr>
        <w:widowControl/>
        <w:tabs>
          <w:tab w:val="center" w:pos="4419"/>
          <w:tab w:val="right" w:pos="8838"/>
        </w:tabs>
        <w:rPr>
          <w:rFonts w:ascii="Verdana" w:hAnsi="Verdana" w:cs="Arial"/>
          <w:sz w:val="20"/>
          <w:szCs w:val="20"/>
        </w:rPr>
      </w:pPr>
    </w:p>
    <w:p w14:paraId="53E5F133" w14:textId="77777777" w:rsidR="007F473C" w:rsidRPr="00FD016C" w:rsidRDefault="007F473C" w:rsidP="005144E2">
      <w:pPr>
        <w:widowControl/>
        <w:tabs>
          <w:tab w:val="center" w:pos="4419"/>
          <w:tab w:val="right" w:pos="8838"/>
        </w:tabs>
        <w:rPr>
          <w:rFonts w:ascii="Verdana" w:hAnsi="Verdana" w:cs="Arial"/>
          <w:sz w:val="20"/>
          <w:szCs w:val="20"/>
        </w:rPr>
      </w:pPr>
    </w:p>
    <w:p w14:paraId="376304C6" w14:textId="33C688D2" w:rsidR="007F473C" w:rsidRPr="00FD016C" w:rsidRDefault="007F473C" w:rsidP="005144E2">
      <w:pPr>
        <w:widowControl/>
        <w:tabs>
          <w:tab w:val="center" w:pos="4419"/>
          <w:tab w:val="right" w:pos="8838"/>
        </w:tabs>
        <w:rPr>
          <w:rFonts w:ascii="Verdana" w:hAnsi="Verdana" w:cs="Arial"/>
          <w:sz w:val="20"/>
          <w:szCs w:val="20"/>
        </w:rPr>
      </w:pPr>
    </w:p>
    <w:p w14:paraId="627BAAD7" w14:textId="7B52E0AF" w:rsidR="00A7024B" w:rsidRPr="00FD016C" w:rsidRDefault="00A7024B" w:rsidP="005144E2">
      <w:pPr>
        <w:widowControl/>
        <w:tabs>
          <w:tab w:val="center" w:pos="4419"/>
          <w:tab w:val="right" w:pos="8838"/>
        </w:tabs>
        <w:rPr>
          <w:rFonts w:ascii="Verdana" w:hAnsi="Verdana" w:cs="Arial"/>
          <w:sz w:val="20"/>
          <w:szCs w:val="20"/>
        </w:rPr>
      </w:pPr>
    </w:p>
    <w:p w14:paraId="358283C0" w14:textId="1B0ECE56" w:rsidR="00A7024B" w:rsidRPr="00FD016C" w:rsidRDefault="00A7024B" w:rsidP="005144E2">
      <w:pPr>
        <w:widowControl/>
        <w:tabs>
          <w:tab w:val="center" w:pos="4419"/>
          <w:tab w:val="right" w:pos="8838"/>
        </w:tabs>
        <w:rPr>
          <w:rFonts w:ascii="Verdana" w:hAnsi="Verdana" w:cs="Arial"/>
          <w:sz w:val="20"/>
          <w:szCs w:val="20"/>
        </w:rPr>
      </w:pPr>
    </w:p>
    <w:p w14:paraId="220E733D" w14:textId="584AB717" w:rsidR="00A7024B" w:rsidRPr="00FD016C" w:rsidRDefault="00A7024B" w:rsidP="005144E2">
      <w:pPr>
        <w:widowControl/>
        <w:tabs>
          <w:tab w:val="center" w:pos="4419"/>
          <w:tab w:val="right" w:pos="8838"/>
        </w:tabs>
        <w:rPr>
          <w:rFonts w:ascii="Verdana" w:hAnsi="Verdana" w:cs="Arial"/>
          <w:sz w:val="20"/>
          <w:szCs w:val="20"/>
        </w:rPr>
      </w:pPr>
    </w:p>
    <w:p w14:paraId="455ECB17" w14:textId="77777777" w:rsidR="00A7024B" w:rsidRPr="00FD016C" w:rsidRDefault="00A7024B" w:rsidP="005144E2">
      <w:pPr>
        <w:widowControl/>
        <w:tabs>
          <w:tab w:val="center" w:pos="4419"/>
          <w:tab w:val="right" w:pos="8838"/>
        </w:tabs>
        <w:rPr>
          <w:rFonts w:ascii="Verdana" w:hAnsi="Verdana" w:cs="Arial"/>
          <w:sz w:val="20"/>
          <w:szCs w:val="20"/>
        </w:rPr>
      </w:pPr>
    </w:p>
    <w:p w14:paraId="6CBAF233" w14:textId="77777777" w:rsidR="007F473C" w:rsidRPr="00FD016C" w:rsidRDefault="007F473C" w:rsidP="005144E2">
      <w:pPr>
        <w:widowControl/>
        <w:tabs>
          <w:tab w:val="center" w:pos="4419"/>
          <w:tab w:val="right" w:pos="8838"/>
        </w:tabs>
        <w:rPr>
          <w:rFonts w:ascii="Verdana" w:hAnsi="Verdana" w:cs="Arial"/>
          <w:sz w:val="20"/>
          <w:szCs w:val="20"/>
        </w:rPr>
      </w:pPr>
    </w:p>
    <w:p w14:paraId="5AEA794D" w14:textId="77777777" w:rsidR="007F473C" w:rsidRPr="00FD016C" w:rsidRDefault="007F473C" w:rsidP="005144E2">
      <w:pPr>
        <w:widowControl/>
        <w:tabs>
          <w:tab w:val="center" w:pos="4419"/>
          <w:tab w:val="right" w:pos="8838"/>
        </w:tabs>
        <w:rPr>
          <w:rFonts w:ascii="Verdana" w:hAnsi="Verdana" w:cs="Arial"/>
          <w:sz w:val="20"/>
          <w:szCs w:val="20"/>
        </w:rPr>
      </w:pPr>
    </w:p>
    <w:p w14:paraId="703C52AA" w14:textId="77777777" w:rsidR="007F473C" w:rsidRPr="00FD016C" w:rsidRDefault="007F473C" w:rsidP="005144E2">
      <w:pPr>
        <w:widowControl/>
        <w:tabs>
          <w:tab w:val="center" w:pos="4419"/>
          <w:tab w:val="right" w:pos="8838"/>
        </w:tabs>
        <w:rPr>
          <w:rFonts w:ascii="Verdana" w:hAnsi="Verdana" w:cs="Arial"/>
          <w:sz w:val="20"/>
          <w:szCs w:val="20"/>
        </w:rPr>
      </w:pPr>
    </w:p>
    <w:p w14:paraId="655613CD" w14:textId="77777777" w:rsidR="003F4719" w:rsidRPr="00FD016C" w:rsidRDefault="003F4719" w:rsidP="005144E2">
      <w:pPr>
        <w:widowControl/>
        <w:tabs>
          <w:tab w:val="center" w:pos="4419"/>
          <w:tab w:val="right" w:pos="8838"/>
        </w:tabs>
        <w:rPr>
          <w:rFonts w:ascii="Verdana" w:hAnsi="Verdana" w:cs="Arial"/>
          <w:b/>
          <w:color w:val="0070C0"/>
          <w:sz w:val="26"/>
          <w:szCs w:val="26"/>
        </w:rPr>
      </w:pPr>
      <w:r w:rsidRPr="00FD016C">
        <w:rPr>
          <w:rFonts w:ascii="Verdana" w:hAnsi="Verdana" w:cs="Arial"/>
          <w:b/>
          <w:color w:val="0070C0"/>
          <w:sz w:val="26"/>
          <w:szCs w:val="26"/>
        </w:rPr>
        <w:lastRenderedPageBreak/>
        <w:t>NOTA 2</w:t>
      </w:r>
      <w:r w:rsidR="0002361E" w:rsidRPr="00FD016C">
        <w:rPr>
          <w:rFonts w:ascii="Verdana" w:hAnsi="Verdana" w:cs="Arial"/>
          <w:b/>
          <w:color w:val="0070C0"/>
          <w:sz w:val="26"/>
          <w:szCs w:val="26"/>
        </w:rPr>
        <w:t>4</w:t>
      </w:r>
      <w:r w:rsidRPr="00FD016C">
        <w:rPr>
          <w:rFonts w:ascii="Verdana" w:hAnsi="Verdana" w:cs="Arial"/>
          <w:b/>
          <w:color w:val="0070C0"/>
          <w:sz w:val="26"/>
          <w:szCs w:val="26"/>
        </w:rPr>
        <w:t xml:space="preserve"> – OBRIGAÇÃO PARA DESMOBILIZAÇÃO DE ATIVOS</w:t>
      </w:r>
    </w:p>
    <w:p w14:paraId="32429E41" w14:textId="77777777" w:rsidR="001B6E08" w:rsidRPr="00FD016C" w:rsidRDefault="001B6E08" w:rsidP="005144E2">
      <w:pPr>
        <w:widowControl/>
        <w:tabs>
          <w:tab w:val="center" w:pos="4419"/>
          <w:tab w:val="right" w:pos="8838"/>
        </w:tabs>
        <w:rPr>
          <w:rFonts w:ascii="Verdana" w:hAnsi="Verdana" w:cs="Arial"/>
          <w:b/>
          <w:sz w:val="20"/>
          <w:szCs w:val="20"/>
        </w:rPr>
      </w:pPr>
    </w:p>
    <w:p w14:paraId="40BDE3FA" w14:textId="77777777" w:rsidR="003E40A9" w:rsidRPr="00FD016C" w:rsidRDefault="003E40A9" w:rsidP="005144E2">
      <w:pPr>
        <w:widowControl/>
        <w:tabs>
          <w:tab w:val="center" w:pos="4419"/>
          <w:tab w:val="right" w:pos="8838"/>
        </w:tabs>
        <w:rPr>
          <w:rFonts w:ascii="Arial" w:hAnsi="Arial" w:cs="Arial"/>
          <w:b/>
        </w:rPr>
      </w:pPr>
    </w:p>
    <w:p w14:paraId="4FDFC8C8" w14:textId="47058854" w:rsidR="003F4719" w:rsidRPr="00FD016C" w:rsidRDefault="006E0442" w:rsidP="005144E2">
      <w:pPr>
        <w:widowControl/>
        <w:tabs>
          <w:tab w:val="center" w:pos="4419"/>
          <w:tab w:val="right" w:pos="8838"/>
        </w:tabs>
        <w:rPr>
          <w:rFonts w:ascii="Verdana" w:hAnsi="Verdana" w:cs="Arial"/>
          <w:b/>
          <w:color w:val="0070C0"/>
          <w:u w:val="single"/>
        </w:rPr>
      </w:pPr>
      <w:r w:rsidRPr="00FD016C">
        <w:rPr>
          <w:rFonts w:ascii="Verdana" w:hAnsi="Verdana" w:cs="Arial"/>
          <w:b/>
          <w:color w:val="0070C0"/>
          <w:u w:val="single"/>
        </w:rPr>
        <w:t xml:space="preserve">24.1 </w:t>
      </w:r>
      <w:proofErr w:type="spellStart"/>
      <w:r w:rsidR="003F4719" w:rsidRPr="00FD016C">
        <w:rPr>
          <w:rFonts w:ascii="Verdana" w:hAnsi="Verdana" w:cs="Arial"/>
          <w:b/>
          <w:color w:val="0070C0"/>
          <w:u w:val="single"/>
        </w:rPr>
        <w:t>Descomissionamento</w:t>
      </w:r>
      <w:proofErr w:type="spellEnd"/>
    </w:p>
    <w:p w14:paraId="57268E20" w14:textId="77777777" w:rsidR="003F4719" w:rsidRPr="00FD016C" w:rsidRDefault="003F4719" w:rsidP="005144E2">
      <w:pPr>
        <w:widowControl/>
        <w:tabs>
          <w:tab w:val="center" w:pos="4419"/>
          <w:tab w:val="right" w:pos="8838"/>
        </w:tabs>
        <w:jc w:val="both"/>
        <w:rPr>
          <w:rFonts w:ascii="Verdana" w:hAnsi="Verdana" w:cs="Arial"/>
          <w:b/>
          <w:sz w:val="20"/>
          <w:szCs w:val="20"/>
        </w:rPr>
      </w:pPr>
    </w:p>
    <w:p w14:paraId="7D2749EC" w14:textId="2AB7C35D"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pode ser entendido como um conjunto de medidas tomadas para retirar de serviço, com segurança, uma instalação nuclear, reduzindo a radioatividade residual a níveis que permitam liberar o local para uso restrito ou irrestrito.</w:t>
      </w:r>
    </w:p>
    <w:p w14:paraId="68AACC2A" w14:textId="77777777" w:rsidR="00E46F27" w:rsidRPr="00FD016C" w:rsidRDefault="00E46F27" w:rsidP="005144E2">
      <w:pPr>
        <w:widowControl/>
        <w:tabs>
          <w:tab w:val="center" w:pos="4419"/>
          <w:tab w:val="right" w:pos="8838"/>
        </w:tabs>
        <w:jc w:val="both"/>
        <w:rPr>
          <w:rFonts w:ascii="Verdana" w:hAnsi="Verdana" w:cs="Arial"/>
          <w:sz w:val="20"/>
          <w:szCs w:val="20"/>
        </w:rPr>
      </w:pPr>
    </w:p>
    <w:p w14:paraId="2DF12C7D" w14:textId="77777777" w:rsidR="00E46F27" w:rsidRPr="00FD016C" w:rsidRDefault="00E46F27" w:rsidP="005144E2">
      <w:pPr>
        <w:widowControl/>
        <w:tabs>
          <w:tab w:val="center" w:pos="4419"/>
          <w:tab w:val="right" w:pos="8838"/>
        </w:tabs>
        <w:jc w:val="both"/>
        <w:rPr>
          <w:rFonts w:ascii="Verdana" w:hAnsi="Verdana" w:cs="Arial"/>
          <w:sz w:val="20"/>
          <w:szCs w:val="20"/>
        </w:rPr>
      </w:pPr>
    </w:p>
    <w:p w14:paraId="0206B3EF" w14:textId="455661B3" w:rsidR="0068309E" w:rsidRPr="00FD016C" w:rsidRDefault="0068309E" w:rsidP="006E0442">
      <w:pPr>
        <w:pStyle w:val="PargrafodaLista"/>
        <w:widowControl/>
        <w:numPr>
          <w:ilvl w:val="0"/>
          <w:numId w:val="38"/>
        </w:numPr>
        <w:tabs>
          <w:tab w:val="center" w:pos="993"/>
          <w:tab w:val="right" w:pos="8838"/>
        </w:tabs>
        <w:ind w:left="426" w:hanging="426"/>
        <w:jc w:val="both"/>
        <w:rPr>
          <w:rFonts w:ascii="Verdana" w:hAnsi="Verdana" w:cs="Arial"/>
          <w:b/>
          <w:color w:val="0070C0"/>
        </w:rPr>
      </w:pPr>
      <w:r w:rsidRPr="00FD016C">
        <w:rPr>
          <w:rFonts w:ascii="Verdana" w:hAnsi="Verdana" w:cs="Arial"/>
          <w:b/>
          <w:color w:val="0070C0"/>
        </w:rPr>
        <w:t>Constituição do Passivo par</w:t>
      </w:r>
      <w:r w:rsidR="006B7489" w:rsidRPr="00FD016C">
        <w:rPr>
          <w:rFonts w:ascii="Verdana" w:hAnsi="Verdana" w:cs="Arial"/>
          <w:b/>
          <w:color w:val="0070C0"/>
        </w:rPr>
        <w:t xml:space="preserve">a </w:t>
      </w:r>
      <w:proofErr w:type="spellStart"/>
      <w:r w:rsidR="006B7489" w:rsidRPr="00FD016C">
        <w:rPr>
          <w:rFonts w:ascii="Verdana" w:hAnsi="Verdana" w:cs="Arial"/>
          <w:b/>
          <w:color w:val="0070C0"/>
        </w:rPr>
        <w:t>D</w:t>
      </w:r>
      <w:r w:rsidRPr="00FD016C">
        <w:rPr>
          <w:rFonts w:ascii="Verdana" w:hAnsi="Verdana" w:cs="Arial"/>
          <w:b/>
          <w:color w:val="0070C0"/>
        </w:rPr>
        <w:t>escomissionamento</w:t>
      </w:r>
      <w:proofErr w:type="spellEnd"/>
    </w:p>
    <w:p w14:paraId="563183F5" w14:textId="77777777" w:rsidR="0068309E" w:rsidRPr="00FD016C" w:rsidRDefault="0068309E" w:rsidP="005144E2">
      <w:pPr>
        <w:widowControl/>
        <w:tabs>
          <w:tab w:val="center" w:pos="4419"/>
          <w:tab w:val="right" w:pos="8838"/>
        </w:tabs>
        <w:jc w:val="both"/>
        <w:rPr>
          <w:rFonts w:ascii="Verdana" w:hAnsi="Verdana" w:cs="Arial"/>
          <w:sz w:val="20"/>
          <w:szCs w:val="20"/>
        </w:rPr>
      </w:pPr>
    </w:p>
    <w:p w14:paraId="44A02752" w14:textId="77777777" w:rsidR="0068309E" w:rsidRPr="00FD016C" w:rsidRDefault="0068309E"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de usinas nucleares refere-se à obrigação para desmobilização dos ativos dessas usinas para fazer face aos custos a serem incorridos ao final da vida útil econômica das mesmas. </w:t>
      </w:r>
    </w:p>
    <w:p w14:paraId="4F11530C" w14:textId="77777777" w:rsidR="0068309E" w:rsidRPr="00FD016C" w:rsidRDefault="0068309E" w:rsidP="005144E2">
      <w:pPr>
        <w:widowControl/>
        <w:tabs>
          <w:tab w:val="center" w:pos="4419"/>
          <w:tab w:val="right" w:pos="8838"/>
        </w:tabs>
        <w:jc w:val="both"/>
        <w:rPr>
          <w:rFonts w:ascii="Verdana" w:hAnsi="Verdana" w:cs="Arial"/>
          <w:sz w:val="20"/>
          <w:szCs w:val="20"/>
        </w:rPr>
      </w:pPr>
    </w:p>
    <w:p w14:paraId="66ABE087" w14:textId="1210D4A6" w:rsidR="003F4719" w:rsidRPr="00FD016C" w:rsidRDefault="003F4719" w:rsidP="005144E2">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É premissa fundamental para a formação desse passivo para o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que o valor estimado para a sua realização deva ser atualizado ao longo da vida útil econômica das usinas, considerando os avanços tecnológicos, com o objetivo de alocar ao respectivo período de competência da operação, os custos a serem incorridos com a desativação técnico-operacional das usinas. </w:t>
      </w:r>
    </w:p>
    <w:p w14:paraId="2ABAB0A9" w14:textId="371778D8" w:rsidR="00C87A09" w:rsidRPr="00FD016C" w:rsidRDefault="00C87A09" w:rsidP="005144E2">
      <w:pPr>
        <w:widowControl/>
        <w:tabs>
          <w:tab w:val="center" w:pos="4419"/>
          <w:tab w:val="right" w:pos="8838"/>
        </w:tabs>
        <w:jc w:val="both"/>
        <w:rPr>
          <w:rFonts w:ascii="Verdana" w:hAnsi="Verdana" w:cs="Arial"/>
          <w:sz w:val="20"/>
          <w:szCs w:val="20"/>
        </w:rPr>
      </w:pPr>
    </w:p>
    <w:p w14:paraId="61BAE7F8" w14:textId="3D33EC13" w:rsidR="00C87A09" w:rsidRPr="00FD016C" w:rsidRDefault="00C87A09" w:rsidP="00C87A09">
      <w:pPr>
        <w:widowControl/>
        <w:tabs>
          <w:tab w:val="center" w:pos="4419"/>
          <w:tab w:val="right" w:pos="8838"/>
        </w:tabs>
        <w:jc w:val="both"/>
        <w:rPr>
          <w:rFonts w:ascii="Verdana" w:hAnsi="Verdana" w:cs="Arial"/>
          <w:sz w:val="20"/>
          <w:szCs w:val="20"/>
        </w:rPr>
      </w:pPr>
      <w:r w:rsidRPr="00FD016C">
        <w:rPr>
          <w:rFonts w:ascii="Verdana" w:hAnsi="Verdana" w:cs="Arial"/>
          <w:sz w:val="20"/>
          <w:szCs w:val="20"/>
        </w:rPr>
        <w:t xml:space="preserve">Conforme estabelecido no Pronunciamento Técnico CPC 25, a estimativa inicial dos custos de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referentes à desmontagem e</w:t>
      </w:r>
      <w:r w:rsidR="0091636F" w:rsidRPr="00FD016C">
        <w:rPr>
          <w:rFonts w:ascii="Verdana" w:hAnsi="Verdana" w:cs="Arial"/>
          <w:sz w:val="20"/>
          <w:szCs w:val="20"/>
        </w:rPr>
        <w:t xml:space="preserve"> à</w:t>
      </w:r>
      <w:r w:rsidRPr="00FD016C">
        <w:rPr>
          <w:rFonts w:ascii="Verdana" w:hAnsi="Verdana" w:cs="Arial"/>
          <w:sz w:val="20"/>
          <w:szCs w:val="20"/>
        </w:rPr>
        <w:t xml:space="preserve"> remoção do item e de restauração dos locais nos quais as instalações estão localizadas, deve ser contabilizada como custo do empreendimento.</w:t>
      </w:r>
    </w:p>
    <w:p w14:paraId="6B353571" w14:textId="448FA2AB" w:rsidR="00C87A09" w:rsidRPr="00FD016C" w:rsidRDefault="00C87A09" w:rsidP="00C87A09">
      <w:pPr>
        <w:widowControl/>
        <w:tabs>
          <w:tab w:val="center" w:pos="4419"/>
          <w:tab w:val="right" w:pos="8838"/>
        </w:tabs>
        <w:jc w:val="both"/>
        <w:rPr>
          <w:rFonts w:ascii="Verdana" w:hAnsi="Verdana" w:cs="Arial"/>
          <w:sz w:val="20"/>
          <w:szCs w:val="20"/>
        </w:rPr>
      </w:pPr>
    </w:p>
    <w:p w14:paraId="55DDF22E" w14:textId="4AD2FF89" w:rsidR="00C87A09" w:rsidRPr="00FD016C" w:rsidRDefault="00C87A09" w:rsidP="00C87A09">
      <w:pPr>
        <w:widowControl/>
        <w:jc w:val="both"/>
        <w:rPr>
          <w:rFonts w:ascii="Verdana" w:hAnsi="Verdana" w:cs="Arial"/>
          <w:bCs/>
          <w:sz w:val="20"/>
          <w:szCs w:val="20"/>
        </w:rPr>
      </w:pPr>
      <w:r w:rsidRPr="00FD016C">
        <w:rPr>
          <w:rFonts w:ascii="Verdana" w:hAnsi="Verdana" w:cs="Arial"/>
          <w:bCs/>
          <w:sz w:val="20"/>
          <w:szCs w:val="20"/>
        </w:rPr>
        <w:t xml:space="preserve">No cálculo do ajuste a valor presente do passivo para </w:t>
      </w:r>
      <w:proofErr w:type="spellStart"/>
      <w:r w:rsidRPr="00FD016C">
        <w:rPr>
          <w:rFonts w:ascii="Verdana" w:hAnsi="Verdana" w:cs="Arial"/>
          <w:bCs/>
          <w:sz w:val="20"/>
          <w:szCs w:val="20"/>
        </w:rPr>
        <w:t>descomissionamento</w:t>
      </w:r>
      <w:proofErr w:type="spellEnd"/>
      <w:r w:rsidRPr="00FD016C">
        <w:rPr>
          <w:rFonts w:ascii="Verdana" w:hAnsi="Verdana" w:cs="Arial"/>
          <w:bCs/>
          <w:sz w:val="20"/>
          <w:szCs w:val="20"/>
        </w:rPr>
        <w:t xml:space="preserve"> é considerado o custo total estimado para o </w:t>
      </w:r>
      <w:proofErr w:type="spellStart"/>
      <w:r w:rsidRPr="00FD016C">
        <w:rPr>
          <w:rFonts w:ascii="Verdana" w:hAnsi="Verdana" w:cs="Arial"/>
          <w:bCs/>
          <w:sz w:val="20"/>
          <w:szCs w:val="20"/>
        </w:rPr>
        <w:t>descomissionamento</w:t>
      </w:r>
      <w:proofErr w:type="spellEnd"/>
      <w:r w:rsidR="00FA294B" w:rsidRPr="00FD016C">
        <w:rPr>
          <w:rFonts w:ascii="Verdana" w:hAnsi="Verdana" w:cs="Arial"/>
          <w:bCs/>
          <w:sz w:val="20"/>
          <w:szCs w:val="20"/>
        </w:rPr>
        <w:t xml:space="preserve"> e o cronograma de desembolsos</w:t>
      </w:r>
      <w:r w:rsidRPr="00FD016C">
        <w:rPr>
          <w:rFonts w:ascii="Verdana" w:hAnsi="Verdana" w:cs="Arial"/>
          <w:bCs/>
          <w:sz w:val="20"/>
          <w:szCs w:val="20"/>
        </w:rPr>
        <w:t xml:space="preserve">, descontado a uma taxa que represente </w:t>
      </w:r>
      <w:r w:rsidR="005731E9" w:rsidRPr="00FD016C">
        <w:rPr>
          <w:rFonts w:ascii="Verdana" w:hAnsi="Verdana" w:cs="Arial"/>
          <w:bCs/>
          <w:sz w:val="20"/>
          <w:szCs w:val="20"/>
        </w:rPr>
        <w:t xml:space="preserve">o risco do passivo para </w:t>
      </w:r>
      <w:proofErr w:type="spellStart"/>
      <w:r w:rsidR="005731E9" w:rsidRPr="00FD016C">
        <w:rPr>
          <w:rFonts w:ascii="Verdana" w:hAnsi="Verdana" w:cs="Arial"/>
          <w:bCs/>
          <w:sz w:val="20"/>
          <w:szCs w:val="20"/>
        </w:rPr>
        <w:t>descomissionamento</w:t>
      </w:r>
      <w:proofErr w:type="spellEnd"/>
      <w:r w:rsidRPr="00FD016C">
        <w:rPr>
          <w:rFonts w:ascii="Verdana" w:hAnsi="Verdana" w:cs="Arial"/>
          <w:bCs/>
          <w:sz w:val="20"/>
          <w:szCs w:val="20"/>
        </w:rPr>
        <w:t xml:space="preserve">. </w:t>
      </w:r>
    </w:p>
    <w:p w14:paraId="1A83C79E" w14:textId="77777777" w:rsidR="00C87A09" w:rsidRPr="00FD016C" w:rsidRDefault="00C87A09" w:rsidP="005144E2">
      <w:pPr>
        <w:widowControl/>
        <w:tabs>
          <w:tab w:val="center" w:pos="4419"/>
          <w:tab w:val="right" w:pos="8838"/>
        </w:tabs>
        <w:jc w:val="both"/>
        <w:rPr>
          <w:rFonts w:ascii="Verdana" w:hAnsi="Verdana" w:cs="Arial"/>
          <w:sz w:val="20"/>
          <w:szCs w:val="20"/>
        </w:rPr>
      </w:pPr>
    </w:p>
    <w:p w14:paraId="47151749" w14:textId="35F95717" w:rsidR="00E377F3" w:rsidRPr="00FD016C" w:rsidRDefault="00032D49" w:rsidP="006636F7">
      <w:pPr>
        <w:pStyle w:val="Textodecomentrio"/>
        <w:jc w:val="both"/>
        <w:rPr>
          <w:rFonts w:ascii="Verdana" w:hAnsi="Verdana" w:cs="Arial"/>
        </w:rPr>
      </w:pPr>
      <w:r w:rsidRPr="00FD016C">
        <w:rPr>
          <w:rFonts w:ascii="Verdana" w:hAnsi="Verdana" w:cs="Arial"/>
        </w:rPr>
        <w:t xml:space="preserve">No exercício de 2020, foi registrado a atualização da estimativa de custos necessária para execução das atividades de </w:t>
      </w:r>
      <w:proofErr w:type="spellStart"/>
      <w:r w:rsidRPr="00FD016C">
        <w:rPr>
          <w:rFonts w:ascii="Verdana" w:hAnsi="Verdana" w:cs="Arial"/>
        </w:rPr>
        <w:t>descomissionamento</w:t>
      </w:r>
      <w:proofErr w:type="spellEnd"/>
      <w:r w:rsidRPr="00FD016C">
        <w:rPr>
          <w:rFonts w:ascii="Verdana" w:hAnsi="Verdana" w:cs="Arial"/>
        </w:rPr>
        <w:t xml:space="preserve"> das Usinas Angra 1 e Angra 2 em função da revisão do fluxo de pagamentos por conta de mudança na estratégia de </w:t>
      </w:r>
      <w:proofErr w:type="spellStart"/>
      <w:r w:rsidRPr="00FD016C">
        <w:rPr>
          <w:rFonts w:ascii="Verdana" w:hAnsi="Verdana" w:cs="Arial"/>
        </w:rPr>
        <w:t>descomissionamento</w:t>
      </w:r>
      <w:proofErr w:type="spellEnd"/>
      <w:r w:rsidRPr="00FD016C">
        <w:rPr>
          <w:rFonts w:ascii="Verdana" w:hAnsi="Verdana" w:cs="Arial"/>
        </w:rPr>
        <w:t xml:space="preserve">. Com o estudo, concluiu-se por aumentar a mencionada estimativa do custo para </w:t>
      </w:r>
      <w:proofErr w:type="spellStart"/>
      <w:r w:rsidRPr="00FD016C">
        <w:rPr>
          <w:rFonts w:ascii="Verdana" w:hAnsi="Verdana" w:cs="Arial"/>
        </w:rPr>
        <w:t>descomis</w:t>
      </w:r>
      <w:r w:rsidR="00FF215F">
        <w:rPr>
          <w:rFonts w:ascii="Verdana" w:hAnsi="Verdana" w:cs="Arial"/>
        </w:rPr>
        <w:t>s</w:t>
      </w:r>
      <w:r w:rsidRPr="00FD016C">
        <w:rPr>
          <w:rFonts w:ascii="Verdana" w:hAnsi="Verdana" w:cs="Arial"/>
        </w:rPr>
        <w:t>ionamento</w:t>
      </w:r>
      <w:proofErr w:type="spellEnd"/>
      <w:r w:rsidRPr="00FD016C">
        <w:rPr>
          <w:rFonts w:ascii="Verdana" w:hAnsi="Verdana" w:cs="Arial"/>
        </w:rPr>
        <w:t xml:space="preserve"> para R$ 6.475.093, sendo R$ 3.017.913 para a Usina Angra 1 e R$ 3.457.180 para a Usina Angra 2. </w:t>
      </w:r>
      <w:r w:rsidR="002601E5" w:rsidRPr="00FD016C">
        <w:rPr>
          <w:rFonts w:ascii="Verdana" w:hAnsi="Verdana" w:cs="Arial"/>
        </w:rPr>
        <w:t xml:space="preserve">A provisão foi estimada a preços correntes e com base no fluxo de caixa projetado utilizando a taxa de desconto nominal média de 7,57% </w:t>
      </w:r>
      <w:proofErr w:type="spellStart"/>
      <w:r w:rsidR="002601E5" w:rsidRPr="00FD016C">
        <w:rPr>
          <w:rFonts w:ascii="Verdana" w:hAnsi="Verdana" w:cs="Arial"/>
        </w:rPr>
        <w:t>a.a</w:t>
      </w:r>
      <w:proofErr w:type="spellEnd"/>
      <w:r w:rsidR="002601E5" w:rsidRPr="00FD016C">
        <w:rPr>
          <w:rFonts w:ascii="Verdana" w:hAnsi="Verdana" w:cs="Arial"/>
        </w:rPr>
        <w:t xml:space="preserve">, taxa formada pelo spread da NTN-B Principal na data de 30 de dezembro de 2020, com </w:t>
      </w:r>
      <w:proofErr w:type="spellStart"/>
      <w:r w:rsidR="002601E5" w:rsidRPr="00FD016C">
        <w:rPr>
          <w:rFonts w:ascii="Verdana" w:hAnsi="Verdana" w:cs="Arial"/>
          <w:i/>
          <w:iCs/>
        </w:rPr>
        <w:t>maturity</w:t>
      </w:r>
      <w:proofErr w:type="spellEnd"/>
      <w:r w:rsidR="002601E5" w:rsidRPr="00FD016C">
        <w:rPr>
          <w:rFonts w:ascii="Verdana" w:hAnsi="Verdana" w:cs="Arial"/>
        </w:rPr>
        <w:t xml:space="preserve"> mais próxima da próxima da data de início da atividade de cada rubrica somado à inflação projetada medida pelo Índice de Preços para o Consumidor Amplo - IPCA. </w:t>
      </w:r>
    </w:p>
    <w:p w14:paraId="30221D34" w14:textId="77777777" w:rsidR="00E377F3" w:rsidRPr="00FD016C" w:rsidRDefault="00E377F3" w:rsidP="006636F7">
      <w:pPr>
        <w:pStyle w:val="Textodecomentrio"/>
        <w:jc w:val="both"/>
        <w:rPr>
          <w:rFonts w:ascii="Verdana" w:hAnsi="Verdana" w:cs="Arial"/>
        </w:rPr>
      </w:pPr>
    </w:p>
    <w:p w14:paraId="0EFC32F5" w14:textId="244750F4" w:rsidR="00C84162" w:rsidRPr="00FD016C" w:rsidRDefault="00032D49" w:rsidP="006636F7">
      <w:pPr>
        <w:pStyle w:val="Textodecomentrio"/>
        <w:jc w:val="both"/>
        <w:rPr>
          <w:rFonts w:ascii="Verdana" w:hAnsi="Verdana" w:cs="Arial"/>
        </w:rPr>
      </w:pPr>
      <w:r w:rsidRPr="00FD016C">
        <w:rPr>
          <w:rFonts w:ascii="Verdana" w:hAnsi="Verdana" w:cs="Arial"/>
        </w:rPr>
        <w:t>O ajuste a valor presente</w:t>
      </w:r>
      <w:r w:rsidR="005261F3" w:rsidRPr="00FD016C">
        <w:rPr>
          <w:rFonts w:ascii="Verdana" w:hAnsi="Verdana" w:cs="Arial"/>
        </w:rPr>
        <w:t xml:space="preserve"> da obrigação para </w:t>
      </w:r>
      <w:proofErr w:type="spellStart"/>
      <w:r w:rsidR="005261F3" w:rsidRPr="00FD016C">
        <w:rPr>
          <w:rFonts w:ascii="Verdana" w:hAnsi="Verdana" w:cs="Arial"/>
        </w:rPr>
        <w:t>descomissionamento</w:t>
      </w:r>
      <w:proofErr w:type="spellEnd"/>
      <w:r w:rsidRPr="00FD016C">
        <w:rPr>
          <w:rFonts w:ascii="Verdana" w:hAnsi="Verdana" w:cs="Arial"/>
        </w:rPr>
        <w:t xml:space="preserve"> </w:t>
      </w:r>
      <w:r w:rsidR="002601E5" w:rsidRPr="00FD016C">
        <w:rPr>
          <w:rFonts w:ascii="Verdana" w:hAnsi="Verdana" w:cs="Arial"/>
        </w:rPr>
        <w:t xml:space="preserve">é de </w:t>
      </w:r>
      <w:r w:rsidRPr="00FD016C">
        <w:rPr>
          <w:rFonts w:ascii="Verdana" w:hAnsi="Verdana" w:cs="Arial"/>
        </w:rPr>
        <w:t xml:space="preserve">R$ </w:t>
      </w:r>
      <w:r w:rsidR="0011755E" w:rsidRPr="00FD016C">
        <w:rPr>
          <w:rFonts w:ascii="Verdana" w:hAnsi="Verdana" w:cs="Arial"/>
        </w:rPr>
        <w:t>3.265.430</w:t>
      </w:r>
      <w:r w:rsidRPr="00FD016C">
        <w:rPr>
          <w:rFonts w:ascii="Verdana" w:hAnsi="Verdana" w:cs="Arial"/>
        </w:rPr>
        <w:t>, perfazendo um reconhecimento líquido da obrigação na data base de 3</w:t>
      </w:r>
      <w:r w:rsidR="00690014" w:rsidRPr="00FD016C">
        <w:rPr>
          <w:rFonts w:ascii="Verdana" w:hAnsi="Verdana" w:cs="Arial"/>
        </w:rPr>
        <w:t>0</w:t>
      </w:r>
      <w:r w:rsidRPr="00FD016C">
        <w:rPr>
          <w:rFonts w:ascii="Verdana" w:hAnsi="Verdana" w:cs="Arial"/>
        </w:rPr>
        <w:t xml:space="preserve"> de </w:t>
      </w:r>
      <w:r w:rsidR="00CF6E33" w:rsidRPr="00FD016C">
        <w:rPr>
          <w:rFonts w:ascii="Verdana" w:hAnsi="Verdana" w:cs="Arial"/>
        </w:rPr>
        <w:t>setembro</w:t>
      </w:r>
      <w:r w:rsidRPr="00FD016C">
        <w:rPr>
          <w:rFonts w:ascii="Verdana" w:hAnsi="Verdana" w:cs="Arial"/>
        </w:rPr>
        <w:t xml:space="preserve"> de 2021 de R$</w:t>
      </w:r>
      <w:r w:rsidR="0011755E" w:rsidRPr="00FD016C">
        <w:rPr>
          <w:rFonts w:ascii="Verdana" w:hAnsi="Verdana" w:cs="Arial"/>
        </w:rPr>
        <w:t xml:space="preserve"> 3.209.663</w:t>
      </w:r>
      <w:r w:rsidR="00866F6E">
        <w:rPr>
          <w:rFonts w:ascii="Verdana" w:hAnsi="Verdana" w:cs="Arial"/>
        </w:rPr>
        <w:t xml:space="preserve"> (R$ </w:t>
      </w:r>
      <w:r w:rsidR="00866F6E" w:rsidRPr="00866F6E">
        <w:rPr>
          <w:rFonts w:ascii="Verdana" w:hAnsi="Verdana" w:cs="Arial"/>
        </w:rPr>
        <w:t>3</w:t>
      </w:r>
      <w:r w:rsidR="00866F6E">
        <w:rPr>
          <w:rFonts w:ascii="Verdana" w:hAnsi="Verdana" w:cs="Arial"/>
        </w:rPr>
        <w:t>.</w:t>
      </w:r>
      <w:r w:rsidR="00866F6E" w:rsidRPr="00866F6E">
        <w:rPr>
          <w:rFonts w:ascii="Verdana" w:hAnsi="Verdana" w:cs="Arial"/>
        </w:rPr>
        <w:t>040</w:t>
      </w:r>
      <w:r w:rsidR="00866F6E">
        <w:rPr>
          <w:rFonts w:ascii="Verdana" w:hAnsi="Verdana" w:cs="Arial"/>
        </w:rPr>
        <w:t>.</w:t>
      </w:r>
      <w:r w:rsidR="00866F6E" w:rsidRPr="00866F6E">
        <w:rPr>
          <w:rFonts w:ascii="Verdana" w:hAnsi="Verdana" w:cs="Arial"/>
        </w:rPr>
        <w:t>011</w:t>
      </w:r>
      <w:r w:rsidR="00866F6E">
        <w:rPr>
          <w:rFonts w:ascii="Verdana" w:hAnsi="Verdana" w:cs="Arial"/>
        </w:rPr>
        <w:t xml:space="preserve"> em 31 de dezembro de 2020)</w:t>
      </w:r>
      <w:r w:rsidRPr="00FD016C">
        <w:rPr>
          <w:rFonts w:ascii="Verdana" w:hAnsi="Verdana" w:cs="Arial"/>
        </w:rPr>
        <w:t xml:space="preserve"> </w:t>
      </w:r>
    </w:p>
    <w:p w14:paraId="2B529F05" w14:textId="77777777" w:rsidR="00996629" w:rsidRDefault="00996629" w:rsidP="00CD2DE9">
      <w:pPr>
        <w:widowControl/>
        <w:tabs>
          <w:tab w:val="center" w:pos="4419"/>
          <w:tab w:val="right" w:pos="8838"/>
        </w:tabs>
        <w:jc w:val="both"/>
        <w:rPr>
          <w:rFonts w:ascii="Verdana" w:hAnsi="Verdana" w:cs="Arial"/>
          <w:sz w:val="20"/>
          <w:szCs w:val="20"/>
        </w:rPr>
      </w:pPr>
    </w:p>
    <w:p w14:paraId="08B9853A" w14:textId="77777777" w:rsidR="00D14E53" w:rsidRDefault="00D14E53" w:rsidP="00CD2DE9">
      <w:pPr>
        <w:widowControl/>
        <w:tabs>
          <w:tab w:val="center" w:pos="4419"/>
          <w:tab w:val="right" w:pos="8838"/>
        </w:tabs>
        <w:jc w:val="both"/>
        <w:rPr>
          <w:rFonts w:ascii="Verdana" w:hAnsi="Verdana" w:cs="Arial"/>
          <w:sz w:val="20"/>
          <w:szCs w:val="20"/>
        </w:rPr>
      </w:pPr>
    </w:p>
    <w:p w14:paraId="5038B1F3" w14:textId="77777777" w:rsidR="00D14E53" w:rsidRPr="00FD016C" w:rsidRDefault="00D14E53" w:rsidP="00CD2DE9">
      <w:pPr>
        <w:widowControl/>
        <w:tabs>
          <w:tab w:val="center" w:pos="4419"/>
          <w:tab w:val="right" w:pos="8838"/>
        </w:tabs>
        <w:jc w:val="both"/>
        <w:rPr>
          <w:rFonts w:ascii="Verdana" w:hAnsi="Verdana" w:cs="Arial"/>
          <w:sz w:val="20"/>
          <w:szCs w:val="20"/>
        </w:rPr>
      </w:pPr>
    </w:p>
    <w:p w14:paraId="02350C98" w14:textId="7B112099" w:rsidR="00BA75A7" w:rsidRPr="00FD016C" w:rsidRDefault="003F4719" w:rsidP="005144E2">
      <w:pPr>
        <w:widowControl/>
        <w:tabs>
          <w:tab w:val="center" w:pos="426"/>
          <w:tab w:val="right" w:pos="8838"/>
        </w:tabs>
        <w:jc w:val="both"/>
        <w:rPr>
          <w:rFonts w:ascii="Verdana" w:hAnsi="Verdana" w:cs="Arial"/>
          <w:sz w:val="20"/>
          <w:szCs w:val="20"/>
        </w:rPr>
      </w:pPr>
      <w:r w:rsidRPr="00FD016C">
        <w:rPr>
          <w:rFonts w:ascii="Verdana" w:hAnsi="Verdana" w:cs="Arial"/>
          <w:sz w:val="20"/>
          <w:szCs w:val="20"/>
        </w:rPr>
        <w:lastRenderedPageBreak/>
        <w:t>O quadro abaixo resume a posição dos valores correspondentes ao passivo de desmobilização de ativos:</w:t>
      </w:r>
      <w:r w:rsidR="00037D3A" w:rsidRPr="00FD016C">
        <w:t xml:space="preserve"> </w:t>
      </w:r>
    </w:p>
    <w:p w14:paraId="78385D46" w14:textId="77777777" w:rsidR="00E46F27" w:rsidRPr="00FD016C" w:rsidRDefault="00E46F27" w:rsidP="005144E2">
      <w:pPr>
        <w:widowControl/>
        <w:tabs>
          <w:tab w:val="center" w:pos="426"/>
          <w:tab w:val="right" w:pos="8838"/>
        </w:tabs>
        <w:jc w:val="both"/>
        <w:rPr>
          <w:rFonts w:ascii="Verdana" w:hAnsi="Verdana" w:cs="Arial"/>
          <w:sz w:val="20"/>
          <w:szCs w:val="20"/>
        </w:rPr>
      </w:pPr>
    </w:p>
    <w:p w14:paraId="4830D738" w14:textId="57BA9EFC" w:rsidR="000738C8" w:rsidRPr="00FD016C" w:rsidRDefault="000000F3" w:rsidP="005144E2">
      <w:pPr>
        <w:pStyle w:val="PargrafodaLista"/>
        <w:widowControl/>
        <w:tabs>
          <w:tab w:val="center" w:pos="426"/>
          <w:tab w:val="right" w:pos="8838"/>
        </w:tabs>
        <w:ind w:left="0"/>
        <w:jc w:val="both"/>
        <w:rPr>
          <w:rFonts w:ascii="Verdana" w:hAnsi="Verdana" w:cs="Arial"/>
          <w:b/>
          <w:sz w:val="20"/>
          <w:szCs w:val="20"/>
        </w:rPr>
      </w:pPr>
      <w:r w:rsidRPr="00FD016C">
        <w:rPr>
          <w:noProof/>
        </w:rPr>
        <w:drawing>
          <wp:inline distT="0" distB="0" distL="0" distR="0" wp14:anchorId="3F9520B0" wp14:editId="5D0C6F0A">
            <wp:extent cx="6073140" cy="1527774"/>
            <wp:effectExtent l="0" t="0" r="381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73140" cy="1527774"/>
                    </a:xfrm>
                    <a:prstGeom prst="rect">
                      <a:avLst/>
                    </a:prstGeom>
                    <a:noFill/>
                    <a:ln>
                      <a:noFill/>
                    </a:ln>
                  </pic:spPr>
                </pic:pic>
              </a:graphicData>
            </a:graphic>
          </wp:inline>
        </w:drawing>
      </w:r>
    </w:p>
    <w:p w14:paraId="5A901112" w14:textId="64100320" w:rsidR="00DD09D0" w:rsidRPr="007055F5" w:rsidRDefault="007055F5" w:rsidP="007055F5">
      <w:pPr>
        <w:widowControl/>
        <w:tabs>
          <w:tab w:val="left" w:pos="1168"/>
        </w:tabs>
        <w:jc w:val="both"/>
        <w:rPr>
          <w:rFonts w:ascii="Verdana" w:hAnsi="Verdana" w:cs="Arial"/>
          <w:b/>
          <w:color w:val="0070C0"/>
          <w:sz w:val="20"/>
          <w:szCs w:val="20"/>
        </w:rPr>
      </w:pPr>
      <w:r>
        <w:rPr>
          <w:rFonts w:ascii="Verdana" w:hAnsi="Verdana" w:cs="Arial"/>
          <w:b/>
          <w:color w:val="0070C0"/>
          <w:sz w:val="26"/>
          <w:szCs w:val="26"/>
        </w:rPr>
        <w:tab/>
      </w:r>
    </w:p>
    <w:p w14:paraId="63EBB781" w14:textId="77777777" w:rsidR="00DD09D0" w:rsidRPr="007055F5" w:rsidRDefault="00DD09D0" w:rsidP="005144E2">
      <w:pPr>
        <w:widowControl/>
        <w:jc w:val="both"/>
        <w:rPr>
          <w:rFonts w:ascii="Verdana" w:hAnsi="Verdana" w:cs="Arial"/>
          <w:b/>
          <w:color w:val="0070C0"/>
          <w:sz w:val="20"/>
          <w:szCs w:val="20"/>
        </w:rPr>
      </w:pPr>
    </w:p>
    <w:p w14:paraId="3EAA3B48" w14:textId="77777777" w:rsidR="000000F3" w:rsidRPr="007055F5" w:rsidRDefault="000000F3" w:rsidP="005144E2">
      <w:pPr>
        <w:widowControl/>
        <w:jc w:val="both"/>
        <w:rPr>
          <w:rFonts w:ascii="Verdana" w:hAnsi="Verdana" w:cs="Arial"/>
          <w:b/>
          <w:color w:val="0070C0"/>
          <w:sz w:val="20"/>
          <w:szCs w:val="20"/>
        </w:rPr>
      </w:pPr>
    </w:p>
    <w:p w14:paraId="4A798112" w14:textId="77777777" w:rsidR="00EA757E" w:rsidRPr="00FD016C" w:rsidRDefault="00EA757E" w:rsidP="005144E2">
      <w:pPr>
        <w:widowControl/>
        <w:jc w:val="both"/>
        <w:rPr>
          <w:rFonts w:ascii="Verdana" w:hAnsi="Verdana" w:cs="Arial"/>
          <w:b/>
          <w:sz w:val="26"/>
          <w:szCs w:val="26"/>
        </w:rPr>
      </w:pPr>
      <w:r w:rsidRPr="00FD016C">
        <w:rPr>
          <w:rFonts w:ascii="Verdana" w:hAnsi="Verdana" w:cs="Arial"/>
          <w:b/>
          <w:color w:val="0070C0"/>
          <w:sz w:val="26"/>
          <w:szCs w:val="26"/>
        </w:rPr>
        <w:t>NOTA 25 – ADIANTAMENTO PARA FUTURO AUMENTO DE CAPITAL - AFAC</w:t>
      </w:r>
    </w:p>
    <w:p w14:paraId="2ABF44D3" w14:textId="553EB6E2" w:rsidR="001A1541" w:rsidRDefault="001A1541" w:rsidP="005144E2">
      <w:pPr>
        <w:widowControl/>
        <w:tabs>
          <w:tab w:val="num" w:pos="360"/>
        </w:tabs>
        <w:jc w:val="both"/>
        <w:rPr>
          <w:rFonts w:ascii="Verdana" w:hAnsi="Verdana" w:cs="Arial"/>
          <w:b/>
          <w:sz w:val="20"/>
          <w:szCs w:val="20"/>
        </w:rPr>
      </w:pPr>
    </w:p>
    <w:p w14:paraId="61FAD4F7" w14:textId="5AC16237" w:rsidR="00362281" w:rsidRDefault="00362281" w:rsidP="005144E2">
      <w:pPr>
        <w:widowControl/>
        <w:tabs>
          <w:tab w:val="num" w:pos="360"/>
        </w:tabs>
        <w:jc w:val="both"/>
        <w:rPr>
          <w:rFonts w:ascii="Verdana" w:hAnsi="Verdana" w:cs="Arial"/>
          <w:b/>
          <w:sz w:val="20"/>
          <w:szCs w:val="20"/>
        </w:rPr>
      </w:pPr>
    </w:p>
    <w:p w14:paraId="1A135381" w14:textId="4D4FFFE5" w:rsidR="00362281" w:rsidRPr="00FD016C" w:rsidRDefault="004129D6" w:rsidP="005144E2">
      <w:pPr>
        <w:widowControl/>
        <w:tabs>
          <w:tab w:val="num" w:pos="360"/>
        </w:tabs>
        <w:jc w:val="both"/>
        <w:rPr>
          <w:rFonts w:ascii="Verdana" w:hAnsi="Verdana" w:cs="Arial"/>
          <w:b/>
          <w:sz w:val="20"/>
          <w:szCs w:val="20"/>
        </w:rPr>
      </w:pPr>
      <w:r w:rsidRPr="004129D6">
        <w:rPr>
          <w:noProof/>
        </w:rPr>
        <w:drawing>
          <wp:inline distT="0" distB="0" distL="0" distR="0" wp14:anchorId="3830AF45" wp14:editId="6E0FFCF6">
            <wp:extent cx="6073140" cy="950377"/>
            <wp:effectExtent l="0" t="0" r="3810" b="254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73140" cy="950377"/>
                    </a:xfrm>
                    <a:prstGeom prst="rect">
                      <a:avLst/>
                    </a:prstGeom>
                    <a:noFill/>
                    <a:ln>
                      <a:noFill/>
                    </a:ln>
                  </pic:spPr>
                </pic:pic>
              </a:graphicData>
            </a:graphic>
          </wp:inline>
        </w:drawing>
      </w:r>
    </w:p>
    <w:p w14:paraId="13FF27E5" w14:textId="77777777" w:rsidR="000000F3" w:rsidRPr="00FD016C" w:rsidRDefault="000000F3" w:rsidP="005144E2">
      <w:pPr>
        <w:widowControl/>
        <w:tabs>
          <w:tab w:val="num" w:pos="360"/>
        </w:tabs>
        <w:jc w:val="both"/>
        <w:rPr>
          <w:rFonts w:ascii="Verdana" w:hAnsi="Verdana" w:cs="Arial"/>
          <w:b/>
          <w:sz w:val="20"/>
          <w:szCs w:val="20"/>
        </w:rPr>
      </w:pPr>
    </w:p>
    <w:p w14:paraId="08127112" w14:textId="210E296D" w:rsidR="003C1727" w:rsidRPr="00FD016C" w:rsidRDefault="003C1727" w:rsidP="003C1727">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 xml:space="preserve">Em de junho de 2020, ocorreu a aprovação pelas instâncias de governança da ELETRONUCLEAR da conversão do valor de R$ 850.000, referentes aos Contratos de Adiantamentos para Futuro Aumento de Capital nº ECF 3381/19 e nº ECF 3384/19 firmados com a Eletrobras, em capital social da companhia. </w:t>
      </w:r>
    </w:p>
    <w:p w14:paraId="7691D97E" w14:textId="54519E06" w:rsidR="003E5803" w:rsidRPr="00FD016C" w:rsidRDefault="003E5803" w:rsidP="00A77FAC">
      <w:pPr>
        <w:widowControl/>
        <w:tabs>
          <w:tab w:val="num" w:pos="360"/>
        </w:tabs>
        <w:jc w:val="both"/>
        <w:rPr>
          <w:rFonts w:ascii="Verdana" w:hAnsi="Verdana" w:cs="Arial"/>
          <w:sz w:val="20"/>
          <w:szCs w:val="20"/>
        </w:rPr>
      </w:pPr>
    </w:p>
    <w:p w14:paraId="6DA60C27" w14:textId="0CD7A4C8" w:rsidR="00FF5B00" w:rsidRPr="00FD016C" w:rsidRDefault="00FF5B00" w:rsidP="00FF5B00">
      <w:pPr>
        <w:widowControl/>
        <w:tabs>
          <w:tab w:val="num" w:pos="360"/>
        </w:tabs>
        <w:jc w:val="both"/>
        <w:rPr>
          <w:rFonts w:ascii="Verdana" w:hAnsi="Verdana" w:cs="Arial"/>
          <w:sz w:val="20"/>
          <w:szCs w:val="20"/>
        </w:rPr>
      </w:pPr>
      <w:r w:rsidRPr="00FD016C">
        <w:rPr>
          <w:rFonts w:ascii="Verdana" w:hAnsi="Verdana" w:cs="Arial"/>
          <w:sz w:val="20"/>
          <w:szCs w:val="20"/>
        </w:rPr>
        <w:t xml:space="preserve">Em 17 de Julho de 2020, o Conselho de Administração da Eletrobras aprovou o Plano de Aceleração da Linha Crítica do empreendimento de Angra 3, que prevê o aporte pela </w:t>
      </w:r>
      <w:r w:rsidRPr="00FD016C">
        <w:rPr>
          <w:rFonts w:ascii="Verdana" w:hAnsi="Verdana" w:cs="Arial"/>
          <w:i/>
          <w:sz w:val="20"/>
          <w:szCs w:val="20"/>
        </w:rPr>
        <w:t>holding</w:t>
      </w:r>
      <w:r w:rsidRPr="00FD016C">
        <w:rPr>
          <w:rFonts w:ascii="Verdana" w:hAnsi="Verdana" w:cs="Arial"/>
          <w:sz w:val="20"/>
          <w:szCs w:val="20"/>
        </w:rPr>
        <w:t xml:space="preserve"> na ELETRONUCLEAR, por meio de Adiantamentos para Futuro Aumento de Capital – AFAC, de cerca de R$ 1.052.000 no ano de 2020 e de aproximadamente R$ 2.447.000 em 2021, para viabilizar a retomada das obras de construção da Usina de Angra 3. O referido plano de aceleração do empreendimento foi aprovado nas instâncias de governança internas da ELETRONCULEAR pela sua Diretoria Executiva em 15 de maio e pelo seu Conselho de Administração em 19 de maio</w:t>
      </w:r>
      <w:r w:rsidR="002625C1" w:rsidRPr="00FD016C">
        <w:rPr>
          <w:rFonts w:ascii="Verdana" w:hAnsi="Verdana" w:cs="Arial"/>
          <w:sz w:val="20"/>
          <w:szCs w:val="20"/>
        </w:rPr>
        <w:t xml:space="preserve"> de 2020</w:t>
      </w:r>
      <w:r w:rsidRPr="00FD016C">
        <w:rPr>
          <w:rFonts w:ascii="Verdana" w:hAnsi="Verdana" w:cs="Arial"/>
          <w:sz w:val="20"/>
          <w:szCs w:val="20"/>
        </w:rPr>
        <w:t>.</w:t>
      </w:r>
    </w:p>
    <w:p w14:paraId="162D1D72" w14:textId="77777777" w:rsidR="00FF5B00" w:rsidRPr="00FD016C" w:rsidRDefault="00FF5B00" w:rsidP="00FF5B00">
      <w:pPr>
        <w:widowControl/>
        <w:tabs>
          <w:tab w:val="num" w:pos="360"/>
        </w:tabs>
        <w:jc w:val="both"/>
        <w:rPr>
          <w:rFonts w:ascii="Verdana" w:hAnsi="Verdana" w:cs="Arial"/>
          <w:sz w:val="20"/>
          <w:szCs w:val="20"/>
        </w:rPr>
      </w:pPr>
    </w:p>
    <w:p w14:paraId="5BCF59D5" w14:textId="11168708" w:rsidR="00FF5B00" w:rsidRPr="00FD016C" w:rsidRDefault="00FF5B00" w:rsidP="00FF5B00">
      <w:pPr>
        <w:widowControl/>
        <w:tabs>
          <w:tab w:val="num" w:pos="360"/>
        </w:tabs>
        <w:jc w:val="both"/>
        <w:rPr>
          <w:rFonts w:ascii="Verdana" w:hAnsi="Verdana" w:cs="Arial"/>
          <w:sz w:val="20"/>
          <w:szCs w:val="20"/>
        </w:rPr>
      </w:pPr>
      <w:r w:rsidRPr="00FD016C">
        <w:rPr>
          <w:rFonts w:ascii="Verdana" w:hAnsi="Verdana" w:cs="Arial"/>
          <w:sz w:val="20"/>
          <w:szCs w:val="20"/>
        </w:rPr>
        <w:t xml:space="preserve">Em 05 de Agosto de 2020, foi formalizado o </w:t>
      </w:r>
      <w:r w:rsidR="00BF54D5" w:rsidRPr="00FD016C">
        <w:rPr>
          <w:rFonts w:ascii="Verdana" w:hAnsi="Verdana" w:cs="Arial"/>
          <w:sz w:val="20"/>
          <w:szCs w:val="20"/>
        </w:rPr>
        <w:t>c</w:t>
      </w:r>
      <w:r w:rsidRPr="00FD016C">
        <w:rPr>
          <w:rFonts w:ascii="Verdana" w:hAnsi="Verdana" w:cs="Arial"/>
          <w:sz w:val="20"/>
          <w:szCs w:val="20"/>
        </w:rPr>
        <w:t>ontrato nº ECF 3387/20, assinado pelas diretorias da ELETRONUCLEAR e da Eletrobras, com a previsão de aportes na forma de Adiantamento para Futuro Aumento de Capital – AFAC, previstos no Plano de Aceleração da Linha Crítica de Angra 3 em 2020 e 2021.</w:t>
      </w:r>
    </w:p>
    <w:p w14:paraId="3CB61BCB" w14:textId="77777777" w:rsidR="00FF5B00" w:rsidRPr="00FD016C" w:rsidRDefault="00FF5B00" w:rsidP="00FF5B00">
      <w:pPr>
        <w:widowControl/>
        <w:tabs>
          <w:tab w:val="num" w:pos="360"/>
        </w:tabs>
        <w:jc w:val="both"/>
        <w:rPr>
          <w:rFonts w:ascii="Verdana" w:hAnsi="Verdana" w:cs="Arial"/>
          <w:sz w:val="20"/>
          <w:szCs w:val="20"/>
        </w:rPr>
      </w:pPr>
    </w:p>
    <w:p w14:paraId="3155054D" w14:textId="2846F5BB" w:rsidR="00FF5B00" w:rsidRPr="00FD016C" w:rsidRDefault="00FF5B00" w:rsidP="00FF5B00">
      <w:pPr>
        <w:widowControl/>
        <w:tabs>
          <w:tab w:val="num" w:pos="360"/>
        </w:tabs>
        <w:jc w:val="both"/>
        <w:rPr>
          <w:rFonts w:ascii="Verdana" w:hAnsi="Verdana" w:cs="Arial"/>
          <w:sz w:val="20"/>
          <w:szCs w:val="20"/>
        </w:rPr>
      </w:pPr>
      <w:r w:rsidRPr="00FD016C">
        <w:rPr>
          <w:rFonts w:ascii="Verdana" w:hAnsi="Verdana" w:cs="Arial"/>
          <w:sz w:val="20"/>
          <w:szCs w:val="20"/>
        </w:rPr>
        <w:t>Conforme cláusulas contratuais, assim como</w:t>
      </w:r>
      <w:r w:rsidR="00BF54D5" w:rsidRPr="00FD016C">
        <w:rPr>
          <w:rFonts w:ascii="Verdana" w:hAnsi="Verdana" w:cs="Arial"/>
          <w:sz w:val="20"/>
          <w:szCs w:val="20"/>
        </w:rPr>
        <w:t>,</w:t>
      </w:r>
      <w:r w:rsidRPr="00FD016C">
        <w:rPr>
          <w:rFonts w:ascii="Verdana" w:hAnsi="Verdana" w:cs="Arial"/>
          <w:sz w:val="20"/>
          <w:szCs w:val="20"/>
        </w:rPr>
        <w:t xml:space="preserve"> os contratos anteriores da mesma natureza, o valor do AFAC será capitalizado, por meio de aumento de capital, após a ELETRONUCLEAR ter cumprido todas as disposições necessárias para a formalização do instrumento. </w:t>
      </w:r>
    </w:p>
    <w:p w14:paraId="25B92A8C" w14:textId="77777777" w:rsidR="00FF5B00" w:rsidRPr="00FD016C" w:rsidRDefault="00FF5B00" w:rsidP="00FF5B00">
      <w:pPr>
        <w:widowControl/>
        <w:tabs>
          <w:tab w:val="num" w:pos="360"/>
        </w:tabs>
        <w:jc w:val="both"/>
        <w:rPr>
          <w:rFonts w:ascii="Verdana" w:hAnsi="Verdana" w:cs="Arial"/>
          <w:sz w:val="20"/>
          <w:szCs w:val="20"/>
        </w:rPr>
      </w:pPr>
    </w:p>
    <w:p w14:paraId="4BA212F4" w14:textId="53CF6A7A" w:rsidR="00FF5B00" w:rsidRPr="00FD016C" w:rsidRDefault="00FF5B00" w:rsidP="00FF5B00">
      <w:pPr>
        <w:widowControl/>
        <w:tabs>
          <w:tab w:val="num" w:pos="360"/>
        </w:tabs>
        <w:jc w:val="both"/>
        <w:rPr>
          <w:rFonts w:ascii="Verdana" w:hAnsi="Verdana" w:cs="Arial"/>
          <w:sz w:val="20"/>
          <w:szCs w:val="20"/>
        </w:rPr>
      </w:pPr>
      <w:r w:rsidRPr="00FD016C">
        <w:rPr>
          <w:rFonts w:ascii="Verdana" w:hAnsi="Verdana" w:cs="Arial"/>
          <w:sz w:val="20"/>
          <w:szCs w:val="20"/>
        </w:rPr>
        <w:lastRenderedPageBreak/>
        <w:t xml:space="preserve">Em 26 de Agosto de 2020, houve a realização da primeira liberação no âmbito do </w:t>
      </w:r>
      <w:r w:rsidR="00BF54D5" w:rsidRPr="00FD016C">
        <w:rPr>
          <w:rFonts w:ascii="Verdana" w:hAnsi="Verdana" w:cs="Arial"/>
          <w:sz w:val="20"/>
          <w:szCs w:val="20"/>
        </w:rPr>
        <w:t>c</w:t>
      </w:r>
      <w:r w:rsidRPr="00FD016C">
        <w:rPr>
          <w:rFonts w:ascii="Verdana" w:hAnsi="Verdana" w:cs="Arial"/>
          <w:sz w:val="20"/>
          <w:szCs w:val="20"/>
        </w:rPr>
        <w:t>ontrato nº ECF 3387/20 no valor de R$ 371.000.</w:t>
      </w:r>
    </w:p>
    <w:p w14:paraId="7943544B" w14:textId="77777777" w:rsidR="003F5A43" w:rsidRPr="00FD016C" w:rsidRDefault="003F5A43" w:rsidP="003F5A43">
      <w:pPr>
        <w:widowControl/>
        <w:jc w:val="both"/>
        <w:rPr>
          <w:rFonts w:ascii="Verdana" w:hAnsi="Verdana" w:cs="Arial"/>
          <w:sz w:val="20"/>
          <w:szCs w:val="20"/>
        </w:rPr>
      </w:pPr>
    </w:p>
    <w:p w14:paraId="2705AF2B" w14:textId="3757F50B" w:rsidR="003F5A43" w:rsidRPr="00FD016C" w:rsidRDefault="003F5A43" w:rsidP="003F5A43">
      <w:pPr>
        <w:widowControl/>
        <w:tabs>
          <w:tab w:val="num" w:pos="360"/>
        </w:tabs>
        <w:jc w:val="both"/>
        <w:rPr>
          <w:rFonts w:ascii="Verdana" w:hAnsi="Verdana" w:cs="Arial"/>
          <w:sz w:val="20"/>
          <w:szCs w:val="20"/>
        </w:rPr>
      </w:pPr>
      <w:r w:rsidRPr="00FD016C">
        <w:rPr>
          <w:rFonts w:ascii="Verdana" w:hAnsi="Verdana" w:cs="Arial"/>
          <w:sz w:val="20"/>
          <w:szCs w:val="20"/>
        </w:rPr>
        <w:t>Em 30 de setembro de 2020, foi registrada variação monetária no valor de R$ 11.349, referente à atualização pela</w:t>
      </w:r>
      <w:r w:rsidR="00BF54D5" w:rsidRPr="00FD016C">
        <w:rPr>
          <w:rFonts w:ascii="Verdana" w:hAnsi="Verdana" w:cs="Arial"/>
          <w:sz w:val="20"/>
          <w:szCs w:val="20"/>
        </w:rPr>
        <w:t xml:space="preserve"> taxa</w:t>
      </w:r>
      <w:r w:rsidRPr="00FD016C">
        <w:rPr>
          <w:rFonts w:ascii="Verdana" w:hAnsi="Verdana" w:cs="Arial"/>
          <w:sz w:val="20"/>
          <w:szCs w:val="20"/>
        </w:rPr>
        <w:t xml:space="preserve"> </w:t>
      </w:r>
      <w:r w:rsidR="00BF54D5" w:rsidRPr="00FD016C">
        <w:rPr>
          <w:rFonts w:ascii="Verdana" w:hAnsi="Verdana" w:cs="Arial"/>
          <w:sz w:val="20"/>
          <w:szCs w:val="20"/>
        </w:rPr>
        <w:t>SELIC</w:t>
      </w:r>
      <w:r w:rsidRPr="00FD016C">
        <w:rPr>
          <w:rFonts w:ascii="Verdana" w:hAnsi="Verdana" w:cs="Arial"/>
          <w:sz w:val="20"/>
          <w:szCs w:val="20"/>
        </w:rPr>
        <w:t xml:space="preserve"> da primeira liberação do </w:t>
      </w:r>
      <w:r w:rsidR="00BF54D5" w:rsidRPr="00FD016C">
        <w:rPr>
          <w:rFonts w:ascii="Verdana" w:hAnsi="Verdana" w:cs="Arial"/>
          <w:sz w:val="20"/>
          <w:szCs w:val="20"/>
        </w:rPr>
        <w:t>c</w:t>
      </w:r>
      <w:r w:rsidRPr="00FD016C">
        <w:rPr>
          <w:rFonts w:ascii="Verdana" w:hAnsi="Verdana" w:cs="Arial"/>
          <w:sz w:val="20"/>
          <w:szCs w:val="20"/>
        </w:rPr>
        <w:t xml:space="preserve">ontrato de AFAC nº ECF-3381/19, ocorrida em 01 de agosto de 2019, conforme </w:t>
      </w:r>
      <w:r w:rsidR="00BF54D5" w:rsidRPr="00FD016C">
        <w:rPr>
          <w:rFonts w:ascii="Verdana" w:hAnsi="Verdana" w:cs="Arial"/>
          <w:sz w:val="20"/>
          <w:szCs w:val="20"/>
        </w:rPr>
        <w:t>c</w:t>
      </w:r>
      <w:r w:rsidRPr="00FD016C">
        <w:rPr>
          <w:rFonts w:ascii="Verdana" w:hAnsi="Verdana" w:cs="Arial"/>
          <w:sz w:val="20"/>
          <w:szCs w:val="20"/>
        </w:rPr>
        <w:t xml:space="preserve">láusula contratual que previa atualização do valor concedido pela </w:t>
      </w:r>
      <w:r w:rsidR="00BF54D5" w:rsidRPr="00FD016C">
        <w:rPr>
          <w:rFonts w:ascii="Verdana" w:hAnsi="Verdana" w:cs="Arial"/>
          <w:sz w:val="20"/>
          <w:szCs w:val="20"/>
        </w:rPr>
        <w:t>taxa SELIC</w:t>
      </w:r>
      <w:r w:rsidRPr="00FD016C">
        <w:rPr>
          <w:rFonts w:ascii="Verdana" w:hAnsi="Verdana" w:cs="Arial"/>
          <w:sz w:val="20"/>
          <w:szCs w:val="20"/>
        </w:rPr>
        <w:t xml:space="preserve"> caso o prazo para efetivação do aumento de capital fosse superior a um ano.</w:t>
      </w:r>
    </w:p>
    <w:p w14:paraId="201DCA15" w14:textId="77777777" w:rsidR="003F5A43" w:rsidRPr="00FD016C" w:rsidRDefault="003F5A43" w:rsidP="003F5A43">
      <w:pPr>
        <w:widowControl/>
        <w:tabs>
          <w:tab w:val="num" w:pos="360"/>
        </w:tabs>
        <w:jc w:val="both"/>
        <w:rPr>
          <w:rFonts w:ascii="Verdana" w:hAnsi="Verdana" w:cs="Arial"/>
          <w:sz w:val="20"/>
          <w:szCs w:val="20"/>
        </w:rPr>
      </w:pPr>
    </w:p>
    <w:p w14:paraId="4EB2996D" w14:textId="769BCCC2" w:rsidR="003F5A43" w:rsidRPr="00FD016C" w:rsidRDefault="003F5A43" w:rsidP="003F5A43">
      <w:pPr>
        <w:widowControl/>
        <w:jc w:val="both"/>
        <w:rPr>
          <w:rFonts w:ascii="Verdana" w:hAnsi="Verdana" w:cs="Arial"/>
          <w:sz w:val="20"/>
          <w:szCs w:val="20"/>
        </w:rPr>
      </w:pPr>
      <w:r w:rsidRPr="00FD016C">
        <w:rPr>
          <w:rFonts w:ascii="Verdana" w:hAnsi="Verdana" w:cs="Arial"/>
          <w:sz w:val="20"/>
          <w:szCs w:val="20"/>
        </w:rPr>
        <w:t xml:space="preserve">Em 21 de outubro de 2020, a 99ª assembleia geral </w:t>
      </w:r>
      <w:r w:rsidR="00BF54D5" w:rsidRPr="00FD016C">
        <w:rPr>
          <w:rFonts w:ascii="Verdana" w:hAnsi="Verdana" w:cs="Arial"/>
          <w:sz w:val="20"/>
          <w:szCs w:val="20"/>
        </w:rPr>
        <w:t>extraordinária da ELETRONUCLEAR aprovou</w:t>
      </w:r>
      <w:r w:rsidRPr="00FD016C">
        <w:rPr>
          <w:rFonts w:ascii="Verdana" w:hAnsi="Verdana" w:cs="Arial"/>
          <w:sz w:val="20"/>
          <w:szCs w:val="20"/>
        </w:rPr>
        <w:t xml:space="preserve"> a conversão de créditos dos Adiantamentos para Futuro Aumento de Capital - AFAC no valor de R$ 850.000 em capital social da companhia. Na mesma data, a Companhia registrou as obrigações referente a variação monetária no valor de R$ 273, reminiscente à atualização pela </w:t>
      </w:r>
      <w:r w:rsidR="00BF54D5" w:rsidRPr="00FD016C">
        <w:rPr>
          <w:rFonts w:ascii="Verdana" w:hAnsi="Verdana" w:cs="Arial"/>
          <w:sz w:val="20"/>
          <w:szCs w:val="20"/>
        </w:rPr>
        <w:t>SELIC</w:t>
      </w:r>
      <w:r w:rsidRPr="00FD016C">
        <w:rPr>
          <w:rFonts w:ascii="Verdana" w:hAnsi="Verdana" w:cs="Arial"/>
          <w:sz w:val="20"/>
          <w:szCs w:val="20"/>
        </w:rPr>
        <w:t xml:space="preserve"> no período de 30 de setembro de 2020 a 21 de outubro de 2020 da primeira liberação do Contrato de AFAC nº ECF-3381/19, ocorrida em 01 de agosto de 2019, em atendimento à cláusula contratual que previa atualização do valor concedido pela </w:t>
      </w:r>
      <w:r w:rsidR="00BF54D5" w:rsidRPr="00FD016C">
        <w:rPr>
          <w:rFonts w:ascii="Verdana" w:hAnsi="Verdana" w:cs="Arial"/>
          <w:sz w:val="20"/>
          <w:szCs w:val="20"/>
        </w:rPr>
        <w:t>SELIC</w:t>
      </w:r>
      <w:r w:rsidRPr="00FD016C">
        <w:rPr>
          <w:rFonts w:ascii="Verdana" w:hAnsi="Verdana" w:cs="Arial"/>
          <w:sz w:val="20"/>
          <w:szCs w:val="20"/>
        </w:rPr>
        <w:t xml:space="preserve">, caso o prazo para efetivação do aumento de capital fosse superior a um ano, bem como a variação monetária no montante de R$ 6.261, também relacionada à atualização pela </w:t>
      </w:r>
      <w:r w:rsidR="00BF54D5" w:rsidRPr="00FD016C">
        <w:rPr>
          <w:rFonts w:ascii="Verdana" w:hAnsi="Verdana" w:cs="Arial"/>
          <w:sz w:val="20"/>
          <w:szCs w:val="20"/>
        </w:rPr>
        <w:t>SELIC</w:t>
      </w:r>
      <w:r w:rsidRPr="00FD016C">
        <w:rPr>
          <w:rFonts w:ascii="Verdana" w:hAnsi="Verdana" w:cs="Arial"/>
          <w:sz w:val="20"/>
          <w:szCs w:val="20"/>
        </w:rPr>
        <w:t xml:space="preserve">, da segunda liberação do </w:t>
      </w:r>
      <w:r w:rsidR="00BF54D5" w:rsidRPr="00FD016C">
        <w:rPr>
          <w:rFonts w:ascii="Verdana" w:hAnsi="Verdana" w:cs="Arial"/>
          <w:sz w:val="20"/>
          <w:szCs w:val="20"/>
        </w:rPr>
        <w:t>c</w:t>
      </w:r>
      <w:r w:rsidRPr="00FD016C">
        <w:rPr>
          <w:rFonts w:ascii="Verdana" w:hAnsi="Verdana" w:cs="Arial"/>
          <w:sz w:val="20"/>
          <w:szCs w:val="20"/>
        </w:rPr>
        <w:t>ontrato ECF-3381/19, ocorrida em 11 de outubro de 2019.</w:t>
      </w:r>
    </w:p>
    <w:p w14:paraId="34B4DD04" w14:textId="77777777" w:rsidR="003F5A43" w:rsidRPr="00FD016C" w:rsidRDefault="003F5A43" w:rsidP="003F5A43">
      <w:pPr>
        <w:widowControl/>
        <w:tabs>
          <w:tab w:val="num" w:pos="360"/>
        </w:tabs>
        <w:jc w:val="both"/>
        <w:rPr>
          <w:rFonts w:ascii="Verdana" w:hAnsi="Verdana" w:cs="Arial"/>
          <w:sz w:val="20"/>
          <w:szCs w:val="20"/>
        </w:rPr>
      </w:pPr>
    </w:p>
    <w:p w14:paraId="198FA3F1" w14:textId="1B3264FB" w:rsidR="003F5A43" w:rsidRPr="00FD016C" w:rsidRDefault="003F5A43" w:rsidP="003F5A43">
      <w:pPr>
        <w:widowControl/>
        <w:tabs>
          <w:tab w:val="num" w:pos="360"/>
        </w:tabs>
        <w:jc w:val="both"/>
        <w:rPr>
          <w:rFonts w:ascii="Verdana" w:hAnsi="Verdana" w:cs="Arial"/>
          <w:sz w:val="20"/>
          <w:szCs w:val="20"/>
        </w:rPr>
      </w:pPr>
      <w:r w:rsidRPr="00FD016C">
        <w:rPr>
          <w:rFonts w:ascii="Verdana" w:hAnsi="Verdana" w:cs="Arial"/>
          <w:sz w:val="20"/>
          <w:szCs w:val="20"/>
        </w:rPr>
        <w:t>Em 07 de dezembro de 2020, houve a realização da segunda liberação no âmbito do Contrato nº ECF 3387/20 no valor de R$ 681.180, totalizando o valor de R$ 1.052.180</w:t>
      </w:r>
      <w:r w:rsidR="00BF54D5" w:rsidRPr="00FD016C">
        <w:rPr>
          <w:rFonts w:ascii="Verdana" w:hAnsi="Verdana" w:cs="Arial"/>
          <w:sz w:val="20"/>
          <w:szCs w:val="20"/>
        </w:rPr>
        <w:t>,</w:t>
      </w:r>
      <w:r w:rsidRPr="00FD016C">
        <w:rPr>
          <w:rFonts w:ascii="Verdana" w:hAnsi="Verdana" w:cs="Arial"/>
          <w:sz w:val="20"/>
          <w:szCs w:val="20"/>
        </w:rPr>
        <w:t xml:space="preserve"> inicialmente </w:t>
      </w:r>
      <w:r w:rsidR="000D30D7" w:rsidRPr="00FD016C">
        <w:rPr>
          <w:rFonts w:ascii="Verdana" w:hAnsi="Verdana" w:cs="Arial"/>
          <w:sz w:val="20"/>
          <w:szCs w:val="20"/>
        </w:rPr>
        <w:t xml:space="preserve"> </w:t>
      </w:r>
      <w:r w:rsidR="00BF54D5" w:rsidRPr="00FD016C">
        <w:rPr>
          <w:rFonts w:ascii="Verdana" w:hAnsi="Verdana" w:cs="Arial"/>
          <w:sz w:val="20"/>
          <w:szCs w:val="20"/>
        </w:rPr>
        <w:t xml:space="preserve"> </w:t>
      </w:r>
      <w:r w:rsidRPr="00FD016C">
        <w:rPr>
          <w:rFonts w:ascii="Verdana" w:hAnsi="Verdana" w:cs="Arial"/>
          <w:sz w:val="20"/>
          <w:szCs w:val="20"/>
        </w:rPr>
        <w:t>previsto para ser liberado no ano de 2020. Considerando que os custos dessa 2ª tranche seriam utilizadas</w:t>
      </w:r>
      <w:r w:rsidR="00CD00B4" w:rsidRPr="00FD016C">
        <w:rPr>
          <w:rFonts w:ascii="Verdana" w:hAnsi="Verdana" w:cs="Arial"/>
          <w:sz w:val="20"/>
          <w:szCs w:val="20"/>
        </w:rPr>
        <w:t>,</w:t>
      </w:r>
      <w:r w:rsidRPr="00FD016C">
        <w:rPr>
          <w:rFonts w:ascii="Verdana" w:hAnsi="Verdana" w:cs="Arial"/>
          <w:sz w:val="20"/>
          <w:szCs w:val="20"/>
        </w:rPr>
        <w:t xml:space="preserve"> basicament</w:t>
      </w:r>
      <w:r w:rsidR="00CD00B4" w:rsidRPr="00FD016C">
        <w:rPr>
          <w:rFonts w:ascii="Verdana" w:hAnsi="Verdana" w:cs="Arial"/>
          <w:sz w:val="20"/>
          <w:szCs w:val="20"/>
        </w:rPr>
        <w:t>e, em despesas com fornecedores estrangeiros</w:t>
      </w:r>
      <w:r w:rsidRPr="00FD016C">
        <w:rPr>
          <w:rFonts w:ascii="Verdana" w:hAnsi="Verdana" w:cs="Arial"/>
          <w:sz w:val="20"/>
          <w:szCs w:val="20"/>
        </w:rPr>
        <w:t>, com necessidade de remessas para o exterior, parte dos recursos captados foram aplicados em um Fundo Cambial no Banco do Brasil como form</w:t>
      </w:r>
      <w:r w:rsidR="00BF54D5" w:rsidRPr="00FD016C">
        <w:rPr>
          <w:rFonts w:ascii="Verdana" w:hAnsi="Verdana" w:cs="Arial"/>
          <w:sz w:val="20"/>
          <w:szCs w:val="20"/>
        </w:rPr>
        <w:t>a</w:t>
      </w:r>
      <w:r w:rsidRPr="00FD016C">
        <w:rPr>
          <w:rFonts w:ascii="Verdana" w:hAnsi="Verdana" w:cs="Arial"/>
          <w:sz w:val="20"/>
          <w:szCs w:val="20"/>
        </w:rPr>
        <w:t xml:space="preserve"> de proteção para possíveis variações da taxa de câmbio ao longo do período de pagamento das faturas em aberto.</w:t>
      </w:r>
    </w:p>
    <w:p w14:paraId="1DA99EE5" w14:textId="77777777" w:rsidR="003C1727" w:rsidRPr="00FD016C" w:rsidRDefault="003C1727" w:rsidP="003F5A43">
      <w:pPr>
        <w:widowControl/>
        <w:tabs>
          <w:tab w:val="num" w:pos="360"/>
        </w:tabs>
        <w:jc w:val="both"/>
        <w:rPr>
          <w:rFonts w:ascii="Verdana" w:hAnsi="Verdana" w:cs="Arial"/>
          <w:sz w:val="20"/>
          <w:szCs w:val="20"/>
        </w:rPr>
      </w:pPr>
    </w:p>
    <w:p w14:paraId="4460748C" w14:textId="77BA13AA" w:rsidR="003C1727" w:rsidRPr="00FD016C" w:rsidRDefault="003C1727" w:rsidP="003F5A43">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Em 26 de março de 2021, ocorreu o desembolso da terceira tranche do Contrato nº ECF 3387/20 no valor de R$ 850.000 voltada para os gastos previstos para o ano de 2021 no âmbito do Plano de Aceleração da Linha Crítica</w:t>
      </w:r>
      <w:r w:rsidR="00CF1FFA" w:rsidRPr="00FD016C">
        <w:rPr>
          <w:rFonts w:ascii="Verdana" w:hAnsi="Verdana" w:cs="Arial"/>
          <w:color w:val="000000" w:themeColor="text1"/>
          <w:sz w:val="20"/>
          <w:szCs w:val="20"/>
        </w:rPr>
        <w:t>.</w:t>
      </w:r>
    </w:p>
    <w:p w14:paraId="7885C998" w14:textId="77777777" w:rsidR="00A20325" w:rsidRPr="00FD016C" w:rsidRDefault="00A20325" w:rsidP="003F5A43">
      <w:pPr>
        <w:widowControl/>
        <w:tabs>
          <w:tab w:val="num" w:pos="360"/>
        </w:tabs>
        <w:jc w:val="both"/>
        <w:rPr>
          <w:rFonts w:ascii="Verdana" w:hAnsi="Verdana" w:cs="Arial"/>
          <w:color w:val="000000" w:themeColor="text1"/>
          <w:sz w:val="20"/>
          <w:szCs w:val="20"/>
        </w:rPr>
      </w:pPr>
    </w:p>
    <w:p w14:paraId="24B715BE" w14:textId="77777777" w:rsidR="00A20325" w:rsidRPr="00FD016C" w:rsidRDefault="00A20325" w:rsidP="00A20325">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Em 30 de agosto de 2020, foi registrada variação monetária no valor de R$ 10.111, referente à atualização pela Selic da primeira liberação do Contrato de AFAC nº ECF-3387/20, ocorrida em 26 de agosto de 2020, conforme Cláusula contratual que previa atualização do valor concedido pela Selic caso o prazo para efetivação do aumento de capital fosse superior a um ano.</w:t>
      </w:r>
    </w:p>
    <w:p w14:paraId="593913BC" w14:textId="77777777" w:rsidR="00A20325" w:rsidRPr="00FD016C" w:rsidRDefault="00A20325" w:rsidP="00A20325">
      <w:pPr>
        <w:widowControl/>
        <w:tabs>
          <w:tab w:val="num" w:pos="360"/>
        </w:tabs>
        <w:jc w:val="both"/>
        <w:rPr>
          <w:rFonts w:ascii="Verdana" w:hAnsi="Verdana" w:cs="Arial"/>
          <w:color w:val="000000" w:themeColor="text1"/>
          <w:sz w:val="20"/>
          <w:szCs w:val="20"/>
        </w:rPr>
      </w:pPr>
    </w:p>
    <w:p w14:paraId="7DB6FF1E" w14:textId="2923A806" w:rsidR="00A20325" w:rsidRDefault="00A20325" w:rsidP="00A20325">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Em 30 de setembro de 2020, foi registrada variação monetária no valor de R$ 1.670, referente à atualização pela Selic da primeira liberação do Contrato de AFAC nº ECF-3387/20, ocorrida em 26 de agosto de 2020.</w:t>
      </w:r>
    </w:p>
    <w:p w14:paraId="57F1B895" w14:textId="17055C0C" w:rsidR="00590E39" w:rsidRDefault="00590E39" w:rsidP="00A20325">
      <w:pPr>
        <w:widowControl/>
        <w:tabs>
          <w:tab w:val="num" w:pos="360"/>
        </w:tabs>
        <w:jc w:val="both"/>
        <w:rPr>
          <w:rFonts w:ascii="Verdana" w:hAnsi="Verdana" w:cs="Arial"/>
          <w:color w:val="000000" w:themeColor="text1"/>
          <w:sz w:val="20"/>
          <w:szCs w:val="20"/>
        </w:rPr>
      </w:pPr>
    </w:p>
    <w:p w14:paraId="5662C668" w14:textId="77777777" w:rsidR="00590E39" w:rsidRPr="00FD016C" w:rsidRDefault="00590E39" w:rsidP="00590E39">
      <w:pPr>
        <w:widowControl/>
        <w:tabs>
          <w:tab w:val="num" w:pos="360"/>
        </w:tabs>
        <w:jc w:val="both"/>
        <w:rPr>
          <w:rFonts w:ascii="Verdana" w:hAnsi="Verdana" w:cs="Arial"/>
          <w:color w:val="000000" w:themeColor="text1"/>
          <w:sz w:val="20"/>
          <w:szCs w:val="20"/>
        </w:rPr>
      </w:pPr>
      <w:r w:rsidRPr="00FD016C">
        <w:rPr>
          <w:rFonts w:ascii="Verdana" w:hAnsi="Verdana" w:cs="Arial"/>
          <w:color w:val="000000" w:themeColor="text1"/>
          <w:sz w:val="20"/>
          <w:szCs w:val="20"/>
        </w:rPr>
        <w:t>Em 13 de setembro de 2021, ocorreu o desembolso da quarta tranche do Contrato nº ECF 3387/20 no valor de R$ 180.000 voltada para os gastos previstos para o ano de 2021 no âmbito do Plano de Aceleração da Linha Crítica.</w:t>
      </w:r>
    </w:p>
    <w:p w14:paraId="43A906BC" w14:textId="77777777" w:rsidR="00590E39" w:rsidRPr="00FD016C" w:rsidRDefault="00590E39" w:rsidP="00A20325">
      <w:pPr>
        <w:widowControl/>
        <w:tabs>
          <w:tab w:val="num" w:pos="360"/>
        </w:tabs>
        <w:jc w:val="both"/>
        <w:rPr>
          <w:rFonts w:ascii="Verdana" w:hAnsi="Verdana" w:cs="Arial"/>
          <w:color w:val="000000" w:themeColor="text1"/>
          <w:sz w:val="20"/>
          <w:szCs w:val="20"/>
        </w:rPr>
      </w:pPr>
    </w:p>
    <w:p w14:paraId="1CEF28B7" w14:textId="77777777" w:rsidR="00DD521D" w:rsidRPr="00FD016C" w:rsidRDefault="00DD521D" w:rsidP="00070260">
      <w:pPr>
        <w:pStyle w:val="PargrafodaLista"/>
        <w:widowControl/>
        <w:tabs>
          <w:tab w:val="center" w:pos="426"/>
          <w:tab w:val="right" w:pos="8838"/>
        </w:tabs>
        <w:ind w:left="0"/>
        <w:jc w:val="both"/>
        <w:rPr>
          <w:rFonts w:ascii="Verdana" w:hAnsi="Verdana" w:cs="Arial"/>
          <w:b/>
          <w:sz w:val="20"/>
          <w:szCs w:val="20"/>
        </w:rPr>
      </w:pPr>
    </w:p>
    <w:p w14:paraId="171D0BE0" w14:textId="6BFFC3BF" w:rsidR="007C1A21" w:rsidRDefault="007E3F43" w:rsidP="00070260">
      <w:pPr>
        <w:pStyle w:val="PargrafodaLista"/>
        <w:widowControl/>
        <w:tabs>
          <w:tab w:val="center" w:pos="426"/>
          <w:tab w:val="right" w:pos="8838"/>
        </w:tabs>
        <w:ind w:left="0"/>
        <w:jc w:val="both"/>
        <w:rPr>
          <w:rFonts w:ascii="Verdana" w:hAnsi="Verdana" w:cs="Arial"/>
          <w:b/>
          <w:sz w:val="20"/>
          <w:szCs w:val="20"/>
        </w:rPr>
      </w:pPr>
      <w:r w:rsidRPr="007E3F43">
        <w:rPr>
          <w:noProof/>
        </w:rPr>
        <w:lastRenderedPageBreak/>
        <w:drawing>
          <wp:inline distT="0" distB="0" distL="0" distR="0" wp14:anchorId="4786E908" wp14:editId="1525F39E">
            <wp:extent cx="4768850" cy="1549400"/>
            <wp:effectExtent l="0" t="0" r="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768850" cy="1549400"/>
                    </a:xfrm>
                    <a:prstGeom prst="rect">
                      <a:avLst/>
                    </a:prstGeom>
                    <a:noFill/>
                    <a:ln>
                      <a:noFill/>
                    </a:ln>
                  </pic:spPr>
                </pic:pic>
              </a:graphicData>
            </a:graphic>
          </wp:inline>
        </w:drawing>
      </w:r>
    </w:p>
    <w:p w14:paraId="04369E80" w14:textId="77777777" w:rsidR="00161FD1" w:rsidRPr="00FD016C" w:rsidRDefault="00161FD1" w:rsidP="00070260">
      <w:pPr>
        <w:pStyle w:val="PargrafodaLista"/>
        <w:widowControl/>
        <w:tabs>
          <w:tab w:val="center" w:pos="426"/>
          <w:tab w:val="right" w:pos="8838"/>
        </w:tabs>
        <w:ind w:left="0"/>
        <w:jc w:val="both"/>
        <w:rPr>
          <w:rFonts w:ascii="Verdana" w:hAnsi="Verdana" w:cs="Arial"/>
          <w:b/>
          <w:sz w:val="20"/>
          <w:szCs w:val="20"/>
        </w:rPr>
      </w:pPr>
    </w:p>
    <w:p w14:paraId="553C3FD7" w14:textId="77777777" w:rsidR="007F473C" w:rsidRPr="00FD016C" w:rsidRDefault="007F473C" w:rsidP="00070260">
      <w:pPr>
        <w:pStyle w:val="PargrafodaLista"/>
        <w:widowControl/>
        <w:tabs>
          <w:tab w:val="center" w:pos="426"/>
          <w:tab w:val="right" w:pos="8838"/>
        </w:tabs>
        <w:ind w:left="0"/>
        <w:jc w:val="both"/>
        <w:rPr>
          <w:rFonts w:ascii="Verdana" w:hAnsi="Verdana" w:cs="Arial"/>
          <w:b/>
          <w:sz w:val="20"/>
          <w:szCs w:val="20"/>
        </w:rPr>
      </w:pPr>
    </w:p>
    <w:p w14:paraId="0369ED28" w14:textId="1E28B44E" w:rsidR="007F473C" w:rsidRPr="00FD016C" w:rsidRDefault="007E3F43" w:rsidP="00070260">
      <w:pPr>
        <w:pStyle w:val="PargrafodaLista"/>
        <w:widowControl/>
        <w:tabs>
          <w:tab w:val="center" w:pos="426"/>
          <w:tab w:val="right" w:pos="8838"/>
        </w:tabs>
        <w:ind w:left="0"/>
        <w:jc w:val="both"/>
        <w:rPr>
          <w:rFonts w:ascii="Verdana" w:hAnsi="Verdana" w:cs="Arial"/>
          <w:b/>
          <w:sz w:val="20"/>
          <w:szCs w:val="20"/>
        </w:rPr>
      </w:pPr>
      <w:r w:rsidRPr="007E3F43">
        <w:rPr>
          <w:noProof/>
        </w:rPr>
        <w:drawing>
          <wp:inline distT="0" distB="0" distL="0" distR="0" wp14:anchorId="5B79C960" wp14:editId="392366BA">
            <wp:extent cx="4768850" cy="1917700"/>
            <wp:effectExtent l="0" t="0" r="0" b="6350"/>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68850" cy="1917700"/>
                    </a:xfrm>
                    <a:prstGeom prst="rect">
                      <a:avLst/>
                    </a:prstGeom>
                    <a:noFill/>
                    <a:ln>
                      <a:noFill/>
                    </a:ln>
                  </pic:spPr>
                </pic:pic>
              </a:graphicData>
            </a:graphic>
          </wp:inline>
        </w:drawing>
      </w:r>
    </w:p>
    <w:p w14:paraId="5B4642C6" w14:textId="77777777" w:rsidR="007F473C" w:rsidRPr="00FD016C" w:rsidRDefault="007F473C" w:rsidP="00070260">
      <w:pPr>
        <w:pStyle w:val="PargrafodaLista"/>
        <w:widowControl/>
        <w:tabs>
          <w:tab w:val="center" w:pos="426"/>
          <w:tab w:val="right" w:pos="8838"/>
        </w:tabs>
        <w:ind w:left="0"/>
        <w:jc w:val="both"/>
        <w:rPr>
          <w:rFonts w:ascii="Verdana" w:hAnsi="Verdana" w:cs="Arial"/>
          <w:b/>
          <w:sz w:val="20"/>
          <w:szCs w:val="20"/>
        </w:rPr>
      </w:pPr>
    </w:p>
    <w:p w14:paraId="317C83D1" w14:textId="77777777" w:rsidR="007F473C" w:rsidRPr="00FD016C" w:rsidRDefault="007F473C" w:rsidP="00070260">
      <w:pPr>
        <w:pStyle w:val="PargrafodaLista"/>
        <w:widowControl/>
        <w:tabs>
          <w:tab w:val="center" w:pos="426"/>
          <w:tab w:val="right" w:pos="8838"/>
        </w:tabs>
        <w:ind w:left="0"/>
        <w:jc w:val="both"/>
        <w:rPr>
          <w:rFonts w:ascii="Verdana" w:hAnsi="Verdana" w:cs="Arial"/>
          <w:b/>
          <w:sz w:val="20"/>
          <w:szCs w:val="20"/>
        </w:rPr>
      </w:pPr>
    </w:p>
    <w:p w14:paraId="10D9B342" w14:textId="77777777" w:rsidR="007F473C" w:rsidRPr="00FD016C" w:rsidRDefault="007F473C" w:rsidP="00070260">
      <w:pPr>
        <w:pStyle w:val="PargrafodaLista"/>
        <w:widowControl/>
        <w:tabs>
          <w:tab w:val="center" w:pos="426"/>
          <w:tab w:val="right" w:pos="8838"/>
        </w:tabs>
        <w:ind w:left="0"/>
        <w:jc w:val="both"/>
        <w:rPr>
          <w:rFonts w:ascii="Verdana" w:hAnsi="Verdana" w:cs="Arial"/>
          <w:b/>
          <w:sz w:val="20"/>
          <w:szCs w:val="20"/>
        </w:rPr>
      </w:pPr>
    </w:p>
    <w:p w14:paraId="06F8BDAF" w14:textId="77777777" w:rsidR="00F57768" w:rsidRPr="00FD016C" w:rsidRDefault="00F57768" w:rsidP="00070260">
      <w:pPr>
        <w:pStyle w:val="PargrafodaLista"/>
        <w:widowControl/>
        <w:tabs>
          <w:tab w:val="center" w:pos="426"/>
          <w:tab w:val="right" w:pos="8838"/>
        </w:tabs>
        <w:ind w:left="0"/>
        <w:jc w:val="both"/>
        <w:rPr>
          <w:rFonts w:ascii="Verdana" w:hAnsi="Verdana" w:cs="Arial"/>
          <w:b/>
          <w:color w:val="0070C0"/>
          <w:sz w:val="26"/>
          <w:szCs w:val="26"/>
        </w:rPr>
      </w:pPr>
      <w:r w:rsidRPr="00FD016C">
        <w:rPr>
          <w:rFonts w:ascii="Verdana" w:hAnsi="Verdana" w:cs="Arial"/>
          <w:b/>
          <w:color w:val="0070C0"/>
          <w:sz w:val="26"/>
          <w:szCs w:val="26"/>
        </w:rPr>
        <w:t>NOTA 26 – ARRENDAMENTO MERCANTIL</w:t>
      </w:r>
    </w:p>
    <w:p w14:paraId="0F91911C" w14:textId="77777777" w:rsidR="00F57768" w:rsidRPr="00FD016C" w:rsidRDefault="00F57768" w:rsidP="005144E2">
      <w:pPr>
        <w:widowControl/>
        <w:jc w:val="both"/>
        <w:rPr>
          <w:rFonts w:ascii="Verdana" w:hAnsi="Verdana" w:cs="Arial"/>
          <w:b/>
          <w:sz w:val="20"/>
          <w:szCs w:val="20"/>
        </w:rPr>
      </w:pPr>
    </w:p>
    <w:p w14:paraId="5E788AEE" w14:textId="77777777" w:rsidR="00F16680" w:rsidRPr="00FD016C" w:rsidRDefault="00F16680" w:rsidP="005144E2">
      <w:pPr>
        <w:widowControl/>
        <w:jc w:val="both"/>
        <w:rPr>
          <w:rFonts w:ascii="Verdana" w:hAnsi="Verdana" w:cs="Arial"/>
          <w:b/>
          <w:sz w:val="20"/>
          <w:szCs w:val="20"/>
        </w:rPr>
      </w:pPr>
    </w:p>
    <w:p w14:paraId="105CB553" w14:textId="65373C79" w:rsidR="00F57768" w:rsidRPr="00FD016C" w:rsidRDefault="00F57768" w:rsidP="005144E2">
      <w:pPr>
        <w:adjustRightInd w:val="0"/>
        <w:jc w:val="both"/>
        <w:rPr>
          <w:rFonts w:ascii="Verdana" w:hAnsi="Verdana" w:cs="Arial"/>
          <w:sz w:val="20"/>
          <w:szCs w:val="20"/>
        </w:rPr>
      </w:pPr>
      <w:r w:rsidRPr="00FD016C">
        <w:rPr>
          <w:rFonts w:ascii="Verdana" w:hAnsi="Verdana" w:cs="Arial"/>
          <w:sz w:val="20"/>
          <w:szCs w:val="20"/>
        </w:rPr>
        <w:t xml:space="preserve">O quadro abaixo apresenta os saldos contábeis </w:t>
      </w:r>
      <w:r w:rsidR="009A5117" w:rsidRPr="00FD016C">
        <w:rPr>
          <w:rFonts w:ascii="Verdana" w:hAnsi="Verdana" w:cs="Arial"/>
          <w:sz w:val="20"/>
          <w:szCs w:val="20"/>
        </w:rPr>
        <w:t>do CPC 06(R2)</w:t>
      </w:r>
      <w:r w:rsidRPr="00FD016C">
        <w:rPr>
          <w:rFonts w:ascii="Verdana" w:hAnsi="Verdana" w:cs="Arial"/>
          <w:sz w:val="20"/>
          <w:szCs w:val="20"/>
        </w:rPr>
        <w:t>:</w:t>
      </w:r>
    </w:p>
    <w:p w14:paraId="2E7611FF" w14:textId="77777777" w:rsidR="00D60C51" w:rsidRPr="00FD016C" w:rsidRDefault="00D60C51" w:rsidP="005144E2">
      <w:pPr>
        <w:adjustRightInd w:val="0"/>
        <w:jc w:val="both"/>
        <w:rPr>
          <w:rFonts w:ascii="Verdana" w:hAnsi="Verdana" w:cs="Arial"/>
          <w:sz w:val="20"/>
          <w:szCs w:val="20"/>
        </w:rPr>
      </w:pPr>
    </w:p>
    <w:p w14:paraId="5255340C" w14:textId="645CC66E" w:rsidR="00235D44" w:rsidRPr="00FD016C" w:rsidRDefault="001768EA" w:rsidP="005144E2">
      <w:pPr>
        <w:adjustRightInd w:val="0"/>
        <w:jc w:val="both"/>
        <w:rPr>
          <w:rFonts w:ascii="Verdana" w:hAnsi="Verdana" w:cs="Arial"/>
          <w:sz w:val="20"/>
          <w:szCs w:val="20"/>
        </w:rPr>
      </w:pPr>
      <w:r w:rsidRPr="00FD016C">
        <w:rPr>
          <w:noProof/>
        </w:rPr>
        <w:drawing>
          <wp:inline distT="0" distB="0" distL="0" distR="0" wp14:anchorId="1297FC3A" wp14:editId="60C37D0B">
            <wp:extent cx="5369738" cy="1673178"/>
            <wp:effectExtent l="0" t="0" r="2540" b="381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87132" cy="1678598"/>
                    </a:xfrm>
                    <a:prstGeom prst="rect">
                      <a:avLst/>
                    </a:prstGeom>
                    <a:noFill/>
                    <a:ln>
                      <a:noFill/>
                    </a:ln>
                  </pic:spPr>
                </pic:pic>
              </a:graphicData>
            </a:graphic>
          </wp:inline>
        </w:drawing>
      </w:r>
    </w:p>
    <w:p w14:paraId="4FA4EA8C" w14:textId="43DBF222" w:rsidR="00F57768" w:rsidRPr="00FD016C" w:rsidRDefault="00F57768" w:rsidP="005144E2">
      <w:pPr>
        <w:widowControl/>
        <w:jc w:val="both"/>
        <w:rPr>
          <w:rFonts w:ascii="Verdana" w:hAnsi="Verdana" w:cs="Arial"/>
          <w:b/>
          <w:sz w:val="20"/>
          <w:szCs w:val="20"/>
        </w:rPr>
      </w:pPr>
    </w:p>
    <w:p w14:paraId="527FD8FE" w14:textId="56E8BEBB" w:rsidR="00596A76" w:rsidRDefault="00596A76" w:rsidP="005144E2">
      <w:pPr>
        <w:widowControl/>
        <w:jc w:val="both"/>
        <w:rPr>
          <w:rFonts w:ascii="Verdana" w:hAnsi="Verdana" w:cs="Arial"/>
          <w:b/>
          <w:sz w:val="20"/>
          <w:szCs w:val="20"/>
        </w:rPr>
      </w:pPr>
    </w:p>
    <w:p w14:paraId="45E634D0" w14:textId="77777777" w:rsidR="00E822C6" w:rsidRDefault="00E822C6" w:rsidP="005144E2">
      <w:pPr>
        <w:widowControl/>
        <w:jc w:val="both"/>
        <w:rPr>
          <w:rFonts w:ascii="Verdana" w:hAnsi="Verdana" w:cs="Arial"/>
          <w:b/>
          <w:sz w:val="20"/>
          <w:szCs w:val="20"/>
        </w:rPr>
      </w:pPr>
    </w:p>
    <w:p w14:paraId="2B84E009" w14:textId="77777777" w:rsidR="00E822C6" w:rsidRDefault="00E822C6" w:rsidP="005144E2">
      <w:pPr>
        <w:widowControl/>
        <w:jc w:val="both"/>
        <w:rPr>
          <w:rFonts w:ascii="Verdana" w:hAnsi="Verdana" w:cs="Arial"/>
          <w:b/>
          <w:sz w:val="20"/>
          <w:szCs w:val="20"/>
        </w:rPr>
      </w:pPr>
    </w:p>
    <w:p w14:paraId="23939642" w14:textId="77777777" w:rsidR="00E822C6" w:rsidRDefault="00E822C6" w:rsidP="005144E2">
      <w:pPr>
        <w:widowControl/>
        <w:jc w:val="both"/>
        <w:rPr>
          <w:rFonts w:ascii="Verdana" w:hAnsi="Verdana" w:cs="Arial"/>
          <w:b/>
          <w:sz w:val="20"/>
          <w:szCs w:val="20"/>
        </w:rPr>
      </w:pPr>
    </w:p>
    <w:p w14:paraId="6FF82569" w14:textId="77777777" w:rsidR="00E822C6" w:rsidRDefault="00E822C6" w:rsidP="005144E2">
      <w:pPr>
        <w:widowControl/>
        <w:jc w:val="both"/>
        <w:rPr>
          <w:rFonts w:ascii="Verdana" w:hAnsi="Verdana" w:cs="Arial"/>
          <w:b/>
          <w:sz w:val="20"/>
          <w:szCs w:val="20"/>
        </w:rPr>
      </w:pPr>
    </w:p>
    <w:p w14:paraId="1DC01945" w14:textId="77777777" w:rsidR="00E822C6" w:rsidRDefault="00E822C6" w:rsidP="005144E2">
      <w:pPr>
        <w:widowControl/>
        <w:jc w:val="both"/>
        <w:rPr>
          <w:rFonts w:ascii="Verdana" w:hAnsi="Verdana" w:cs="Arial"/>
          <w:b/>
          <w:sz w:val="20"/>
          <w:szCs w:val="20"/>
        </w:rPr>
      </w:pPr>
    </w:p>
    <w:p w14:paraId="6D9623BC" w14:textId="77777777" w:rsidR="00E822C6" w:rsidRDefault="00E822C6" w:rsidP="005144E2">
      <w:pPr>
        <w:widowControl/>
        <w:jc w:val="both"/>
        <w:rPr>
          <w:rFonts w:ascii="Verdana" w:hAnsi="Verdana" w:cs="Arial"/>
          <w:b/>
          <w:sz w:val="20"/>
          <w:szCs w:val="20"/>
        </w:rPr>
      </w:pPr>
    </w:p>
    <w:p w14:paraId="33E5E1ED" w14:textId="77777777" w:rsidR="00E822C6" w:rsidRPr="00FD016C" w:rsidRDefault="00E822C6" w:rsidP="005144E2">
      <w:pPr>
        <w:widowControl/>
        <w:jc w:val="both"/>
        <w:rPr>
          <w:rFonts w:ascii="Verdana" w:hAnsi="Verdana" w:cs="Arial"/>
          <w:b/>
          <w:sz w:val="20"/>
          <w:szCs w:val="20"/>
        </w:rPr>
      </w:pPr>
    </w:p>
    <w:p w14:paraId="38433AC4" w14:textId="77777777" w:rsidR="00F57768" w:rsidRPr="00FD016C" w:rsidRDefault="00F57768" w:rsidP="005144E2">
      <w:pPr>
        <w:widowControl/>
        <w:jc w:val="both"/>
        <w:rPr>
          <w:rFonts w:ascii="Verdana" w:hAnsi="Verdana" w:cs="Arial"/>
          <w:sz w:val="20"/>
          <w:szCs w:val="20"/>
        </w:rPr>
      </w:pPr>
      <w:r w:rsidRPr="00FD016C">
        <w:rPr>
          <w:rFonts w:ascii="Verdana" w:hAnsi="Verdana" w:cs="Arial"/>
          <w:sz w:val="20"/>
          <w:szCs w:val="20"/>
        </w:rPr>
        <w:lastRenderedPageBreak/>
        <w:t>Movimentação dos ativos e passivo de arrendamento mercantil – IFRS 16</w:t>
      </w:r>
      <w:r w:rsidR="009C06F5" w:rsidRPr="00FD016C">
        <w:rPr>
          <w:rFonts w:ascii="Verdana" w:hAnsi="Verdana" w:cs="Arial"/>
          <w:sz w:val="20"/>
          <w:szCs w:val="20"/>
        </w:rPr>
        <w:t>:</w:t>
      </w:r>
    </w:p>
    <w:p w14:paraId="16AEA66A" w14:textId="77777777" w:rsidR="00020D7A" w:rsidRPr="00FD016C" w:rsidRDefault="00020D7A" w:rsidP="005144E2">
      <w:pPr>
        <w:widowControl/>
        <w:jc w:val="both"/>
        <w:rPr>
          <w:rFonts w:ascii="Verdana" w:hAnsi="Verdana" w:cs="Arial"/>
          <w:sz w:val="20"/>
          <w:szCs w:val="20"/>
        </w:rPr>
      </w:pPr>
    </w:p>
    <w:p w14:paraId="0632334B" w14:textId="74106D0B" w:rsidR="00F57768" w:rsidRPr="00FD016C" w:rsidRDefault="001768EA" w:rsidP="005144E2">
      <w:pPr>
        <w:widowControl/>
        <w:jc w:val="both"/>
        <w:rPr>
          <w:rFonts w:ascii="Verdana" w:hAnsi="Verdana" w:cs="Arial"/>
          <w:b/>
          <w:sz w:val="20"/>
          <w:szCs w:val="20"/>
        </w:rPr>
      </w:pPr>
      <w:r w:rsidRPr="00FD016C">
        <w:rPr>
          <w:noProof/>
        </w:rPr>
        <w:drawing>
          <wp:inline distT="0" distB="0" distL="0" distR="0" wp14:anchorId="6F44F228" wp14:editId="6AC65593">
            <wp:extent cx="5548414" cy="1037462"/>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84531" cy="1044215"/>
                    </a:xfrm>
                    <a:prstGeom prst="rect">
                      <a:avLst/>
                    </a:prstGeom>
                    <a:noFill/>
                    <a:ln>
                      <a:noFill/>
                    </a:ln>
                  </pic:spPr>
                </pic:pic>
              </a:graphicData>
            </a:graphic>
          </wp:inline>
        </w:drawing>
      </w:r>
    </w:p>
    <w:p w14:paraId="499ED400" w14:textId="260BAAF0" w:rsidR="004976C2" w:rsidRPr="00FD016C" w:rsidRDefault="004976C2" w:rsidP="005144E2">
      <w:pPr>
        <w:widowControl/>
        <w:jc w:val="both"/>
        <w:rPr>
          <w:rFonts w:ascii="Verdana" w:hAnsi="Verdana" w:cs="Arial"/>
          <w:b/>
          <w:sz w:val="20"/>
          <w:szCs w:val="20"/>
        </w:rPr>
      </w:pPr>
    </w:p>
    <w:p w14:paraId="7CD77204" w14:textId="68BE0C5D" w:rsidR="00596A76" w:rsidRPr="00FD016C" w:rsidRDefault="001768EA" w:rsidP="005144E2">
      <w:pPr>
        <w:widowControl/>
        <w:jc w:val="both"/>
        <w:rPr>
          <w:rFonts w:ascii="Verdana" w:hAnsi="Verdana" w:cs="Arial"/>
          <w:b/>
          <w:sz w:val="20"/>
          <w:szCs w:val="20"/>
        </w:rPr>
      </w:pPr>
      <w:r w:rsidRPr="00FD016C">
        <w:rPr>
          <w:noProof/>
        </w:rPr>
        <w:drawing>
          <wp:inline distT="0" distB="0" distL="0" distR="0" wp14:anchorId="2155425A" wp14:editId="4244D382">
            <wp:extent cx="6073140" cy="1449322"/>
            <wp:effectExtent l="0" t="0" r="381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73140" cy="1449322"/>
                    </a:xfrm>
                    <a:prstGeom prst="rect">
                      <a:avLst/>
                    </a:prstGeom>
                    <a:noFill/>
                    <a:ln>
                      <a:noFill/>
                    </a:ln>
                  </pic:spPr>
                </pic:pic>
              </a:graphicData>
            </a:graphic>
          </wp:inline>
        </w:drawing>
      </w:r>
    </w:p>
    <w:p w14:paraId="0DA829BC" w14:textId="0E74D205" w:rsidR="00A7024B" w:rsidRPr="00E822C6" w:rsidRDefault="00A7024B" w:rsidP="0074588C">
      <w:pPr>
        <w:widowControl/>
        <w:jc w:val="both"/>
        <w:rPr>
          <w:rFonts w:ascii="Verdana" w:hAnsi="Verdana" w:cs="Arial"/>
          <w:b/>
          <w:color w:val="0070C0"/>
          <w:sz w:val="20"/>
          <w:szCs w:val="20"/>
        </w:rPr>
      </w:pPr>
    </w:p>
    <w:p w14:paraId="32A9D4E5" w14:textId="77777777" w:rsidR="00A7024B" w:rsidRPr="00E822C6" w:rsidRDefault="00A7024B" w:rsidP="0074588C">
      <w:pPr>
        <w:widowControl/>
        <w:jc w:val="both"/>
        <w:rPr>
          <w:rFonts w:ascii="Verdana" w:hAnsi="Verdana" w:cs="Arial"/>
          <w:b/>
          <w:color w:val="0070C0"/>
          <w:sz w:val="20"/>
          <w:szCs w:val="20"/>
        </w:rPr>
      </w:pPr>
    </w:p>
    <w:p w14:paraId="15191A0A" w14:textId="77777777" w:rsidR="00E822C6" w:rsidRPr="00E822C6" w:rsidRDefault="00E822C6" w:rsidP="0074588C">
      <w:pPr>
        <w:widowControl/>
        <w:jc w:val="both"/>
        <w:rPr>
          <w:rFonts w:ascii="Verdana" w:hAnsi="Verdana" w:cs="Arial"/>
          <w:b/>
          <w:color w:val="0070C0"/>
          <w:sz w:val="20"/>
          <w:szCs w:val="20"/>
        </w:rPr>
      </w:pPr>
    </w:p>
    <w:p w14:paraId="156EC0B4" w14:textId="061972DA" w:rsidR="0074588C" w:rsidRPr="00FD016C" w:rsidRDefault="0074588C" w:rsidP="0074588C">
      <w:pPr>
        <w:widowControl/>
        <w:jc w:val="both"/>
        <w:rPr>
          <w:rFonts w:ascii="Verdana" w:hAnsi="Verdana" w:cs="Arial"/>
          <w:b/>
          <w:color w:val="0070C0"/>
          <w:sz w:val="26"/>
          <w:szCs w:val="26"/>
        </w:rPr>
      </w:pPr>
      <w:r w:rsidRPr="00FD016C">
        <w:rPr>
          <w:rFonts w:ascii="Verdana" w:hAnsi="Verdana" w:cs="Arial"/>
          <w:b/>
          <w:color w:val="0070C0"/>
          <w:sz w:val="26"/>
          <w:szCs w:val="26"/>
        </w:rPr>
        <w:t>NOTA 27– RESSARCIMENTO DE CLIENTE</w:t>
      </w:r>
    </w:p>
    <w:p w14:paraId="373D6D52" w14:textId="77777777" w:rsidR="00890197" w:rsidRPr="00E822C6" w:rsidRDefault="00890197" w:rsidP="0074588C">
      <w:pPr>
        <w:widowControl/>
        <w:jc w:val="both"/>
        <w:rPr>
          <w:rFonts w:ascii="Verdana" w:hAnsi="Verdana" w:cs="Arial"/>
          <w:b/>
          <w:color w:val="0070C0"/>
          <w:sz w:val="20"/>
          <w:szCs w:val="20"/>
        </w:rPr>
      </w:pPr>
    </w:p>
    <w:p w14:paraId="7758AE06" w14:textId="77777777" w:rsidR="00CD00B4" w:rsidRPr="00E822C6" w:rsidRDefault="00CD00B4" w:rsidP="0074588C">
      <w:pPr>
        <w:widowControl/>
        <w:jc w:val="both"/>
        <w:rPr>
          <w:rFonts w:ascii="Verdana" w:hAnsi="Verdana" w:cs="Arial"/>
          <w:b/>
          <w:sz w:val="20"/>
          <w:szCs w:val="20"/>
        </w:rPr>
      </w:pPr>
    </w:p>
    <w:p w14:paraId="1BAB5A1C" w14:textId="36D961E4" w:rsidR="00996629" w:rsidRPr="00FD016C" w:rsidRDefault="008B55B1" w:rsidP="0074588C">
      <w:pPr>
        <w:widowControl/>
        <w:jc w:val="both"/>
        <w:rPr>
          <w:rFonts w:ascii="Verdana" w:hAnsi="Verdana" w:cs="Arial"/>
          <w:b/>
          <w:sz w:val="20"/>
          <w:szCs w:val="20"/>
        </w:rPr>
      </w:pPr>
      <w:r w:rsidRPr="00FD016C">
        <w:rPr>
          <w:noProof/>
        </w:rPr>
        <w:drawing>
          <wp:inline distT="0" distB="0" distL="0" distR="0" wp14:anchorId="3DC98555" wp14:editId="5EA9E595">
            <wp:extent cx="5048250" cy="1724025"/>
            <wp:effectExtent l="0" t="0" r="0" b="9525"/>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48250" cy="1724025"/>
                    </a:xfrm>
                    <a:prstGeom prst="rect">
                      <a:avLst/>
                    </a:prstGeom>
                    <a:noFill/>
                    <a:ln>
                      <a:noFill/>
                    </a:ln>
                  </pic:spPr>
                </pic:pic>
              </a:graphicData>
            </a:graphic>
          </wp:inline>
        </w:drawing>
      </w:r>
    </w:p>
    <w:p w14:paraId="5543A9A8" w14:textId="77777777" w:rsidR="00074445" w:rsidRPr="00FD016C" w:rsidRDefault="00074445" w:rsidP="0074588C">
      <w:pPr>
        <w:widowControl/>
        <w:jc w:val="both"/>
        <w:rPr>
          <w:rFonts w:ascii="Verdana" w:hAnsi="Verdana" w:cs="Arial"/>
          <w:b/>
          <w:sz w:val="20"/>
          <w:szCs w:val="20"/>
        </w:rPr>
      </w:pPr>
    </w:p>
    <w:p w14:paraId="2FE253AC" w14:textId="0D45BE86" w:rsidR="00123502" w:rsidRPr="00FD016C" w:rsidRDefault="00F95859" w:rsidP="00123502">
      <w:pPr>
        <w:contextualSpacing/>
        <w:jc w:val="both"/>
        <w:rPr>
          <w:rFonts w:ascii="Verdana" w:hAnsi="Verdana" w:cs="Arial"/>
          <w:sz w:val="20"/>
          <w:szCs w:val="20"/>
          <w:lang w:eastAsia="en-GB"/>
        </w:rPr>
      </w:pPr>
      <w:r w:rsidRPr="00FD016C">
        <w:rPr>
          <w:rFonts w:ascii="Verdana" w:hAnsi="Verdana" w:cs="Arial"/>
          <w:sz w:val="20"/>
          <w:szCs w:val="20"/>
          <w:lang w:eastAsia="en-GB"/>
        </w:rPr>
        <w:t xml:space="preserve">O saldo do desvio negativo (ressarcimento) de R$ </w:t>
      </w:r>
      <w:r w:rsidR="00276A65" w:rsidRPr="00FD016C">
        <w:rPr>
          <w:rFonts w:ascii="Verdana" w:hAnsi="Verdana" w:cs="Arial"/>
          <w:sz w:val="20"/>
          <w:szCs w:val="20"/>
          <w:lang w:eastAsia="en-GB"/>
        </w:rPr>
        <w:t>366.114</w:t>
      </w:r>
      <w:r w:rsidRPr="00FD016C">
        <w:rPr>
          <w:rFonts w:ascii="Verdana" w:hAnsi="Verdana" w:cs="Arial"/>
          <w:sz w:val="20"/>
          <w:szCs w:val="20"/>
          <w:lang w:eastAsia="en-GB"/>
        </w:rPr>
        <w:t xml:space="preserve"> (R$ 267.111 em 31 de dezembro de 2020) decorre de a energia fornecida ter sido menor que a energia garantida para </w:t>
      </w:r>
      <w:r w:rsidR="004A3CC0">
        <w:rPr>
          <w:rFonts w:ascii="Verdana" w:hAnsi="Verdana" w:cs="Arial"/>
          <w:sz w:val="20"/>
          <w:szCs w:val="20"/>
          <w:lang w:eastAsia="en-GB"/>
        </w:rPr>
        <w:t>o</w:t>
      </w:r>
      <w:r w:rsidR="004A3CC0" w:rsidRPr="00FD016C">
        <w:rPr>
          <w:rFonts w:ascii="Verdana" w:hAnsi="Verdana" w:cs="Arial"/>
          <w:sz w:val="20"/>
          <w:szCs w:val="20"/>
          <w:lang w:eastAsia="en-GB"/>
        </w:rPr>
        <w:t xml:space="preserve"> </w:t>
      </w:r>
      <w:r w:rsidR="004A3CC0">
        <w:rPr>
          <w:rFonts w:ascii="Verdana" w:hAnsi="Verdana" w:cs="Arial"/>
          <w:sz w:val="20"/>
          <w:szCs w:val="20"/>
          <w:lang w:eastAsia="en-GB"/>
        </w:rPr>
        <w:t xml:space="preserve">exercício </w:t>
      </w:r>
      <w:r w:rsidRPr="00FD016C">
        <w:rPr>
          <w:rFonts w:ascii="Verdana" w:hAnsi="Verdana" w:cs="Arial"/>
          <w:sz w:val="20"/>
          <w:szCs w:val="20"/>
          <w:lang w:eastAsia="en-GB"/>
        </w:rPr>
        <w:t xml:space="preserve">de 2020 e </w:t>
      </w:r>
      <w:r w:rsidR="004A3CC0">
        <w:rPr>
          <w:rFonts w:ascii="Verdana" w:hAnsi="Verdana" w:cs="Arial"/>
          <w:sz w:val="20"/>
          <w:szCs w:val="20"/>
          <w:lang w:eastAsia="en-GB"/>
        </w:rPr>
        <w:t xml:space="preserve">o período de nove meses findos em 30 de setembro de 2021, </w:t>
      </w:r>
      <w:r w:rsidR="00123502" w:rsidRPr="00FD016C">
        <w:rPr>
          <w:rFonts w:ascii="Verdana" w:hAnsi="Verdana" w:cs="Arial"/>
          <w:sz w:val="20"/>
          <w:szCs w:val="20"/>
          <w:lang w:eastAsia="en-GB"/>
        </w:rPr>
        <w:t>visto que o tempo de parada de manutenção da Usina de Angra 2 em 2020 foi superior ao programado para o ano e a performance da</w:t>
      </w:r>
      <w:r w:rsidR="00975618" w:rsidRPr="00FD016C">
        <w:rPr>
          <w:rFonts w:ascii="Verdana" w:hAnsi="Verdana" w:cs="Arial"/>
          <w:sz w:val="20"/>
          <w:szCs w:val="20"/>
          <w:lang w:eastAsia="en-GB"/>
        </w:rPr>
        <w:t xml:space="preserve"> U</w:t>
      </w:r>
      <w:r w:rsidR="00123502" w:rsidRPr="00FD016C">
        <w:rPr>
          <w:rFonts w:ascii="Verdana" w:hAnsi="Verdana" w:cs="Arial"/>
          <w:sz w:val="20"/>
          <w:szCs w:val="20"/>
          <w:lang w:eastAsia="en-GB"/>
        </w:rPr>
        <w:t>sina</w:t>
      </w:r>
      <w:r w:rsidR="00975618" w:rsidRPr="00FD016C">
        <w:rPr>
          <w:rFonts w:ascii="Verdana" w:hAnsi="Verdana" w:cs="Arial"/>
          <w:sz w:val="20"/>
          <w:szCs w:val="20"/>
          <w:lang w:eastAsia="en-GB"/>
        </w:rPr>
        <w:t xml:space="preserve"> Angra 2</w:t>
      </w:r>
      <w:r w:rsidR="00123502" w:rsidRPr="00FD016C">
        <w:rPr>
          <w:rFonts w:ascii="Verdana" w:hAnsi="Verdana" w:cs="Arial"/>
          <w:sz w:val="20"/>
          <w:szCs w:val="20"/>
          <w:lang w:eastAsia="en-GB"/>
        </w:rPr>
        <w:t xml:space="preserve"> no </w:t>
      </w:r>
      <w:r w:rsidR="00975618" w:rsidRPr="00FD016C">
        <w:rPr>
          <w:rFonts w:ascii="Verdana" w:hAnsi="Verdana" w:cs="Arial"/>
          <w:sz w:val="20"/>
          <w:szCs w:val="20"/>
          <w:lang w:eastAsia="en-GB"/>
        </w:rPr>
        <w:t xml:space="preserve">período de agosto </w:t>
      </w:r>
      <w:r w:rsidR="00EE5A20">
        <w:rPr>
          <w:rFonts w:ascii="Verdana" w:hAnsi="Verdana" w:cs="Arial"/>
          <w:sz w:val="20"/>
          <w:szCs w:val="20"/>
          <w:lang w:eastAsia="en-GB"/>
        </w:rPr>
        <w:t xml:space="preserve">de </w:t>
      </w:r>
      <w:r w:rsidR="00975618" w:rsidRPr="00FD016C">
        <w:rPr>
          <w:rFonts w:ascii="Verdana" w:hAnsi="Verdana" w:cs="Arial"/>
          <w:sz w:val="20"/>
          <w:szCs w:val="20"/>
          <w:lang w:eastAsia="en-GB"/>
        </w:rPr>
        <w:t xml:space="preserve">2020 a junho </w:t>
      </w:r>
      <w:r w:rsidR="00EE5A20">
        <w:rPr>
          <w:rFonts w:ascii="Verdana" w:hAnsi="Verdana" w:cs="Arial"/>
          <w:sz w:val="20"/>
          <w:szCs w:val="20"/>
          <w:lang w:eastAsia="en-GB"/>
        </w:rPr>
        <w:t xml:space="preserve">de </w:t>
      </w:r>
      <w:r w:rsidR="00975618" w:rsidRPr="00FD016C">
        <w:rPr>
          <w:rFonts w:ascii="Verdana" w:hAnsi="Verdana" w:cs="Arial"/>
          <w:sz w:val="20"/>
          <w:szCs w:val="20"/>
          <w:lang w:eastAsia="en-GB"/>
        </w:rPr>
        <w:t>2021</w:t>
      </w:r>
      <w:r w:rsidR="00123502" w:rsidRPr="00FD016C">
        <w:rPr>
          <w:rFonts w:ascii="Verdana" w:hAnsi="Verdana" w:cs="Arial"/>
          <w:sz w:val="20"/>
          <w:szCs w:val="20"/>
          <w:lang w:eastAsia="en-GB"/>
        </w:rPr>
        <w:t xml:space="preserve"> não atingiu a capacidade máxima</w:t>
      </w:r>
      <w:r w:rsidR="006E219A" w:rsidRPr="00FD016C">
        <w:rPr>
          <w:rFonts w:ascii="Verdana" w:hAnsi="Verdana" w:cs="Arial"/>
          <w:sz w:val="20"/>
          <w:szCs w:val="20"/>
          <w:lang w:eastAsia="en-GB"/>
        </w:rPr>
        <w:t xml:space="preserve"> </w:t>
      </w:r>
      <w:r w:rsidR="00A2099D" w:rsidRPr="00FD016C">
        <w:rPr>
          <w:rFonts w:ascii="Verdana" w:hAnsi="Verdana" w:cs="Arial"/>
          <w:sz w:val="20"/>
          <w:szCs w:val="20"/>
          <w:lang w:eastAsia="en-GB"/>
        </w:rPr>
        <w:t xml:space="preserve">(a  Usina Angra 2 operou em 90% de sua capacidade durante o </w:t>
      </w:r>
      <w:r w:rsidR="006E219A" w:rsidRPr="00FD016C">
        <w:rPr>
          <w:rFonts w:ascii="Verdana" w:hAnsi="Verdana" w:cs="Arial"/>
          <w:sz w:val="20"/>
          <w:szCs w:val="20"/>
          <w:lang w:eastAsia="en-GB"/>
        </w:rPr>
        <w:t>ciclo 17</w:t>
      </w:r>
      <w:r w:rsidR="00A2099D" w:rsidRPr="00FD016C">
        <w:rPr>
          <w:rFonts w:ascii="Verdana" w:hAnsi="Verdana" w:cs="Arial"/>
          <w:sz w:val="20"/>
          <w:szCs w:val="20"/>
          <w:lang w:eastAsia="en-GB"/>
        </w:rPr>
        <w:t>)</w:t>
      </w:r>
      <w:r w:rsidR="00123502" w:rsidRPr="00FD016C">
        <w:rPr>
          <w:rFonts w:ascii="Verdana" w:hAnsi="Verdana" w:cs="Arial"/>
          <w:sz w:val="20"/>
          <w:szCs w:val="20"/>
          <w:lang w:eastAsia="en-GB"/>
        </w:rPr>
        <w:t xml:space="preserve">. Está composto pelo saldo do desvio negativo do exercício de 2020 no montante de R$ </w:t>
      </w:r>
      <w:r w:rsidR="00276A65" w:rsidRPr="00FD016C">
        <w:rPr>
          <w:rFonts w:ascii="Verdana" w:hAnsi="Verdana" w:cs="Arial"/>
          <w:sz w:val="20"/>
          <w:szCs w:val="20"/>
          <w:lang w:eastAsia="en-GB"/>
        </w:rPr>
        <w:t>89.037</w:t>
      </w:r>
      <w:r w:rsidR="00123502" w:rsidRPr="00FD016C">
        <w:rPr>
          <w:rFonts w:ascii="Verdana" w:hAnsi="Verdana" w:cs="Arial"/>
          <w:sz w:val="20"/>
          <w:szCs w:val="20"/>
          <w:lang w:eastAsia="en-GB"/>
        </w:rPr>
        <w:t xml:space="preserve"> e pelo desvio negativo estimado para o exercício de 2021 no montante de R$ </w:t>
      </w:r>
      <w:r w:rsidR="00276A65" w:rsidRPr="00FD016C">
        <w:rPr>
          <w:rFonts w:ascii="Verdana" w:hAnsi="Verdana" w:cs="Arial"/>
          <w:sz w:val="20"/>
          <w:szCs w:val="20"/>
          <w:lang w:eastAsia="en-GB"/>
        </w:rPr>
        <w:t>277.077.</w:t>
      </w:r>
      <w:r w:rsidR="00123502" w:rsidRPr="00FD016C">
        <w:rPr>
          <w:rFonts w:ascii="Verdana" w:hAnsi="Verdana" w:cs="Arial"/>
          <w:sz w:val="20"/>
          <w:szCs w:val="20"/>
          <w:lang w:eastAsia="en-GB"/>
        </w:rPr>
        <w:t xml:space="preserve"> </w:t>
      </w:r>
    </w:p>
    <w:p w14:paraId="18B0AADA" w14:textId="77777777" w:rsidR="00123502" w:rsidRPr="00FD016C" w:rsidRDefault="00123502" w:rsidP="00123502">
      <w:pPr>
        <w:contextualSpacing/>
        <w:jc w:val="both"/>
        <w:rPr>
          <w:rFonts w:ascii="Verdana" w:hAnsi="Verdana" w:cs="Arial"/>
          <w:sz w:val="20"/>
          <w:szCs w:val="20"/>
          <w:lang w:eastAsia="en-GB"/>
        </w:rPr>
      </w:pPr>
    </w:p>
    <w:p w14:paraId="4C973DF8" w14:textId="61511C95" w:rsidR="00123502" w:rsidRPr="00FD016C" w:rsidRDefault="00123502" w:rsidP="00123502">
      <w:pPr>
        <w:contextualSpacing/>
        <w:jc w:val="both"/>
        <w:rPr>
          <w:rFonts w:ascii="Verdana" w:hAnsi="Verdana" w:cs="Arial"/>
          <w:sz w:val="20"/>
          <w:szCs w:val="20"/>
          <w:lang w:eastAsia="en-GB"/>
        </w:rPr>
      </w:pPr>
      <w:r w:rsidRPr="00FD016C">
        <w:rPr>
          <w:rFonts w:ascii="Verdana" w:hAnsi="Verdana" w:cs="Arial"/>
          <w:sz w:val="20"/>
          <w:szCs w:val="20"/>
          <w:lang w:eastAsia="en-GB"/>
        </w:rPr>
        <w:t xml:space="preserve">O desvio negativo (ressarcimento) do exercício de 2020 no montante R$ </w:t>
      </w:r>
      <w:r w:rsidR="00276A65" w:rsidRPr="00FD016C">
        <w:rPr>
          <w:rFonts w:ascii="Verdana" w:hAnsi="Verdana" w:cs="Arial"/>
          <w:sz w:val="20"/>
          <w:szCs w:val="20"/>
          <w:lang w:eastAsia="en-GB"/>
        </w:rPr>
        <w:t>89.037</w:t>
      </w:r>
      <w:r w:rsidRPr="00FD016C">
        <w:rPr>
          <w:rFonts w:ascii="Verdana" w:hAnsi="Verdana" w:cs="Arial"/>
          <w:sz w:val="20"/>
          <w:szCs w:val="20"/>
          <w:lang w:eastAsia="en-GB"/>
        </w:rPr>
        <w:t xml:space="preserve"> corresponde à quantidade de energia entregue a menor em 2020 valorado ao máximo entre o Preço de Liquidação de Diferenças - PLD médio do ano de referência e a tarifa homologada pela Aneel na Resolução </w:t>
      </w:r>
      <w:r w:rsidRPr="00FD016C">
        <w:rPr>
          <w:rFonts w:ascii="Verdana" w:hAnsi="Verdana" w:cs="Arial"/>
          <w:iCs/>
          <w:sz w:val="20"/>
          <w:szCs w:val="20"/>
        </w:rPr>
        <w:t xml:space="preserve">nº </w:t>
      </w:r>
      <w:r w:rsidRPr="00FD016C">
        <w:rPr>
          <w:rFonts w:ascii="Verdana" w:hAnsi="Verdana" w:cs="Arial"/>
          <w:sz w:val="20"/>
          <w:szCs w:val="20"/>
        </w:rPr>
        <w:t xml:space="preserve">2.661 </w:t>
      </w:r>
      <w:r w:rsidRPr="00FD016C">
        <w:rPr>
          <w:rFonts w:ascii="Verdana" w:hAnsi="Verdana" w:cs="Arial"/>
          <w:iCs/>
          <w:sz w:val="20"/>
          <w:szCs w:val="20"/>
        </w:rPr>
        <w:t>de 17 de dezembro de 2019;</w:t>
      </w:r>
      <w:r w:rsidRPr="00FD016C">
        <w:rPr>
          <w:rFonts w:ascii="Verdana" w:hAnsi="Verdana" w:cs="Arial"/>
          <w:sz w:val="20"/>
          <w:szCs w:val="20"/>
          <w:lang w:eastAsia="en-GB"/>
        </w:rPr>
        <w:t xml:space="preserve"> e será ressarcido a todas concessionárias, permissionárias ou autorizadas de serviço público de distribuição do Sistema Interligado </w:t>
      </w:r>
      <w:r w:rsidRPr="00FD016C">
        <w:rPr>
          <w:rFonts w:ascii="Verdana" w:hAnsi="Verdana" w:cs="Arial"/>
          <w:sz w:val="20"/>
          <w:szCs w:val="20"/>
          <w:lang w:eastAsia="en-GB"/>
        </w:rPr>
        <w:lastRenderedPageBreak/>
        <w:t xml:space="preserve">Nacional – SIN, em parcelas duodecimais até janeiro de 2022. E o montante estimado de desvio negativo em </w:t>
      </w:r>
      <w:r w:rsidR="00565AE7" w:rsidRPr="00FD016C">
        <w:rPr>
          <w:rFonts w:ascii="Verdana" w:hAnsi="Verdana" w:cs="Arial"/>
          <w:sz w:val="20"/>
          <w:szCs w:val="20"/>
          <w:lang w:eastAsia="en-GB"/>
        </w:rPr>
        <w:t>setembro de</w:t>
      </w:r>
      <w:r w:rsidRPr="00FD016C">
        <w:rPr>
          <w:rFonts w:ascii="Verdana" w:hAnsi="Verdana" w:cs="Arial"/>
          <w:sz w:val="20"/>
          <w:szCs w:val="20"/>
          <w:lang w:eastAsia="en-GB"/>
        </w:rPr>
        <w:t xml:space="preserve"> 2021 no montante de R$ </w:t>
      </w:r>
      <w:r w:rsidR="00276A65" w:rsidRPr="00FD016C">
        <w:rPr>
          <w:rFonts w:ascii="Verdana" w:hAnsi="Verdana" w:cs="Arial"/>
          <w:sz w:val="20"/>
          <w:szCs w:val="20"/>
          <w:lang w:eastAsia="en-GB"/>
        </w:rPr>
        <w:t>277.077</w:t>
      </w:r>
      <w:r w:rsidRPr="00FD016C">
        <w:rPr>
          <w:rFonts w:ascii="Verdana" w:hAnsi="Verdana" w:cs="Arial"/>
          <w:sz w:val="20"/>
          <w:szCs w:val="20"/>
          <w:lang w:eastAsia="en-GB"/>
        </w:rPr>
        <w:t xml:space="preserve"> será ressarcido em parcelas duodecimais</w:t>
      </w:r>
      <w:r w:rsidR="004756D8" w:rsidRPr="00FD016C">
        <w:rPr>
          <w:rFonts w:ascii="Verdana" w:hAnsi="Verdana" w:cs="Arial"/>
          <w:sz w:val="20"/>
          <w:szCs w:val="20"/>
          <w:lang w:eastAsia="en-GB"/>
        </w:rPr>
        <w:t xml:space="preserve"> a partir de fevereiro de 2022 (</w:t>
      </w:r>
      <w:r w:rsidR="00E822C6">
        <w:rPr>
          <w:rFonts w:ascii="Verdana" w:hAnsi="Verdana" w:cs="Arial"/>
          <w:sz w:val="20"/>
          <w:szCs w:val="20"/>
          <w:lang w:eastAsia="en-GB"/>
        </w:rPr>
        <w:t>nota</w:t>
      </w:r>
      <w:r w:rsidR="004756D8" w:rsidRPr="00FD016C">
        <w:rPr>
          <w:rFonts w:ascii="Verdana" w:hAnsi="Verdana" w:cs="Arial"/>
          <w:sz w:val="20"/>
          <w:szCs w:val="20"/>
          <w:lang w:eastAsia="en-GB"/>
        </w:rPr>
        <w:t xml:space="preserve"> 29).</w:t>
      </w:r>
    </w:p>
    <w:p w14:paraId="2474E1DB" w14:textId="77777777" w:rsidR="007F473C" w:rsidRPr="00FD016C" w:rsidRDefault="007F473C" w:rsidP="005144E2">
      <w:pPr>
        <w:widowControl/>
        <w:jc w:val="both"/>
        <w:rPr>
          <w:rFonts w:ascii="Verdana" w:hAnsi="Verdana" w:cs="Arial"/>
          <w:b/>
          <w:sz w:val="20"/>
          <w:szCs w:val="20"/>
        </w:rPr>
      </w:pPr>
    </w:p>
    <w:p w14:paraId="70AB1832" w14:textId="5BF1051D" w:rsidR="00722243" w:rsidRDefault="00722243" w:rsidP="005144E2">
      <w:pPr>
        <w:widowControl/>
        <w:jc w:val="both"/>
        <w:rPr>
          <w:rFonts w:ascii="Verdana" w:hAnsi="Verdana" w:cs="Arial"/>
          <w:b/>
          <w:sz w:val="20"/>
          <w:szCs w:val="20"/>
        </w:rPr>
      </w:pPr>
    </w:p>
    <w:p w14:paraId="7FC27683" w14:textId="77777777" w:rsidR="00E822C6" w:rsidRPr="00FD016C" w:rsidRDefault="00E822C6" w:rsidP="005144E2">
      <w:pPr>
        <w:widowControl/>
        <w:jc w:val="both"/>
        <w:rPr>
          <w:rFonts w:ascii="Verdana" w:hAnsi="Verdana" w:cs="Arial"/>
          <w:b/>
          <w:sz w:val="20"/>
          <w:szCs w:val="20"/>
        </w:rPr>
      </w:pPr>
    </w:p>
    <w:p w14:paraId="6F0EF35F" w14:textId="10DAEA2A"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t xml:space="preserve">NOTA </w:t>
      </w:r>
      <w:r w:rsidR="0090774D" w:rsidRPr="00FD016C">
        <w:rPr>
          <w:rFonts w:ascii="Verdana" w:hAnsi="Verdana" w:cs="Arial"/>
          <w:b/>
          <w:color w:val="0070C0"/>
          <w:sz w:val="26"/>
          <w:szCs w:val="26"/>
        </w:rPr>
        <w:t>2</w:t>
      </w:r>
      <w:r w:rsidR="0074588C" w:rsidRPr="00FD016C">
        <w:rPr>
          <w:rFonts w:ascii="Verdana" w:hAnsi="Verdana" w:cs="Arial"/>
          <w:b/>
          <w:color w:val="0070C0"/>
          <w:sz w:val="26"/>
          <w:szCs w:val="26"/>
        </w:rPr>
        <w:t>8</w:t>
      </w:r>
      <w:r w:rsidRPr="00FD016C">
        <w:rPr>
          <w:rFonts w:ascii="Verdana" w:hAnsi="Verdana" w:cs="Arial"/>
          <w:b/>
          <w:color w:val="0070C0"/>
          <w:sz w:val="26"/>
          <w:szCs w:val="26"/>
        </w:rPr>
        <w:t>– PATRIMÔNIO LÍQUIDO</w:t>
      </w:r>
    </w:p>
    <w:p w14:paraId="2B9B65BF" w14:textId="77777777" w:rsidR="00C93BD2" w:rsidRPr="00FD016C" w:rsidRDefault="00C93BD2" w:rsidP="005144E2">
      <w:pPr>
        <w:keepNext/>
        <w:widowControl/>
        <w:jc w:val="both"/>
        <w:outlineLvl w:val="3"/>
        <w:rPr>
          <w:rFonts w:ascii="Verdana" w:hAnsi="Verdana" w:cs="Arial"/>
          <w:b/>
          <w:sz w:val="20"/>
          <w:szCs w:val="20"/>
        </w:rPr>
      </w:pPr>
    </w:p>
    <w:p w14:paraId="039B08F6" w14:textId="77777777" w:rsidR="00EA6C13" w:rsidRPr="00FD016C" w:rsidRDefault="00EA6C13" w:rsidP="005144E2">
      <w:pPr>
        <w:keepNext/>
        <w:widowControl/>
        <w:jc w:val="both"/>
        <w:outlineLvl w:val="3"/>
        <w:rPr>
          <w:rFonts w:ascii="Verdana" w:hAnsi="Verdana" w:cs="Arial"/>
          <w:b/>
          <w:sz w:val="20"/>
          <w:szCs w:val="20"/>
        </w:rPr>
      </w:pPr>
    </w:p>
    <w:p w14:paraId="6DB37E29" w14:textId="49A36CC6" w:rsidR="003F4719" w:rsidRPr="00FD016C" w:rsidRDefault="003F4719" w:rsidP="005144E2">
      <w:pPr>
        <w:keepNext/>
        <w:widowControl/>
        <w:jc w:val="both"/>
        <w:outlineLvl w:val="3"/>
        <w:rPr>
          <w:rFonts w:ascii="Verdana" w:hAnsi="Verdana" w:cs="Arial"/>
          <w:b/>
          <w:color w:val="0070C0"/>
        </w:rPr>
      </w:pPr>
      <w:r w:rsidRPr="00FD016C">
        <w:rPr>
          <w:rFonts w:ascii="Verdana" w:hAnsi="Verdana" w:cs="Arial"/>
          <w:b/>
          <w:color w:val="0070C0"/>
        </w:rPr>
        <w:t>Composição acionária</w:t>
      </w:r>
    </w:p>
    <w:p w14:paraId="51A43846" w14:textId="77777777" w:rsidR="00AF243C" w:rsidRPr="00FD016C" w:rsidRDefault="00AF243C" w:rsidP="005144E2">
      <w:pPr>
        <w:keepNext/>
        <w:widowControl/>
        <w:jc w:val="both"/>
        <w:outlineLvl w:val="3"/>
        <w:rPr>
          <w:rFonts w:ascii="Verdana" w:hAnsi="Verdana" w:cs="Arial"/>
          <w:b/>
          <w:color w:val="0070C0"/>
        </w:rPr>
      </w:pPr>
    </w:p>
    <w:p w14:paraId="09AF7123" w14:textId="45A85A2B" w:rsidR="00AF243C" w:rsidRPr="00FD016C" w:rsidRDefault="00AF243C" w:rsidP="005144E2">
      <w:pPr>
        <w:keepNext/>
        <w:widowControl/>
        <w:jc w:val="both"/>
        <w:outlineLvl w:val="3"/>
        <w:rPr>
          <w:rFonts w:ascii="Verdana" w:hAnsi="Verdana" w:cs="Arial"/>
          <w:b/>
          <w:color w:val="0070C0"/>
        </w:rPr>
      </w:pPr>
      <w:r w:rsidRPr="00FD016C">
        <w:rPr>
          <w:noProof/>
        </w:rPr>
        <w:drawing>
          <wp:inline distT="0" distB="0" distL="0" distR="0" wp14:anchorId="05A7E1BE" wp14:editId="65DBE56E">
            <wp:extent cx="6073140" cy="864966"/>
            <wp:effectExtent l="0" t="0" r="381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73140" cy="864966"/>
                    </a:xfrm>
                    <a:prstGeom prst="rect">
                      <a:avLst/>
                    </a:prstGeom>
                    <a:noFill/>
                    <a:ln>
                      <a:noFill/>
                    </a:ln>
                  </pic:spPr>
                </pic:pic>
              </a:graphicData>
            </a:graphic>
          </wp:inline>
        </w:drawing>
      </w:r>
    </w:p>
    <w:p w14:paraId="2B3002AE" w14:textId="77777777" w:rsidR="00760D60" w:rsidRPr="00FD016C" w:rsidRDefault="00760D60" w:rsidP="005144E2">
      <w:pPr>
        <w:keepNext/>
        <w:widowControl/>
        <w:jc w:val="both"/>
        <w:outlineLvl w:val="3"/>
        <w:rPr>
          <w:rFonts w:ascii="Verdana" w:hAnsi="Verdana" w:cs="Arial"/>
          <w:b/>
          <w:sz w:val="20"/>
          <w:szCs w:val="20"/>
        </w:rPr>
      </w:pPr>
    </w:p>
    <w:p w14:paraId="6EA544C7" w14:textId="77777777" w:rsidR="003F4719" w:rsidRPr="00FD016C" w:rsidRDefault="003F4719" w:rsidP="005144E2">
      <w:pPr>
        <w:keepNext/>
        <w:widowControl/>
        <w:jc w:val="both"/>
        <w:outlineLvl w:val="3"/>
        <w:rPr>
          <w:rFonts w:ascii="Verdana" w:hAnsi="Verdana" w:cs="Arial"/>
          <w:sz w:val="20"/>
          <w:szCs w:val="20"/>
        </w:rPr>
      </w:pPr>
      <w:r w:rsidRPr="00FD016C">
        <w:rPr>
          <w:rFonts w:ascii="Verdana" w:hAnsi="Verdana" w:cs="Arial"/>
          <w:sz w:val="20"/>
          <w:szCs w:val="20"/>
        </w:rPr>
        <w:t>Todas as ações são nominativas e sem valor nominal, sendo as ordinárias com direito a voto.</w:t>
      </w:r>
    </w:p>
    <w:p w14:paraId="554C7616" w14:textId="77777777" w:rsidR="003F4719" w:rsidRPr="00FD016C" w:rsidRDefault="003F4719" w:rsidP="005144E2">
      <w:pPr>
        <w:keepNext/>
        <w:widowControl/>
        <w:jc w:val="both"/>
        <w:outlineLvl w:val="3"/>
        <w:rPr>
          <w:rFonts w:ascii="Verdana" w:hAnsi="Verdana" w:cs="Arial"/>
          <w:sz w:val="20"/>
          <w:szCs w:val="20"/>
        </w:rPr>
      </w:pPr>
    </w:p>
    <w:p w14:paraId="715B0421" w14:textId="77777777" w:rsidR="003F4719" w:rsidRPr="00FD016C" w:rsidRDefault="003F4719" w:rsidP="005144E2">
      <w:pPr>
        <w:keepNext/>
        <w:widowControl/>
        <w:jc w:val="both"/>
        <w:outlineLvl w:val="3"/>
        <w:rPr>
          <w:rFonts w:ascii="Verdana" w:hAnsi="Verdana" w:cs="Arial"/>
          <w:sz w:val="20"/>
          <w:szCs w:val="20"/>
        </w:rPr>
      </w:pPr>
      <w:r w:rsidRPr="00FD016C">
        <w:rPr>
          <w:rFonts w:ascii="Verdana" w:hAnsi="Verdana" w:cs="Arial"/>
          <w:sz w:val="20"/>
          <w:szCs w:val="20"/>
        </w:rPr>
        <w:t>As ações preferenciais não se podem converter em ações ordinárias e terão as seguintes preferências ou vantagens, de acordo com o Estatuto da Companhia:</w:t>
      </w:r>
    </w:p>
    <w:p w14:paraId="4BBA5388" w14:textId="77777777" w:rsidR="003F4719" w:rsidRPr="00FD016C" w:rsidRDefault="003F4719" w:rsidP="002555C2">
      <w:pPr>
        <w:keepNext/>
        <w:widowControl/>
        <w:ind w:left="1418" w:hanging="425"/>
        <w:jc w:val="both"/>
        <w:outlineLvl w:val="3"/>
        <w:rPr>
          <w:rFonts w:ascii="Verdana" w:hAnsi="Verdana" w:cs="Arial"/>
          <w:sz w:val="20"/>
          <w:szCs w:val="20"/>
        </w:rPr>
      </w:pPr>
    </w:p>
    <w:p w14:paraId="462377D3" w14:textId="77777777" w:rsidR="003F4719" w:rsidRPr="00FD016C"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FD016C">
        <w:rPr>
          <w:rFonts w:ascii="Verdana" w:hAnsi="Verdana" w:cs="Arial"/>
          <w:sz w:val="20"/>
          <w:szCs w:val="20"/>
        </w:rPr>
        <w:t>P</w:t>
      </w:r>
      <w:r w:rsidR="003F4719" w:rsidRPr="00FD016C">
        <w:rPr>
          <w:rFonts w:ascii="Verdana" w:hAnsi="Verdana" w:cs="Arial"/>
          <w:sz w:val="20"/>
          <w:szCs w:val="20"/>
        </w:rPr>
        <w:t>rioridade</w:t>
      </w:r>
      <w:r w:rsidR="00EC4CD1" w:rsidRPr="00FD016C">
        <w:rPr>
          <w:rFonts w:ascii="Verdana" w:hAnsi="Verdana" w:cs="Arial"/>
          <w:sz w:val="20"/>
          <w:szCs w:val="20"/>
        </w:rPr>
        <w:t xml:space="preserve"> </w:t>
      </w:r>
      <w:r w:rsidR="003F4719" w:rsidRPr="00FD016C">
        <w:rPr>
          <w:rFonts w:ascii="Verdana" w:hAnsi="Verdana" w:cs="Arial"/>
          <w:sz w:val="20"/>
          <w:szCs w:val="20"/>
        </w:rPr>
        <w:t>no reembolso do capital, sem direito a prêmio;</w:t>
      </w:r>
    </w:p>
    <w:p w14:paraId="59B8B750" w14:textId="77777777" w:rsidR="003F4719" w:rsidRPr="00FD016C" w:rsidRDefault="003F4719" w:rsidP="002555C2">
      <w:pPr>
        <w:keepNext/>
        <w:widowControl/>
        <w:ind w:left="1418" w:hanging="425"/>
        <w:jc w:val="both"/>
        <w:outlineLvl w:val="3"/>
        <w:rPr>
          <w:rFonts w:ascii="Verdana" w:hAnsi="Verdana" w:cs="Arial"/>
          <w:sz w:val="20"/>
          <w:szCs w:val="20"/>
        </w:rPr>
      </w:pPr>
    </w:p>
    <w:p w14:paraId="1E5D53DA" w14:textId="77777777" w:rsidR="003F4719" w:rsidRPr="00FD016C" w:rsidRDefault="00CB1682" w:rsidP="002555C2">
      <w:pPr>
        <w:keepNext/>
        <w:widowControl/>
        <w:numPr>
          <w:ilvl w:val="0"/>
          <w:numId w:val="5"/>
        </w:numPr>
        <w:tabs>
          <w:tab w:val="clear" w:pos="720"/>
        </w:tabs>
        <w:ind w:left="1418" w:hanging="425"/>
        <w:jc w:val="both"/>
        <w:outlineLvl w:val="3"/>
        <w:rPr>
          <w:rFonts w:ascii="Verdana" w:hAnsi="Verdana" w:cs="Arial"/>
          <w:sz w:val="20"/>
          <w:szCs w:val="20"/>
        </w:rPr>
      </w:pPr>
      <w:r w:rsidRPr="00FD016C">
        <w:rPr>
          <w:rFonts w:ascii="Verdana" w:hAnsi="Verdana" w:cs="Arial"/>
          <w:sz w:val="20"/>
          <w:szCs w:val="20"/>
        </w:rPr>
        <w:t xml:space="preserve">Dividendo </w:t>
      </w:r>
      <w:r w:rsidR="003F4719" w:rsidRPr="00FD016C">
        <w:rPr>
          <w:rFonts w:ascii="Verdana" w:hAnsi="Verdana" w:cs="Arial"/>
          <w:sz w:val="20"/>
          <w:szCs w:val="20"/>
        </w:rPr>
        <w:t>prioritário, mínimo cumulativo de 10% ao ano, e participação, em igualdade de condições, com as ações ordinárias nos lucros que remanescerem</w:t>
      </w:r>
      <w:r w:rsidR="004B138A" w:rsidRPr="00FD016C">
        <w:rPr>
          <w:rFonts w:ascii="Verdana" w:hAnsi="Verdana" w:cs="Arial"/>
          <w:sz w:val="20"/>
          <w:szCs w:val="20"/>
        </w:rPr>
        <w:t>,</w:t>
      </w:r>
      <w:r w:rsidR="003F4719" w:rsidRPr="00FD016C">
        <w:rPr>
          <w:rFonts w:ascii="Verdana" w:hAnsi="Verdana" w:cs="Arial"/>
          <w:sz w:val="20"/>
          <w:szCs w:val="20"/>
        </w:rPr>
        <w:t xml:space="preserve"> depois de pago um dividendo de 12% ao ano às ações ordinárias;</w:t>
      </w:r>
    </w:p>
    <w:p w14:paraId="7D669939" w14:textId="77777777" w:rsidR="003F4719" w:rsidRPr="00FD016C" w:rsidRDefault="003F4719" w:rsidP="002555C2">
      <w:pPr>
        <w:keepNext/>
        <w:widowControl/>
        <w:ind w:left="1418" w:hanging="425"/>
        <w:jc w:val="both"/>
        <w:outlineLvl w:val="3"/>
        <w:rPr>
          <w:rFonts w:ascii="Verdana" w:hAnsi="Verdana" w:cs="Arial"/>
          <w:sz w:val="20"/>
          <w:szCs w:val="20"/>
        </w:rPr>
      </w:pPr>
    </w:p>
    <w:p w14:paraId="64112766" w14:textId="77777777" w:rsidR="003F4719" w:rsidRPr="00FD016C" w:rsidRDefault="00CB1682" w:rsidP="002555C2">
      <w:pPr>
        <w:widowControl/>
        <w:numPr>
          <w:ilvl w:val="0"/>
          <w:numId w:val="4"/>
        </w:numPr>
        <w:tabs>
          <w:tab w:val="clear" w:pos="360"/>
        </w:tabs>
        <w:ind w:left="1418" w:hanging="425"/>
        <w:jc w:val="both"/>
        <w:rPr>
          <w:rFonts w:ascii="Verdana" w:hAnsi="Verdana" w:cs="Arial"/>
          <w:sz w:val="20"/>
          <w:szCs w:val="20"/>
        </w:rPr>
      </w:pPr>
      <w:r w:rsidRPr="00FD016C">
        <w:rPr>
          <w:rFonts w:ascii="Verdana" w:hAnsi="Verdana" w:cs="Arial"/>
          <w:sz w:val="20"/>
          <w:szCs w:val="20"/>
        </w:rPr>
        <w:t>D</w:t>
      </w:r>
      <w:r w:rsidR="003F4719" w:rsidRPr="00FD016C">
        <w:rPr>
          <w:rFonts w:ascii="Verdana" w:hAnsi="Verdana" w:cs="Arial"/>
          <w:sz w:val="20"/>
          <w:szCs w:val="20"/>
        </w:rPr>
        <w:t>ireito</w:t>
      </w:r>
      <w:r w:rsidR="00EC4CD1" w:rsidRPr="00FD016C">
        <w:rPr>
          <w:rFonts w:ascii="Verdana" w:hAnsi="Verdana" w:cs="Arial"/>
          <w:sz w:val="20"/>
          <w:szCs w:val="20"/>
        </w:rPr>
        <w:t xml:space="preserve"> </w:t>
      </w:r>
      <w:r w:rsidR="003F4719" w:rsidRPr="00FD016C">
        <w:rPr>
          <w:rFonts w:ascii="Verdana" w:hAnsi="Verdana" w:cs="Arial"/>
          <w:sz w:val="20"/>
          <w:szCs w:val="20"/>
        </w:rPr>
        <w:t>a voto nas deliberações das Assembleias Gerais Extraordinárias sobre a alteração do Estatuto.</w:t>
      </w:r>
    </w:p>
    <w:p w14:paraId="01217276" w14:textId="77777777" w:rsidR="00410174" w:rsidRPr="00FD016C" w:rsidRDefault="00410174" w:rsidP="005144E2">
      <w:pPr>
        <w:widowControl/>
        <w:jc w:val="both"/>
        <w:rPr>
          <w:rFonts w:ascii="Verdana" w:hAnsi="Verdana" w:cs="Arial"/>
          <w:sz w:val="20"/>
          <w:szCs w:val="20"/>
        </w:rPr>
      </w:pPr>
    </w:p>
    <w:p w14:paraId="7B30DCC0" w14:textId="6E907171" w:rsidR="00BA75A7" w:rsidRPr="00FD016C" w:rsidRDefault="003F4719" w:rsidP="005144E2">
      <w:pPr>
        <w:widowControl/>
        <w:jc w:val="both"/>
        <w:rPr>
          <w:rFonts w:ascii="Verdana" w:hAnsi="Verdana" w:cs="Arial"/>
          <w:sz w:val="20"/>
          <w:szCs w:val="20"/>
        </w:rPr>
      </w:pPr>
      <w:r w:rsidRPr="00FD016C">
        <w:rPr>
          <w:rFonts w:ascii="Verdana" w:hAnsi="Verdana" w:cs="Arial"/>
          <w:sz w:val="20"/>
          <w:szCs w:val="20"/>
        </w:rPr>
        <w:t>Também, de acordo com o Estatuto, é assegurado aos acionistas um dividendo mínimo obrigatório anual, calculado na base de 25% do lucro líquido ajustado, nos termos da legislação vigente.</w:t>
      </w:r>
    </w:p>
    <w:p w14:paraId="3D3DB33A" w14:textId="7C0A37BA" w:rsidR="00ED2C74" w:rsidRPr="00FD016C" w:rsidRDefault="00ED2C74" w:rsidP="005144E2">
      <w:pPr>
        <w:widowControl/>
        <w:jc w:val="both"/>
        <w:rPr>
          <w:rFonts w:ascii="Verdana" w:hAnsi="Verdana" w:cs="Arial"/>
          <w:sz w:val="20"/>
          <w:szCs w:val="20"/>
        </w:rPr>
      </w:pPr>
    </w:p>
    <w:p w14:paraId="25AF2D0B" w14:textId="77777777" w:rsidR="00C7481C" w:rsidRPr="00FD016C" w:rsidRDefault="00C7481C" w:rsidP="005144E2">
      <w:pPr>
        <w:widowControl/>
        <w:jc w:val="both"/>
        <w:rPr>
          <w:rFonts w:ascii="Verdana" w:hAnsi="Verdana" w:cs="Arial"/>
          <w:sz w:val="20"/>
          <w:szCs w:val="20"/>
        </w:rPr>
      </w:pPr>
    </w:p>
    <w:p w14:paraId="4A5471CB" w14:textId="77777777" w:rsidR="00037D3A" w:rsidRPr="00FD016C" w:rsidRDefault="00037D3A" w:rsidP="005144E2">
      <w:pPr>
        <w:widowControl/>
        <w:jc w:val="both"/>
        <w:rPr>
          <w:rFonts w:ascii="Verdana" w:hAnsi="Verdana" w:cs="Arial"/>
          <w:sz w:val="20"/>
          <w:szCs w:val="20"/>
        </w:rPr>
      </w:pPr>
    </w:p>
    <w:p w14:paraId="0B054CBE" w14:textId="77777777" w:rsidR="00DB1E21" w:rsidRPr="00FD016C" w:rsidRDefault="00DB1E21" w:rsidP="005144E2">
      <w:pPr>
        <w:widowControl/>
        <w:jc w:val="both"/>
        <w:rPr>
          <w:rFonts w:ascii="Verdana" w:hAnsi="Verdana" w:cs="Arial"/>
          <w:sz w:val="20"/>
          <w:szCs w:val="20"/>
        </w:rPr>
      </w:pPr>
    </w:p>
    <w:p w14:paraId="655DD5D6" w14:textId="77777777" w:rsidR="00DB1E21" w:rsidRPr="00FD016C" w:rsidRDefault="00DB1E21" w:rsidP="005144E2">
      <w:pPr>
        <w:widowControl/>
        <w:jc w:val="both"/>
        <w:rPr>
          <w:rFonts w:ascii="Verdana" w:hAnsi="Verdana" w:cs="Arial"/>
          <w:sz w:val="20"/>
          <w:szCs w:val="20"/>
        </w:rPr>
      </w:pPr>
    </w:p>
    <w:p w14:paraId="5BE15127" w14:textId="77777777" w:rsidR="00DB1E21" w:rsidRPr="00FD016C" w:rsidRDefault="00DB1E21" w:rsidP="005144E2">
      <w:pPr>
        <w:widowControl/>
        <w:jc w:val="both"/>
        <w:rPr>
          <w:rFonts w:ascii="Verdana" w:hAnsi="Verdana" w:cs="Arial"/>
          <w:sz w:val="20"/>
          <w:szCs w:val="20"/>
        </w:rPr>
      </w:pPr>
    </w:p>
    <w:p w14:paraId="6DF319E9" w14:textId="77777777" w:rsidR="00DB1E21" w:rsidRPr="00FD016C" w:rsidRDefault="00DB1E21" w:rsidP="005144E2">
      <w:pPr>
        <w:widowControl/>
        <w:jc w:val="both"/>
        <w:rPr>
          <w:rFonts w:ascii="Verdana" w:hAnsi="Verdana" w:cs="Arial"/>
          <w:sz w:val="20"/>
          <w:szCs w:val="20"/>
        </w:rPr>
      </w:pPr>
    </w:p>
    <w:p w14:paraId="2235EA32" w14:textId="77777777" w:rsidR="00DB1E21" w:rsidRPr="00FD016C" w:rsidRDefault="00DB1E21" w:rsidP="005144E2">
      <w:pPr>
        <w:widowControl/>
        <w:jc w:val="both"/>
        <w:rPr>
          <w:rFonts w:ascii="Verdana" w:hAnsi="Verdana" w:cs="Arial"/>
          <w:sz w:val="20"/>
          <w:szCs w:val="20"/>
        </w:rPr>
      </w:pPr>
    </w:p>
    <w:p w14:paraId="09663F08" w14:textId="77777777" w:rsidR="00DB1E21" w:rsidRPr="00FD016C" w:rsidRDefault="00DB1E21" w:rsidP="005144E2">
      <w:pPr>
        <w:widowControl/>
        <w:jc w:val="both"/>
        <w:rPr>
          <w:rFonts w:ascii="Verdana" w:hAnsi="Verdana" w:cs="Arial"/>
          <w:sz w:val="20"/>
          <w:szCs w:val="20"/>
        </w:rPr>
      </w:pPr>
    </w:p>
    <w:p w14:paraId="328CD898" w14:textId="77777777" w:rsidR="00DB1E21" w:rsidRPr="00FD016C" w:rsidRDefault="00DB1E21" w:rsidP="005144E2">
      <w:pPr>
        <w:widowControl/>
        <w:jc w:val="both"/>
        <w:rPr>
          <w:rFonts w:ascii="Verdana" w:hAnsi="Verdana" w:cs="Arial"/>
          <w:sz w:val="20"/>
          <w:szCs w:val="20"/>
        </w:rPr>
      </w:pPr>
    </w:p>
    <w:p w14:paraId="605E0C05" w14:textId="77777777" w:rsidR="00DB1E21" w:rsidRPr="00FD016C" w:rsidRDefault="00DB1E21" w:rsidP="005144E2">
      <w:pPr>
        <w:widowControl/>
        <w:jc w:val="both"/>
        <w:rPr>
          <w:rFonts w:ascii="Verdana" w:hAnsi="Verdana" w:cs="Arial"/>
          <w:sz w:val="20"/>
          <w:szCs w:val="20"/>
        </w:rPr>
      </w:pPr>
    </w:p>
    <w:p w14:paraId="12FFFCA0" w14:textId="77777777" w:rsidR="00DB1E21" w:rsidRPr="00FD016C" w:rsidRDefault="00DB1E21" w:rsidP="005144E2">
      <w:pPr>
        <w:widowControl/>
        <w:jc w:val="both"/>
        <w:rPr>
          <w:rFonts w:ascii="Verdana" w:hAnsi="Verdana" w:cs="Arial"/>
          <w:sz w:val="20"/>
          <w:szCs w:val="20"/>
        </w:rPr>
      </w:pPr>
    </w:p>
    <w:p w14:paraId="018B53AE" w14:textId="77777777" w:rsidR="00DB1E21" w:rsidRPr="00FD016C" w:rsidRDefault="00DB1E21" w:rsidP="005144E2">
      <w:pPr>
        <w:widowControl/>
        <w:jc w:val="both"/>
        <w:rPr>
          <w:rFonts w:ascii="Verdana" w:hAnsi="Verdana" w:cs="Arial"/>
          <w:sz w:val="20"/>
          <w:szCs w:val="20"/>
        </w:rPr>
      </w:pPr>
    </w:p>
    <w:p w14:paraId="5915ED9C" w14:textId="77777777" w:rsidR="00DB1E21" w:rsidRPr="00FD016C" w:rsidRDefault="00DB1E21" w:rsidP="005144E2">
      <w:pPr>
        <w:widowControl/>
        <w:jc w:val="both"/>
        <w:rPr>
          <w:rFonts w:ascii="Verdana" w:hAnsi="Verdana" w:cs="Arial"/>
          <w:sz w:val="20"/>
          <w:szCs w:val="20"/>
        </w:rPr>
      </w:pPr>
    </w:p>
    <w:p w14:paraId="39496ABE" w14:textId="77777777" w:rsidR="00DB1E21" w:rsidRPr="00FD016C" w:rsidRDefault="00DB1E21" w:rsidP="005144E2">
      <w:pPr>
        <w:widowControl/>
        <w:jc w:val="both"/>
        <w:rPr>
          <w:rFonts w:ascii="Verdana" w:hAnsi="Verdana" w:cs="Arial"/>
          <w:sz w:val="20"/>
          <w:szCs w:val="20"/>
        </w:rPr>
      </w:pPr>
    </w:p>
    <w:p w14:paraId="5094555C" w14:textId="510D652A" w:rsidR="00BA75A7"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lastRenderedPageBreak/>
        <w:t>NOTA 2</w:t>
      </w:r>
      <w:r w:rsidR="0074588C" w:rsidRPr="00FD016C">
        <w:rPr>
          <w:rFonts w:ascii="Verdana" w:hAnsi="Verdana" w:cs="Arial"/>
          <w:b/>
          <w:color w:val="0070C0"/>
          <w:sz w:val="26"/>
          <w:szCs w:val="26"/>
        </w:rPr>
        <w:t>9</w:t>
      </w:r>
      <w:r w:rsidRPr="00FD016C">
        <w:rPr>
          <w:rFonts w:ascii="Verdana" w:hAnsi="Verdana" w:cs="Arial"/>
          <w:b/>
          <w:color w:val="0070C0"/>
          <w:sz w:val="26"/>
          <w:szCs w:val="26"/>
        </w:rPr>
        <w:t xml:space="preserve"> – RECEITA OPERACIONAL LÍQUIDA</w:t>
      </w:r>
    </w:p>
    <w:p w14:paraId="659B9318" w14:textId="77777777" w:rsidR="00C93BD2" w:rsidRPr="00FD016C" w:rsidRDefault="00C93BD2" w:rsidP="005144E2">
      <w:pPr>
        <w:widowControl/>
        <w:jc w:val="both"/>
        <w:rPr>
          <w:rFonts w:ascii="Verdana" w:hAnsi="Verdana" w:cs="Arial"/>
          <w:b/>
          <w:sz w:val="20"/>
          <w:szCs w:val="20"/>
        </w:rPr>
      </w:pPr>
    </w:p>
    <w:p w14:paraId="05CA310F" w14:textId="1CD7AF8A" w:rsidR="001C5CDA" w:rsidRPr="00FD016C" w:rsidRDefault="001C5CDA" w:rsidP="005144E2">
      <w:pPr>
        <w:widowControl/>
        <w:jc w:val="both"/>
        <w:rPr>
          <w:rFonts w:ascii="Verdana" w:hAnsi="Verdana" w:cs="Arial"/>
          <w:b/>
          <w:sz w:val="20"/>
          <w:szCs w:val="20"/>
        </w:rPr>
      </w:pPr>
    </w:p>
    <w:p w14:paraId="59298335" w14:textId="39EBFDF9" w:rsidR="00760D60" w:rsidRPr="00FD016C" w:rsidRDefault="0089508C" w:rsidP="005144E2">
      <w:pPr>
        <w:widowControl/>
        <w:jc w:val="both"/>
        <w:rPr>
          <w:rFonts w:ascii="Verdana" w:hAnsi="Verdana" w:cs="Arial"/>
          <w:b/>
          <w:sz w:val="20"/>
          <w:szCs w:val="20"/>
        </w:rPr>
      </w:pPr>
      <w:r w:rsidRPr="00FD016C">
        <w:rPr>
          <w:noProof/>
        </w:rPr>
        <w:drawing>
          <wp:inline distT="0" distB="0" distL="0" distR="0" wp14:anchorId="3C897994" wp14:editId="10888833">
            <wp:extent cx="6073140" cy="2345763"/>
            <wp:effectExtent l="0" t="0" r="381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73140" cy="2345763"/>
                    </a:xfrm>
                    <a:prstGeom prst="rect">
                      <a:avLst/>
                    </a:prstGeom>
                    <a:noFill/>
                    <a:ln>
                      <a:noFill/>
                    </a:ln>
                  </pic:spPr>
                </pic:pic>
              </a:graphicData>
            </a:graphic>
          </wp:inline>
        </w:drawing>
      </w:r>
    </w:p>
    <w:p w14:paraId="3FE40DE7" w14:textId="4A53B30A" w:rsidR="001564B7" w:rsidRPr="00896005" w:rsidRDefault="001564B7" w:rsidP="005144E2">
      <w:pPr>
        <w:widowControl/>
        <w:jc w:val="both"/>
        <w:rPr>
          <w:rFonts w:ascii="Verdana" w:hAnsi="Verdana" w:cs="Arial"/>
          <w:b/>
          <w:color w:val="0070C0"/>
          <w:sz w:val="20"/>
          <w:szCs w:val="20"/>
        </w:rPr>
      </w:pPr>
    </w:p>
    <w:p w14:paraId="746F1CF4" w14:textId="77777777" w:rsidR="005F4FBC" w:rsidRPr="00896005" w:rsidRDefault="005F4FBC" w:rsidP="005144E2">
      <w:pPr>
        <w:widowControl/>
        <w:jc w:val="both"/>
        <w:rPr>
          <w:rFonts w:ascii="Verdana" w:hAnsi="Verdana" w:cs="Arial"/>
          <w:b/>
          <w:color w:val="0070C0"/>
          <w:sz w:val="20"/>
          <w:szCs w:val="20"/>
        </w:rPr>
      </w:pPr>
    </w:p>
    <w:p w14:paraId="38C8D175" w14:textId="646E46EC"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Suprimento de energia elétrica</w:t>
      </w:r>
    </w:p>
    <w:p w14:paraId="0B185A83" w14:textId="77777777" w:rsidR="003F4719" w:rsidRPr="00FD016C" w:rsidRDefault="003F4719" w:rsidP="005144E2">
      <w:pPr>
        <w:widowControl/>
        <w:jc w:val="both"/>
        <w:rPr>
          <w:rFonts w:ascii="Verdana" w:hAnsi="Verdana" w:cs="Arial"/>
          <w:b/>
          <w:sz w:val="20"/>
          <w:szCs w:val="20"/>
        </w:rPr>
      </w:pPr>
    </w:p>
    <w:p w14:paraId="741DA663" w14:textId="47AAE47C" w:rsidR="00CB6DA1" w:rsidRPr="00FD016C" w:rsidRDefault="00CB6DA1" w:rsidP="00CB6DA1">
      <w:pPr>
        <w:jc w:val="both"/>
        <w:rPr>
          <w:rFonts w:ascii="Verdana" w:hAnsi="Verdana" w:cs="Arial"/>
          <w:sz w:val="20"/>
          <w:szCs w:val="20"/>
        </w:rPr>
      </w:pPr>
      <w:r w:rsidRPr="00FD016C">
        <w:rPr>
          <w:rFonts w:ascii="Verdana" w:hAnsi="Verdana" w:cs="Arial"/>
          <w:sz w:val="20"/>
          <w:szCs w:val="20"/>
        </w:rPr>
        <w:t xml:space="preserve">O suprimento líquido de energia elétrica das Usinas Nucleares Angra 1 e 2 de                           </w:t>
      </w:r>
      <w:r w:rsidR="00C85F42" w:rsidRPr="00FD016C">
        <w:rPr>
          <w:rFonts w:ascii="Verdana" w:hAnsi="Verdana" w:cs="Arial"/>
          <w:sz w:val="20"/>
          <w:szCs w:val="20"/>
        </w:rPr>
        <w:t xml:space="preserve">9.583.692 </w:t>
      </w:r>
      <w:r w:rsidRPr="00FD016C">
        <w:rPr>
          <w:rFonts w:ascii="Verdana" w:hAnsi="Verdana" w:cs="Arial"/>
          <w:sz w:val="20"/>
          <w:szCs w:val="20"/>
        </w:rPr>
        <w:t xml:space="preserve">MW* </w:t>
      </w:r>
      <w:r w:rsidR="001E48D1">
        <w:rPr>
          <w:rFonts w:ascii="Verdana" w:hAnsi="Verdana" w:cs="Arial"/>
          <w:sz w:val="20"/>
          <w:szCs w:val="20"/>
        </w:rPr>
        <w:t>no período de 9 meses findos em 30 de</w:t>
      </w:r>
      <w:r w:rsidRPr="00FD016C">
        <w:rPr>
          <w:rFonts w:ascii="Verdana" w:hAnsi="Verdana" w:cs="Arial"/>
          <w:sz w:val="20"/>
          <w:szCs w:val="20"/>
        </w:rPr>
        <w:t xml:space="preserve"> </w:t>
      </w:r>
      <w:r w:rsidR="004B75C1" w:rsidRPr="00FD016C">
        <w:rPr>
          <w:rFonts w:ascii="Verdana" w:hAnsi="Verdana" w:cs="Arial"/>
          <w:sz w:val="20"/>
          <w:szCs w:val="20"/>
        </w:rPr>
        <w:t>setembro</w:t>
      </w:r>
      <w:r w:rsidRPr="00FD016C">
        <w:rPr>
          <w:rFonts w:ascii="Verdana" w:hAnsi="Verdana" w:cs="Arial"/>
          <w:sz w:val="20"/>
          <w:szCs w:val="20"/>
        </w:rPr>
        <w:t xml:space="preserve"> de 2021 (</w:t>
      </w:r>
      <w:r w:rsidR="006204CB" w:rsidRPr="00FD016C">
        <w:rPr>
          <w:rFonts w:ascii="Verdana" w:hAnsi="Verdana" w:cs="Arial"/>
          <w:sz w:val="20"/>
          <w:szCs w:val="20"/>
        </w:rPr>
        <w:t>9</w:t>
      </w:r>
      <w:r w:rsidRPr="00FD016C">
        <w:rPr>
          <w:rFonts w:ascii="Verdana" w:hAnsi="Verdana" w:cs="Arial"/>
          <w:sz w:val="20"/>
          <w:szCs w:val="20"/>
        </w:rPr>
        <w:t>.</w:t>
      </w:r>
      <w:r w:rsidR="006204CB" w:rsidRPr="00FD016C">
        <w:rPr>
          <w:rFonts w:ascii="Verdana" w:hAnsi="Verdana" w:cs="Arial"/>
          <w:sz w:val="20"/>
          <w:szCs w:val="20"/>
        </w:rPr>
        <w:t>091.613</w:t>
      </w:r>
      <w:r w:rsidRPr="00FD016C">
        <w:rPr>
          <w:rFonts w:ascii="Verdana" w:hAnsi="Verdana" w:cs="Arial"/>
          <w:sz w:val="20"/>
          <w:szCs w:val="20"/>
        </w:rPr>
        <w:t xml:space="preserve"> </w:t>
      </w:r>
      <w:proofErr w:type="spellStart"/>
      <w:r w:rsidRPr="00FD016C">
        <w:rPr>
          <w:rFonts w:ascii="Verdana" w:hAnsi="Verdana" w:cs="Arial"/>
          <w:sz w:val="20"/>
          <w:szCs w:val="20"/>
        </w:rPr>
        <w:t>MWh</w:t>
      </w:r>
      <w:proofErr w:type="spellEnd"/>
      <w:r w:rsidRPr="00FD016C">
        <w:rPr>
          <w:rFonts w:ascii="Verdana" w:hAnsi="Verdana" w:cs="Arial"/>
          <w:sz w:val="20"/>
          <w:szCs w:val="20"/>
        </w:rPr>
        <w:t xml:space="preserve">* em </w:t>
      </w:r>
      <w:r w:rsidR="006204CB" w:rsidRPr="00FD016C">
        <w:rPr>
          <w:rFonts w:ascii="Verdana" w:hAnsi="Verdana" w:cs="Arial"/>
          <w:sz w:val="20"/>
          <w:szCs w:val="20"/>
        </w:rPr>
        <w:t xml:space="preserve">setembro </w:t>
      </w:r>
      <w:r w:rsidRPr="00FD016C">
        <w:rPr>
          <w:rFonts w:ascii="Verdana" w:hAnsi="Verdana" w:cs="Arial"/>
          <w:sz w:val="20"/>
          <w:szCs w:val="20"/>
        </w:rPr>
        <w:t xml:space="preserve">de 2020), corresponde a uma receita de R$ </w:t>
      </w:r>
      <w:r w:rsidR="00C85F42" w:rsidRPr="00FD016C">
        <w:rPr>
          <w:rFonts w:ascii="Verdana" w:hAnsi="Verdana" w:cs="Arial"/>
          <w:sz w:val="20"/>
          <w:szCs w:val="20"/>
        </w:rPr>
        <w:t>2.291.298</w:t>
      </w:r>
      <w:r w:rsidR="004B75C1" w:rsidRPr="00FD016C">
        <w:rPr>
          <w:rFonts w:ascii="Verdana" w:hAnsi="Verdana" w:cs="Arial"/>
          <w:sz w:val="20"/>
          <w:szCs w:val="20"/>
        </w:rPr>
        <w:t xml:space="preserve"> </w:t>
      </w:r>
      <w:r w:rsidRPr="00FD016C">
        <w:rPr>
          <w:rFonts w:ascii="Verdana" w:hAnsi="Verdana" w:cs="Arial"/>
          <w:sz w:val="20"/>
          <w:szCs w:val="20"/>
        </w:rPr>
        <w:t xml:space="preserve">(R$ </w:t>
      </w:r>
      <w:r w:rsidR="006204CB" w:rsidRPr="00FD016C">
        <w:rPr>
          <w:rFonts w:ascii="Verdana" w:hAnsi="Verdana" w:cs="Arial"/>
          <w:sz w:val="20"/>
          <w:szCs w:val="20"/>
        </w:rPr>
        <w:t>2</w:t>
      </w:r>
      <w:r w:rsidRPr="00FD016C">
        <w:rPr>
          <w:rFonts w:ascii="Verdana" w:hAnsi="Verdana" w:cs="Arial"/>
          <w:sz w:val="20"/>
          <w:szCs w:val="20"/>
        </w:rPr>
        <w:t>.</w:t>
      </w:r>
      <w:r w:rsidR="006204CB" w:rsidRPr="00FD016C">
        <w:rPr>
          <w:rFonts w:ascii="Verdana" w:hAnsi="Verdana" w:cs="Arial"/>
          <w:sz w:val="20"/>
          <w:szCs w:val="20"/>
        </w:rPr>
        <w:t>432</w:t>
      </w:r>
      <w:r w:rsidRPr="00FD016C">
        <w:rPr>
          <w:rFonts w:ascii="Verdana" w:hAnsi="Verdana" w:cs="Arial"/>
          <w:sz w:val="20"/>
          <w:szCs w:val="20"/>
        </w:rPr>
        <w:t>.</w:t>
      </w:r>
      <w:r w:rsidR="006204CB" w:rsidRPr="00FD016C">
        <w:rPr>
          <w:rFonts w:ascii="Verdana" w:hAnsi="Verdana" w:cs="Arial"/>
          <w:sz w:val="20"/>
          <w:szCs w:val="20"/>
        </w:rPr>
        <w:t>845</w:t>
      </w:r>
      <w:r w:rsidRPr="00FD016C">
        <w:rPr>
          <w:rFonts w:ascii="Verdana" w:hAnsi="Verdana" w:cs="Arial"/>
          <w:sz w:val="20"/>
          <w:szCs w:val="20"/>
        </w:rPr>
        <w:t xml:space="preserve"> em 2020).</w:t>
      </w:r>
      <w:r w:rsidR="003450A7" w:rsidRPr="00FD016C">
        <w:rPr>
          <w:rFonts w:ascii="Verdana" w:hAnsi="Verdana" w:cs="Arial"/>
          <w:sz w:val="20"/>
          <w:szCs w:val="20"/>
        </w:rPr>
        <w:t xml:space="preserve"> A Usina de Angra 2 </w:t>
      </w:r>
      <w:r w:rsidR="00A2099D" w:rsidRPr="00FD016C">
        <w:rPr>
          <w:rFonts w:ascii="Verdana" w:hAnsi="Verdana" w:cs="Arial"/>
          <w:sz w:val="20"/>
          <w:szCs w:val="20"/>
        </w:rPr>
        <w:t>operou</w:t>
      </w:r>
      <w:r w:rsidR="003450A7" w:rsidRPr="00FD016C">
        <w:rPr>
          <w:rFonts w:ascii="Verdana" w:hAnsi="Verdana" w:cs="Arial"/>
          <w:sz w:val="20"/>
          <w:szCs w:val="20"/>
        </w:rPr>
        <w:t xml:space="preserve"> a uma capacidade de 90% desde agosto de 2020 devido a </w:t>
      </w:r>
      <w:r w:rsidR="003450A7" w:rsidRPr="00FD016C">
        <w:rPr>
          <w:rFonts w:ascii="Verdana" w:hAnsi="Verdana" w:cs="Arial"/>
          <w:color w:val="000000"/>
          <w:sz w:val="20"/>
          <w:szCs w:val="20"/>
        </w:rPr>
        <w:t xml:space="preserve">nova configuração de reabastecimento do núcleo do reator de Angra 2 </w:t>
      </w:r>
      <w:r w:rsidR="00A2099D" w:rsidRPr="00FD016C">
        <w:rPr>
          <w:rFonts w:ascii="Verdana" w:hAnsi="Verdana" w:cs="Arial"/>
          <w:color w:val="000000"/>
          <w:sz w:val="20"/>
          <w:szCs w:val="20"/>
        </w:rPr>
        <w:t xml:space="preserve">até </w:t>
      </w:r>
      <w:r w:rsidR="001E48D1">
        <w:rPr>
          <w:rFonts w:ascii="Verdana" w:hAnsi="Verdana" w:cs="Arial"/>
          <w:color w:val="000000"/>
          <w:sz w:val="20"/>
          <w:szCs w:val="20"/>
        </w:rPr>
        <w:t>junho</w:t>
      </w:r>
      <w:r w:rsidR="00A2099D" w:rsidRPr="00FD016C">
        <w:rPr>
          <w:rFonts w:ascii="Verdana" w:hAnsi="Verdana" w:cs="Arial"/>
          <w:color w:val="000000"/>
          <w:sz w:val="20"/>
          <w:szCs w:val="20"/>
        </w:rPr>
        <w:t xml:space="preserve"> de 2021</w:t>
      </w:r>
      <w:r w:rsidR="00615E55" w:rsidRPr="00FD016C">
        <w:rPr>
          <w:rFonts w:ascii="Verdana" w:hAnsi="Verdana" w:cs="Arial"/>
          <w:color w:val="000000"/>
          <w:sz w:val="20"/>
          <w:szCs w:val="20"/>
        </w:rPr>
        <w:t xml:space="preserve"> </w:t>
      </w:r>
      <w:r w:rsidR="003450A7" w:rsidRPr="00FD016C">
        <w:rPr>
          <w:rFonts w:ascii="Verdana" w:hAnsi="Verdana" w:cs="Arial"/>
          <w:color w:val="000000"/>
          <w:sz w:val="20"/>
          <w:szCs w:val="20"/>
        </w:rPr>
        <w:t>(NOTA 8</w:t>
      </w:r>
      <w:r w:rsidR="009E7342" w:rsidRPr="00FD016C">
        <w:rPr>
          <w:rFonts w:ascii="Verdana" w:hAnsi="Verdana" w:cs="Arial"/>
          <w:color w:val="000000"/>
          <w:sz w:val="20"/>
          <w:szCs w:val="20"/>
        </w:rPr>
        <w:t>).</w:t>
      </w:r>
    </w:p>
    <w:p w14:paraId="30850825" w14:textId="77777777" w:rsidR="00CB6DA1" w:rsidRPr="00FD016C" w:rsidRDefault="00CB6DA1" w:rsidP="00CB6DA1">
      <w:pPr>
        <w:jc w:val="both"/>
        <w:rPr>
          <w:rFonts w:ascii="Verdana" w:hAnsi="Verdana" w:cs="Arial"/>
          <w:sz w:val="20"/>
          <w:szCs w:val="20"/>
        </w:rPr>
      </w:pPr>
    </w:p>
    <w:p w14:paraId="6B09799C" w14:textId="153F2112" w:rsidR="00680A31" w:rsidRPr="00FD016C" w:rsidRDefault="00CB6DA1" w:rsidP="00CB6DA1">
      <w:pPr>
        <w:pStyle w:val="Corpodetexto"/>
        <w:jc w:val="both"/>
        <w:rPr>
          <w:rFonts w:ascii="Verdana" w:hAnsi="Verdana" w:cs="Arial"/>
          <w:sz w:val="20"/>
          <w:szCs w:val="20"/>
        </w:rPr>
      </w:pPr>
      <w:r w:rsidRPr="00FD016C">
        <w:rPr>
          <w:rFonts w:ascii="Verdana" w:hAnsi="Verdana" w:cs="Arial"/>
          <w:sz w:val="20"/>
          <w:szCs w:val="20"/>
        </w:rPr>
        <w:t>A receita fixa do exercício de 2021 no montante de R$ 3.424.500 foi definida pela Resolução Homologatória Aneel nº 2.821 de 15 de dezembro de 2020. E a receita fixa do exercício de 2020, no montante de R$ 3.726.445, pela Resolução Homologatória nº 2.661 de 18 de dezembro de 2019.</w:t>
      </w:r>
      <w:r w:rsidR="00680A31" w:rsidRPr="00FD016C">
        <w:rPr>
          <w:rFonts w:ascii="Verdana" w:hAnsi="Verdana" w:cs="Arial"/>
          <w:sz w:val="20"/>
          <w:szCs w:val="20"/>
        </w:rPr>
        <w:t xml:space="preserve"> </w:t>
      </w:r>
      <w:r w:rsidR="00DB780A" w:rsidRPr="00FD016C">
        <w:rPr>
          <w:rFonts w:ascii="Verdana" w:hAnsi="Verdana" w:cs="Arial"/>
          <w:sz w:val="20"/>
          <w:szCs w:val="20"/>
        </w:rPr>
        <w:t xml:space="preserve">Essa </w:t>
      </w:r>
      <w:r w:rsidR="00680A31" w:rsidRPr="00FD016C">
        <w:rPr>
          <w:rFonts w:ascii="Verdana" w:hAnsi="Verdana" w:cs="Arial"/>
          <w:sz w:val="20"/>
          <w:szCs w:val="20"/>
        </w:rPr>
        <w:t xml:space="preserve">redução da Receita Fixa das Usinas de Angra 1 e 2 </w:t>
      </w:r>
      <w:r w:rsidR="00DB780A" w:rsidRPr="00FD016C">
        <w:rPr>
          <w:rFonts w:ascii="Verdana" w:hAnsi="Verdana" w:cs="Arial"/>
          <w:sz w:val="20"/>
          <w:szCs w:val="20"/>
        </w:rPr>
        <w:t>para o</w:t>
      </w:r>
      <w:r w:rsidR="00680A31" w:rsidRPr="00FD016C">
        <w:rPr>
          <w:rFonts w:ascii="Verdana" w:hAnsi="Verdana" w:cs="Arial"/>
          <w:sz w:val="20"/>
          <w:szCs w:val="20"/>
        </w:rPr>
        <w:t xml:space="preserve"> exercício de 202</w:t>
      </w:r>
      <w:r w:rsidR="00DB780A" w:rsidRPr="00FD016C">
        <w:rPr>
          <w:rFonts w:ascii="Verdana" w:hAnsi="Verdana" w:cs="Arial"/>
          <w:sz w:val="20"/>
          <w:szCs w:val="20"/>
        </w:rPr>
        <w:t>1</w:t>
      </w:r>
      <w:r w:rsidR="00680A31" w:rsidRPr="00FD016C">
        <w:rPr>
          <w:rFonts w:ascii="Verdana" w:hAnsi="Verdana" w:cs="Arial"/>
          <w:sz w:val="20"/>
          <w:szCs w:val="20"/>
        </w:rPr>
        <w:t xml:space="preserve"> deve-se principalmente a não realização de gastos com aquisição de combustível nuclear no exercício de 20</w:t>
      </w:r>
      <w:r w:rsidR="00DB780A" w:rsidRPr="00FD016C">
        <w:rPr>
          <w:rFonts w:ascii="Verdana" w:hAnsi="Verdana" w:cs="Arial"/>
          <w:sz w:val="20"/>
          <w:szCs w:val="20"/>
        </w:rPr>
        <w:t>20</w:t>
      </w:r>
      <w:r w:rsidR="009D72C4" w:rsidRPr="00FD016C">
        <w:rPr>
          <w:rFonts w:ascii="Verdana" w:hAnsi="Verdana" w:cs="Arial"/>
          <w:sz w:val="20"/>
          <w:szCs w:val="20"/>
        </w:rPr>
        <w:t xml:space="preserve">, que faz parte da composição da tarifa </w:t>
      </w:r>
      <w:r w:rsidR="00AA2C55" w:rsidRPr="00FD016C">
        <w:rPr>
          <w:rFonts w:ascii="Verdana" w:hAnsi="Verdana" w:cs="Arial"/>
          <w:sz w:val="20"/>
          <w:szCs w:val="20"/>
        </w:rPr>
        <w:t xml:space="preserve">definida para </w:t>
      </w:r>
      <w:r w:rsidR="007050B2">
        <w:rPr>
          <w:rFonts w:ascii="Verdana" w:hAnsi="Verdana" w:cs="Arial"/>
          <w:sz w:val="20"/>
          <w:szCs w:val="20"/>
        </w:rPr>
        <w:t>ELETRONUCLEAR</w:t>
      </w:r>
    </w:p>
    <w:p w14:paraId="0A3CBAB5" w14:textId="46075B0E" w:rsidR="00680A31" w:rsidRPr="00FD016C" w:rsidRDefault="00680A31" w:rsidP="00CB6DA1">
      <w:pPr>
        <w:pStyle w:val="Corpodetexto"/>
        <w:jc w:val="both"/>
        <w:rPr>
          <w:rFonts w:ascii="Verdana" w:hAnsi="Verdana" w:cs="Arial"/>
          <w:sz w:val="20"/>
          <w:szCs w:val="20"/>
        </w:rPr>
      </w:pPr>
    </w:p>
    <w:p w14:paraId="63C78139" w14:textId="23B409AC" w:rsidR="00D822B3" w:rsidRPr="00FD016C" w:rsidRDefault="00680A31" w:rsidP="00DB780A">
      <w:pPr>
        <w:pStyle w:val="Corpodetexto"/>
        <w:jc w:val="both"/>
        <w:rPr>
          <w:rFonts w:ascii="Verdana" w:hAnsi="Verdana" w:cs="Arial"/>
          <w:sz w:val="20"/>
          <w:szCs w:val="20"/>
        </w:rPr>
      </w:pPr>
      <w:r w:rsidRPr="00FD016C">
        <w:rPr>
          <w:rFonts w:ascii="Verdana" w:hAnsi="Verdana" w:cs="Arial"/>
          <w:sz w:val="20"/>
          <w:szCs w:val="20"/>
        </w:rPr>
        <w:t xml:space="preserve">Em </w:t>
      </w:r>
      <w:r w:rsidR="004B75C1" w:rsidRPr="00FD016C">
        <w:rPr>
          <w:rFonts w:ascii="Verdana" w:hAnsi="Verdana" w:cs="Arial"/>
          <w:sz w:val="20"/>
          <w:szCs w:val="20"/>
        </w:rPr>
        <w:t>setembro</w:t>
      </w:r>
      <w:r w:rsidRPr="00FD016C">
        <w:rPr>
          <w:rFonts w:ascii="Verdana" w:hAnsi="Verdana" w:cs="Arial"/>
          <w:sz w:val="20"/>
          <w:szCs w:val="20"/>
        </w:rPr>
        <w:t xml:space="preserve"> de 2021, houve o registro da estimativa de ressarcimento por apuração de desvio negativo </w:t>
      </w:r>
      <w:r w:rsidR="002C50EF" w:rsidRPr="00FD016C">
        <w:rPr>
          <w:rFonts w:ascii="Verdana" w:hAnsi="Verdana" w:cs="Arial"/>
          <w:sz w:val="20"/>
          <w:szCs w:val="20"/>
        </w:rPr>
        <w:t>entre o</w:t>
      </w:r>
      <w:r w:rsidR="00DB780A" w:rsidRPr="00FD016C">
        <w:rPr>
          <w:rFonts w:ascii="Verdana" w:hAnsi="Verdana" w:cs="Arial"/>
          <w:sz w:val="20"/>
          <w:szCs w:val="20"/>
        </w:rPr>
        <w:t xml:space="preserve"> suprimento </w:t>
      </w:r>
      <w:r w:rsidRPr="00FD016C">
        <w:rPr>
          <w:rFonts w:ascii="Verdana" w:hAnsi="Verdana" w:cs="Arial"/>
          <w:sz w:val="20"/>
          <w:szCs w:val="20"/>
        </w:rPr>
        <w:t>de energia</w:t>
      </w:r>
      <w:r w:rsidR="002C50EF" w:rsidRPr="00FD016C">
        <w:rPr>
          <w:rFonts w:ascii="Verdana" w:hAnsi="Verdana" w:cs="Arial"/>
          <w:sz w:val="20"/>
          <w:szCs w:val="20"/>
        </w:rPr>
        <w:t xml:space="preserve"> fornecido e garantido</w:t>
      </w:r>
      <w:r w:rsidRPr="00FD016C">
        <w:rPr>
          <w:rFonts w:ascii="Verdana" w:hAnsi="Verdana" w:cs="Arial"/>
          <w:sz w:val="20"/>
          <w:szCs w:val="20"/>
        </w:rPr>
        <w:t xml:space="preserve"> </w:t>
      </w:r>
      <w:r w:rsidR="00DB780A" w:rsidRPr="00FD016C">
        <w:rPr>
          <w:rFonts w:ascii="Verdana" w:hAnsi="Verdana" w:cs="Arial"/>
          <w:sz w:val="20"/>
          <w:szCs w:val="20"/>
        </w:rPr>
        <w:t xml:space="preserve">no montante de </w:t>
      </w:r>
      <w:r w:rsidRPr="00FD016C">
        <w:rPr>
          <w:rFonts w:ascii="Verdana" w:hAnsi="Verdana" w:cs="Arial"/>
          <w:sz w:val="20"/>
          <w:szCs w:val="20"/>
        </w:rPr>
        <w:t xml:space="preserve">R$ </w:t>
      </w:r>
      <w:r w:rsidR="00C85F42" w:rsidRPr="00FD016C">
        <w:rPr>
          <w:rFonts w:ascii="Verdana" w:hAnsi="Verdana" w:cs="Arial"/>
          <w:sz w:val="20"/>
          <w:szCs w:val="20"/>
        </w:rPr>
        <w:t>277.077</w:t>
      </w:r>
      <w:r w:rsidR="002C50EF" w:rsidRPr="00FD016C">
        <w:rPr>
          <w:rFonts w:ascii="Verdana" w:hAnsi="Verdana" w:cs="Arial"/>
          <w:sz w:val="20"/>
          <w:szCs w:val="20"/>
        </w:rPr>
        <w:t>,</w:t>
      </w:r>
      <w:r w:rsidR="00DB780A" w:rsidRPr="00FD016C">
        <w:rPr>
          <w:rFonts w:ascii="Verdana" w:hAnsi="Verdana" w:cs="Arial"/>
          <w:sz w:val="20"/>
          <w:szCs w:val="20"/>
        </w:rPr>
        <w:t xml:space="preserve"> po</w:t>
      </w:r>
      <w:r w:rsidR="003B059E" w:rsidRPr="00FD016C">
        <w:rPr>
          <w:rFonts w:ascii="Verdana" w:hAnsi="Verdana" w:cs="Arial"/>
          <w:sz w:val="20"/>
          <w:szCs w:val="20"/>
        </w:rPr>
        <w:t>is as usinas não atingiram a capacidade m</w:t>
      </w:r>
      <w:r w:rsidR="004756D8" w:rsidRPr="00FD016C">
        <w:rPr>
          <w:rFonts w:ascii="Verdana" w:hAnsi="Verdana" w:cs="Arial"/>
          <w:sz w:val="20"/>
          <w:szCs w:val="20"/>
        </w:rPr>
        <w:t>áxima de sua performance (NOTA 27).</w:t>
      </w:r>
    </w:p>
    <w:p w14:paraId="5F3B93BD" w14:textId="611A40DC" w:rsidR="002555C2" w:rsidRDefault="002555C2" w:rsidP="002555C2">
      <w:pPr>
        <w:jc w:val="both"/>
        <w:rPr>
          <w:rFonts w:ascii="Verdana" w:hAnsi="Verdana" w:cs="Arial"/>
          <w:sz w:val="20"/>
          <w:szCs w:val="20"/>
        </w:rPr>
      </w:pPr>
    </w:p>
    <w:p w14:paraId="473714FC" w14:textId="77777777" w:rsidR="0014433F" w:rsidRPr="00FD016C" w:rsidRDefault="0014433F" w:rsidP="002555C2">
      <w:pPr>
        <w:jc w:val="both"/>
        <w:rPr>
          <w:rFonts w:ascii="Verdana" w:hAnsi="Verdana" w:cs="Arial"/>
          <w:sz w:val="20"/>
          <w:szCs w:val="20"/>
        </w:rPr>
      </w:pPr>
    </w:p>
    <w:p w14:paraId="7C963687" w14:textId="77777777"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 xml:space="preserve">a) Modalidade de comercialização </w:t>
      </w:r>
    </w:p>
    <w:p w14:paraId="29B6D786" w14:textId="77777777" w:rsidR="003F4719" w:rsidRPr="00FD016C" w:rsidRDefault="003F4719" w:rsidP="005144E2">
      <w:pPr>
        <w:widowControl/>
        <w:jc w:val="both"/>
        <w:rPr>
          <w:rFonts w:ascii="Arial" w:hAnsi="Arial" w:cs="Arial"/>
          <w:sz w:val="20"/>
          <w:szCs w:val="20"/>
        </w:rPr>
      </w:pPr>
    </w:p>
    <w:p w14:paraId="6676FA88" w14:textId="122D9A34"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Com a regulamentação da A</w:t>
      </w:r>
      <w:r w:rsidR="00904EEC" w:rsidRPr="00FD016C">
        <w:rPr>
          <w:rFonts w:ascii="Verdana" w:hAnsi="Verdana" w:cs="Arial"/>
          <w:sz w:val="20"/>
          <w:szCs w:val="20"/>
        </w:rPr>
        <w:t>neel</w:t>
      </w:r>
      <w:r w:rsidRPr="00FD016C">
        <w:rPr>
          <w:rFonts w:ascii="Verdana" w:hAnsi="Verdana" w:cs="Arial"/>
          <w:sz w:val="20"/>
          <w:szCs w:val="20"/>
        </w:rPr>
        <w:t xml:space="preserve"> para o dispositivo do art.11, da Lei 12.111/2009, mediante as edições em 21 de dezembro de 2012, da Resolução Normativa nº 530, da Resolução Homologatória nº 1.405 e da Resolução Homologatória nº 1.407</w:t>
      </w:r>
      <w:r w:rsidR="00431C84" w:rsidRPr="00FD016C">
        <w:rPr>
          <w:rFonts w:ascii="Verdana" w:hAnsi="Verdana" w:cs="Arial"/>
          <w:sz w:val="20"/>
          <w:szCs w:val="20"/>
        </w:rPr>
        <w:t>,</w:t>
      </w:r>
      <w:r w:rsidRPr="00FD016C">
        <w:rPr>
          <w:rFonts w:ascii="Verdana" w:hAnsi="Verdana" w:cs="Arial"/>
          <w:sz w:val="20"/>
          <w:szCs w:val="20"/>
        </w:rPr>
        <w:t xml:space="preserve"> a partir de 01 de janeiro de 2013 a rec</w:t>
      </w:r>
      <w:r w:rsidR="00C352DB" w:rsidRPr="00FD016C">
        <w:rPr>
          <w:rFonts w:ascii="Verdana" w:hAnsi="Verdana" w:cs="Arial"/>
          <w:sz w:val="20"/>
          <w:szCs w:val="20"/>
        </w:rPr>
        <w:t>eita decorrente da geração das U</w:t>
      </w:r>
      <w:r w:rsidRPr="00FD016C">
        <w:rPr>
          <w:rFonts w:ascii="Verdana" w:hAnsi="Verdana" w:cs="Arial"/>
          <w:sz w:val="20"/>
          <w:szCs w:val="20"/>
        </w:rPr>
        <w:t>sinas Angra 1 e 2 passa a ser rateada entre todas as concessionárias, permissionárias ou autorizadas de serviço público de distribuição do Sistema Interligado Nacional – SIN.</w:t>
      </w:r>
    </w:p>
    <w:p w14:paraId="7C37BDCF" w14:textId="34974FCA" w:rsidR="00E4691E" w:rsidRDefault="00E4691E" w:rsidP="005144E2">
      <w:pPr>
        <w:widowControl/>
        <w:jc w:val="both"/>
        <w:rPr>
          <w:rFonts w:ascii="Verdana" w:hAnsi="Verdana" w:cs="Arial"/>
          <w:b/>
          <w:sz w:val="20"/>
          <w:szCs w:val="20"/>
        </w:rPr>
      </w:pPr>
    </w:p>
    <w:p w14:paraId="022A2C67" w14:textId="77777777" w:rsidR="005F4FBC" w:rsidRPr="00FD016C" w:rsidRDefault="005F4FBC" w:rsidP="005F4FBC">
      <w:pPr>
        <w:widowControl/>
        <w:jc w:val="both"/>
        <w:rPr>
          <w:rFonts w:ascii="Verdana" w:hAnsi="Verdana" w:cs="Arial"/>
          <w:b/>
          <w:sz w:val="20"/>
          <w:szCs w:val="20"/>
        </w:rPr>
      </w:pPr>
      <w:r w:rsidRPr="00FD016C">
        <w:rPr>
          <w:rFonts w:ascii="Verdana" w:hAnsi="Verdana" w:cs="Arial"/>
          <w:i/>
          <w:sz w:val="16"/>
          <w:szCs w:val="16"/>
        </w:rPr>
        <w:t>*Não revisado pelo auditor independente</w:t>
      </w:r>
    </w:p>
    <w:p w14:paraId="378A7D2B" w14:textId="03400DE8" w:rsidR="003F4719" w:rsidRPr="00FD016C" w:rsidRDefault="007D4E95" w:rsidP="005144E2">
      <w:pPr>
        <w:widowControl/>
        <w:jc w:val="both"/>
        <w:rPr>
          <w:rFonts w:ascii="Verdana" w:hAnsi="Verdana" w:cs="Arial"/>
          <w:b/>
          <w:color w:val="0070C0"/>
        </w:rPr>
      </w:pPr>
      <w:r w:rsidRPr="00FD016C">
        <w:rPr>
          <w:rFonts w:ascii="Verdana" w:hAnsi="Verdana" w:cs="Arial"/>
          <w:b/>
          <w:color w:val="0070C0"/>
        </w:rPr>
        <w:lastRenderedPageBreak/>
        <w:t xml:space="preserve">b) </w:t>
      </w:r>
      <w:r w:rsidR="003F4719" w:rsidRPr="00FD016C">
        <w:rPr>
          <w:rFonts w:ascii="Verdana" w:hAnsi="Verdana" w:cs="Arial"/>
          <w:b/>
          <w:color w:val="0070C0"/>
        </w:rPr>
        <w:t xml:space="preserve">Apuração do </w:t>
      </w:r>
      <w:proofErr w:type="spellStart"/>
      <w:r w:rsidR="002555C2" w:rsidRPr="00FD016C">
        <w:rPr>
          <w:rFonts w:ascii="Verdana" w:hAnsi="Verdana" w:cs="Arial"/>
          <w:b/>
          <w:color w:val="0070C0"/>
        </w:rPr>
        <w:t>P</w:t>
      </w:r>
      <w:r w:rsidR="007D4C69" w:rsidRPr="00FD016C">
        <w:rPr>
          <w:rFonts w:ascii="Verdana" w:hAnsi="Verdana" w:cs="Arial"/>
          <w:b/>
          <w:color w:val="0070C0"/>
        </w:rPr>
        <w:t>is</w:t>
      </w:r>
      <w:proofErr w:type="spellEnd"/>
      <w:r w:rsidR="00F81517" w:rsidRPr="00FD016C">
        <w:rPr>
          <w:rFonts w:ascii="Verdana" w:hAnsi="Verdana" w:cs="Arial"/>
          <w:b/>
          <w:color w:val="0070C0"/>
        </w:rPr>
        <w:t>/</w:t>
      </w:r>
      <w:r w:rsidR="003F4719" w:rsidRPr="00FD016C">
        <w:rPr>
          <w:rFonts w:ascii="Verdana" w:hAnsi="Verdana" w:cs="Arial"/>
          <w:b/>
          <w:color w:val="0070C0"/>
        </w:rPr>
        <w:t>PASEP e d</w:t>
      </w:r>
      <w:r w:rsidR="00431C84" w:rsidRPr="00FD016C">
        <w:rPr>
          <w:rFonts w:ascii="Verdana" w:hAnsi="Verdana" w:cs="Arial"/>
          <w:b/>
          <w:color w:val="0070C0"/>
        </w:rPr>
        <w:t>a</w:t>
      </w:r>
      <w:r w:rsidR="003F4719" w:rsidRPr="00FD016C">
        <w:rPr>
          <w:rFonts w:ascii="Verdana" w:hAnsi="Verdana" w:cs="Arial"/>
          <w:b/>
          <w:color w:val="0070C0"/>
        </w:rPr>
        <w:t xml:space="preserve"> </w:t>
      </w:r>
      <w:proofErr w:type="spellStart"/>
      <w:r w:rsidR="00750A91" w:rsidRPr="00FD016C">
        <w:rPr>
          <w:rFonts w:ascii="Verdana" w:hAnsi="Verdana" w:cs="Arial"/>
          <w:b/>
          <w:color w:val="0070C0"/>
        </w:rPr>
        <w:t>C</w:t>
      </w:r>
      <w:r w:rsidR="007D4C69" w:rsidRPr="00FD016C">
        <w:rPr>
          <w:rFonts w:ascii="Verdana" w:hAnsi="Verdana" w:cs="Arial"/>
          <w:b/>
          <w:color w:val="0070C0"/>
        </w:rPr>
        <w:t>ofins</w:t>
      </w:r>
      <w:proofErr w:type="spellEnd"/>
    </w:p>
    <w:p w14:paraId="56F0AAB8" w14:textId="77777777" w:rsidR="003F4719" w:rsidRPr="00FD016C" w:rsidRDefault="003F4719" w:rsidP="005144E2">
      <w:pPr>
        <w:widowControl/>
        <w:jc w:val="both"/>
        <w:rPr>
          <w:rFonts w:ascii="Verdana" w:hAnsi="Verdana" w:cs="Arial"/>
          <w:sz w:val="20"/>
          <w:szCs w:val="20"/>
        </w:rPr>
      </w:pPr>
    </w:p>
    <w:p w14:paraId="25071662" w14:textId="04BA47EA" w:rsidR="008641C1" w:rsidRPr="00FD016C" w:rsidRDefault="003F4719" w:rsidP="005144E2">
      <w:pPr>
        <w:widowControl/>
        <w:jc w:val="both"/>
        <w:rPr>
          <w:rFonts w:ascii="Verdana" w:hAnsi="Verdana" w:cs="Arial"/>
          <w:sz w:val="20"/>
          <w:szCs w:val="20"/>
        </w:rPr>
      </w:pPr>
      <w:r w:rsidRPr="00FD016C">
        <w:rPr>
          <w:rFonts w:ascii="Verdana" w:hAnsi="Verdana" w:cs="Arial"/>
          <w:sz w:val="20"/>
          <w:szCs w:val="20"/>
        </w:rPr>
        <w:t>A apuração do</w:t>
      </w:r>
      <w:r w:rsidR="002555C2" w:rsidRPr="00FD016C">
        <w:rPr>
          <w:rFonts w:ascii="Verdana" w:hAnsi="Verdana" w:cs="Arial"/>
          <w:sz w:val="20"/>
          <w:szCs w:val="20"/>
        </w:rPr>
        <w:t xml:space="preserve"> Programa de Interação Social -</w:t>
      </w:r>
      <w:r w:rsidRPr="00FD016C">
        <w:rPr>
          <w:rFonts w:ascii="Verdana" w:hAnsi="Verdana" w:cs="Arial"/>
          <w:sz w:val="20"/>
          <w:szCs w:val="20"/>
        </w:rPr>
        <w:t xml:space="preserve"> </w:t>
      </w:r>
      <w:proofErr w:type="spellStart"/>
      <w:r w:rsidR="007F436D" w:rsidRPr="00FD016C">
        <w:rPr>
          <w:rFonts w:ascii="Verdana" w:hAnsi="Verdana" w:cs="Arial"/>
          <w:sz w:val="20"/>
          <w:szCs w:val="20"/>
        </w:rPr>
        <w:t>P</w:t>
      </w:r>
      <w:r w:rsidR="007D4C69" w:rsidRPr="00FD016C">
        <w:rPr>
          <w:rFonts w:ascii="Verdana" w:hAnsi="Verdana" w:cs="Arial"/>
          <w:sz w:val="20"/>
          <w:szCs w:val="20"/>
        </w:rPr>
        <w:t>is</w:t>
      </w:r>
      <w:proofErr w:type="spellEnd"/>
      <w:r w:rsidR="007F436D" w:rsidRPr="00FD016C">
        <w:rPr>
          <w:rFonts w:ascii="Verdana" w:hAnsi="Verdana" w:cs="Arial"/>
          <w:sz w:val="20"/>
          <w:szCs w:val="20"/>
        </w:rPr>
        <w:t>/</w:t>
      </w:r>
      <w:r w:rsidR="002555C2" w:rsidRPr="00FD016C">
        <w:rPr>
          <w:rFonts w:ascii="Verdana" w:hAnsi="Verdana" w:cs="Arial"/>
          <w:color w:val="3C4043"/>
          <w:sz w:val="20"/>
          <w:szCs w:val="20"/>
          <w:shd w:val="clear" w:color="auto" w:fill="FFFFFF"/>
        </w:rPr>
        <w:t xml:space="preserve">Programa de Formação do Patrimônio </w:t>
      </w:r>
      <w:r w:rsidR="002555C2" w:rsidRPr="00FD016C">
        <w:rPr>
          <w:rFonts w:ascii="Verdana" w:hAnsi="Verdana" w:cs="Arial"/>
          <w:sz w:val="20"/>
          <w:szCs w:val="20"/>
        </w:rPr>
        <w:t>do Servidor Público</w:t>
      </w:r>
      <w:r w:rsidR="00431C84" w:rsidRPr="00FD016C">
        <w:rPr>
          <w:rFonts w:ascii="Verdana" w:hAnsi="Verdana" w:cs="Arial"/>
          <w:sz w:val="20"/>
          <w:szCs w:val="20"/>
        </w:rPr>
        <w:t xml:space="preserve"> </w:t>
      </w:r>
      <w:r w:rsidR="002555C2" w:rsidRPr="00FD016C">
        <w:rPr>
          <w:rFonts w:ascii="Verdana" w:hAnsi="Verdana" w:cs="Arial"/>
          <w:sz w:val="20"/>
          <w:szCs w:val="20"/>
        </w:rPr>
        <w:t>-</w:t>
      </w:r>
      <w:r w:rsidR="00431C84" w:rsidRPr="00FD016C">
        <w:rPr>
          <w:rFonts w:ascii="Verdana" w:hAnsi="Verdana" w:cs="Arial"/>
          <w:sz w:val="20"/>
          <w:szCs w:val="20"/>
        </w:rPr>
        <w:t xml:space="preserve"> </w:t>
      </w:r>
      <w:r w:rsidRPr="00FD016C">
        <w:rPr>
          <w:rFonts w:ascii="Verdana" w:hAnsi="Verdana" w:cs="Arial"/>
          <w:sz w:val="20"/>
          <w:szCs w:val="20"/>
        </w:rPr>
        <w:t>PASEP e</w:t>
      </w:r>
      <w:r w:rsidR="00431C84" w:rsidRPr="00FD016C">
        <w:rPr>
          <w:rFonts w:ascii="Verdana" w:hAnsi="Verdana" w:cs="Arial"/>
          <w:sz w:val="20"/>
          <w:szCs w:val="20"/>
        </w:rPr>
        <w:t xml:space="preserve"> da </w:t>
      </w:r>
      <w:r w:rsidR="002555C2" w:rsidRPr="00FD016C">
        <w:rPr>
          <w:rFonts w:ascii="Verdana" w:hAnsi="Verdana" w:cs="Arial"/>
          <w:sz w:val="20"/>
          <w:szCs w:val="20"/>
        </w:rPr>
        <w:t xml:space="preserve">Contribuição para o Financiamento da Seguridade Social - </w:t>
      </w:r>
      <w:proofErr w:type="spellStart"/>
      <w:r w:rsidR="002555C2" w:rsidRPr="00FD016C">
        <w:rPr>
          <w:rFonts w:ascii="Verdana" w:hAnsi="Verdana" w:cs="Arial"/>
          <w:sz w:val="20"/>
          <w:szCs w:val="20"/>
        </w:rPr>
        <w:t>Cofins</w:t>
      </w:r>
      <w:proofErr w:type="spellEnd"/>
      <w:r w:rsidRPr="00FD016C">
        <w:rPr>
          <w:rFonts w:ascii="Verdana" w:hAnsi="Verdana" w:cs="Arial"/>
          <w:sz w:val="20"/>
          <w:szCs w:val="20"/>
        </w:rPr>
        <w:t xml:space="preserve"> é feita com base no método não cumulativo utilizando a alíquota de 9,25%</w:t>
      </w:r>
      <w:r w:rsidR="0081692F" w:rsidRPr="00FD016C">
        <w:rPr>
          <w:rFonts w:ascii="Verdana" w:hAnsi="Verdana" w:cs="Arial"/>
          <w:sz w:val="20"/>
          <w:szCs w:val="20"/>
        </w:rPr>
        <w:t>.</w:t>
      </w:r>
    </w:p>
    <w:p w14:paraId="544AFA34" w14:textId="45FC7C1F" w:rsidR="00BD58DC" w:rsidRPr="00FD016C" w:rsidRDefault="00BD58DC" w:rsidP="005144E2">
      <w:pPr>
        <w:widowControl/>
        <w:jc w:val="both"/>
        <w:rPr>
          <w:rFonts w:ascii="Verdana" w:hAnsi="Verdana" w:cs="Arial"/>
          <w:sz w:val="20"/>
          <w:szCs w:val="20"/>
        </w:rPr>
      </w:pPr>
    </w:p>
    <w:p w14:paraId="7659E5CC" w14:textId="50B2D46E" w:rsidR="00722243" w:rsidRPr="00FD016C" w:rsidRDefault="00722243" w:rsidP="005144E2">
      <w:pPr>
        <w:widowControl/>
        <w:jc w:val="both"/>
        <w:rPr>
          <w:rFonts w:ascii="Verdana" w:hAnsi="Verdana" w:cs="Arial"/>
          <w:sz w:val="20"/>
          <w:szCs w:val="20"/>
        </w:rPr>
      </w:pPr>
    </w:p>
    <w:p w14:paraId="778C5022" w14:textId="77777777" w:rsidR="00722243" w:rsidRPr="00FD016C" w:rsidRDefault="00722243" w:rsidP="005144E2">
      <w:pPr>
        <w:widowControl/>
        <w:jc w:val="both"/>
        <w:rPr>
          <w:rFonts w:ascii="Verdana" w:hAnsi="Verdana" w:cs="Arial"/>
          <w:sz w:val="20"/>
          <w:szCs w:val="20"/>
        </w:rPr>
      </w:pPr>
    </w:p>
    <w:p w14:paraId="028367CB" w14:textId="7072A27A" w:rsidR="003F4719" w:rsidRPr="00FD016C" w:rsidRDefault="003F4719" w:rsidP="005144E2">
      <w:pPr>
        <w:widowControl/>
        <w:jc w:val="both"/>
        <w:rPr>
          <w:rFonts w:ascii="Verdana" w:hAnsi="Verdana" w:cs="Arial"/>
          <w:b/>
          <w:sz w:val="26"/>
          <w:szCs w:val="26"/>
        </w:rPr>
      </w:pPr>
      <w:r w:rsidRPr="00FD016C">
        <w:rPr>
          <w:rFonts w:ascii="Verdana" w:hAnsi="Verdana" w:cs="Arial"/>
          <w:b/>
          <w:color w:val="0070C0"/>
          <w:sz w:val="26"/>
          <w:szCs w:val="26"/>
        </w:rPr>
        <w:t xml:space="preserve">NOTA </w:t>
      </w:r>
      <w:r w:rsidR="0074588C" w:rsidRPr="00FD016C">
        <w:rPr>
          <w:rFonts w:ascii="Verdana" w:hAnsi="Verdana" w:cs="Arial"/>
          <w:b/>
          <w:color w:val="0070C0"/>
          <w:sz w:val="26"/>
          <w:szCs w:val="26"/>
        </w:rPr>
        <w:t>30</w:t>
      </w:r>
      <w:r w:rsidRPr="00FD016C">
        <w:rPr>
          <w:rFonts w:ascii="Verdana" w:hAnsi="Verdana" w:cs="Arial"/>
          <w:b/>
          <w:color w:val="0070C0"/>
          <w:sz w:val="26"/>
          <w:szCs w:val="26"/>
        </w:rPr>
        <w:t xml:space="preserve"> – CUSTO OPERACIONAL</w:t>
      </w:r>
    </w:p>
    <w:p w14:paraId="59273884" w14:textId="7D836E3F" w:rsidR="00431C84" w:rsidRPr="00FD016C" w:rsidRDefault="00431C84" w:rsidP="005144E2">
      <w:pPr>
        <w:widowControl/>
        <w:jc w:val="both"/>
        <w:rPr>
          <w:rFonts w:ascii="Verdana" w:hAnsi="Verdana" w:cs="Arial"/>
          <w:b/>
          <w:sz w:val="20"/>
          <w:szCs w:val="20"/>
        </w:rPr>
      </w:pPr>
    </w:p>
    <w:p w14:paraId="2EBF7614" w14:textId="77777777" w:rsidR="003C559D" w:rsidRPr="00FD016C" w:rsidRDefault="003C559D" w:rsidP="005144E2">
      <w:pPr>
        <w:widowControl/>
        <w:jc w:val="both"/>
        <w:rPr>
          <w:rFonts w:ascii="Verdana" w:hAnsi="Verdana" w:cs="Arial"/>
          <w:b/>
          <w:sz w:val="20"/>
          <w:szCs w:val="20"/>
        </w:rPr>
      </w:pPr>
    </w:p>
    <w:p w14:paraId="3629721B" w14:textId="224DB010" w:rsidR="00CE7A16" w:rsidRPr="00FD016C" w:rsidRDefault="00F34EB5" w:rsidP="005144E2">
      <w:pPr>
        <w:widowControl/>
        <w:jc w:val="both"/>
        <w:rPr>
          <w:rFonts w:ascii="Verdana" w:hAnsi="Verdana" w:cs="Arial"/>
          <w:b/>
          <w:sz w:val="20"/>
          <w:szCs w:val="20"/>
        </w:rPr>
      </w:pPr>
      <w:r w:rsidRPr="00FD016C">
        <w:rPr>
          <w:noProof/>
        </w:rPr>
        <w:drawing>
          <wp:inline distT="0" distB="0" distL="0" distR="0" wp14:anchorId="09E2A076" wp14:editId="2287B7AC">
            <wp:extent cx="6073140" cy="3029705"/>
            <wp:effectExtent l="0" t="0" r="381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73140" cy="3029705"/>
                    </a:xfrm>
                    <a:prstGeom prst="rect">
                      <a:avLst/>
                    </a:prstGeom>
                    <a:noFill/>
                    <a:ln>
                      <a:noFill/>
                    </a:ln>
                  </pic:spPr>
                </pic:pic>
              </a:graphicData>
            </a:graphic>
          </wp:inline>
        </w:drawing>
      </w:r>
    </w:p>
    <w:p w14:paraId="3C01266E" w14:textId="3E253C7A" w:rsidR="00CE7A16" w:rsidRDefault="00CE7A16" w:rsidP="00CE7A16">
      <w:pPr>
        <w:widowControl/>
        <w:numPr>
          <w:ilvl w:val="0"/>
          <w:numId w:val="22"/>
        </w:numPr>
        <w:ind w:left="426" w:hanging="426"/>
        <w:contextualSpacing/>
        <w:jc w:val="both"/>
        <w:rPr>
          <w:rFonts w:ascii="Verdana" w:hAnsi="Verdana" w:cs="Arial"/>
          <w:sz w:val="20"/>
          <w:szCs w:val="20"/>
        </w:rPr>
      </w:pPr>
      <w:r w:rsidRPr="00FD016C">
        <w:rPr>
          <w:rFonts w:ascii="Verdana" w:hAnsi="Verdana" w:cs="Arial"/>
          <w:sz w:val="20"/>
          <w:szCs w:val="20"/>
        </w:rPr>
        <w:t xml:space="preserve">Aumento em 2021 devido a horas extras de pessoal durante parada da Usina Angra 2. </w:t>
      </w:r>
    </w:p>
    <w:p w14:paraId="26F6124F" w14:textId="77777777" w:rsidR="005F4FBC" w:rsidRPr="00FD016C" w:rsidRDefault="005F4FBC" w:rsidP="005F4FBC">
      <w:pPr>
        <w:widowControl/>
        <w:contextualSpacing/>
        <w:jc w:val="both"/>
        <w:rPr>
          <w:rFonts w:ascii="Verdana" w:hAnsi="Verdana" w:cs="Arial"/>
          <w:sz w:val="20"/>
          <w:szCs w:val="20"/>
        </w:rPr>
      </w:pPr>
    </w:p>
    <w:p w14:paraId="5DFC1B83" w14:textId="77777777" w:rsidR="00CE7A16" w:rsidRPr="00FD016C" w:rsidRDefault="00CE7A16" w:rsidP="00CE7A16">
      <w:pPr>
        <w:widowControl/>
        <w:numPr>
          <w:ilvl w:val="0"/>
          <w:numId w:val="22"/>
        </w:numPr>
        <w:ind w:left="426" w:hanging="426"/>
        <w:contextualSpacing/>
        <w:jc w:val="both"/>
        <w:rPr>
          <w:rFonts w:ascii="Verdana" w:hAnsi="Verdana" w:cs="Arial"/>
          <w:sz w:val="20"/>
          <w:szCs w:val="20"/>
        </w:rPr>
      </w:pPr>
      <w:r w:rsidRPr="00FD016C">
        <w:rPr>
          <w:rFonts w:ascii="Verdana" w:hAnsi="Verdana" w:cs="Arial"/>
          <w:sz w:val="20"/>
          <w:szCs w:val="20"/>
        </w:rPr>
        <w:t xml:space="preserve">Aumento em 2021 devido aos serviços executados durante parada da Usina Angra 2. </w:t>
      </w:r>
    </w:p>
    <w:p w14:paraId="48401F1B" w14:textId="77777777" w:rsidR="00CE7A16" w:rsidRPr="00FD016C" w:rsidRDefault="00CE7A16" w:rsidP="00CE7A16">
      <w:pPr>
        <w:widowControl/>
        <w:ind w:left="426"/>
        <w:contextualSpacing/>
        <w:jc w:val="both"/>
        <w:rPr>
          <w:rFonts w:ascii="Verdana" w:hAnsi="Verdana" w:cs="Arial"/>
          <w:sz w:val="20"/>
          <w:szCs w:val="20"/>
        </w:rPr>
      </w:pPr>
    </w:p>
    <w:p w14:paraId="07ACD394" w14:textId="77777777" w:rsidR="00224EDB" w:rsidRPr="00FD016C" w:rsidRDefault="00224EDB" w:rsidP="005144E2">
      <w:pPr>
        <w:widowControl/>
        <w:jc w:val="both"/>
        <w:rPr>
          <w:rFonts w:ascii="Verdana" w:hAnsi="Verdana" w:cs="Arial"/>
          <w:b/>
          <w:sz w:val="20"/>
          <w:szCs w:val="20"/>
        </w:rPr>
      </w:pPr>
    </w:p>
    <w:p w14:paraId="0974CA36" w14:textId="18BCE54D" w:rsidR="004422BA" w:rsidRPr="00FD016C" w:rsidRDefault="004422BA" w:rsidP="005144E2">
      <w:pPr>
        <w:pStyle w:val="PargrafodaLista"/>
        <w:rPr>
          <w:rFonts w:ascii="Verdana" w:hAnsi="Verdana" w:cs="Arial"/>
          <w:sz w:val="20"/>
          <w:szCs w:val="20"/>
        </w:rPr>
      </w:pPr>
    </w:p>
    <w:p w14:paraId="21B58441" w14:textId="2156C09B" w:rsidR="00722243" w:rsidRPr="00FD016C" w:rsidRDefault="00722243" w:rsidP="005144E2">
      <w:pPr>
        <w:pStyle w:val="PargrafodaLista"/>
        <w:rPr>
          <w:rFonts w:ascii="Verdana" w:hAnsi="Verdana" w:cs="Arial"/>
          <w:sz w:val="20"/>
          <w:szCs w:val="20"/>
        </w:rPr>
      </w:pPr>
    </w:p>
    <w:p w14:paraId="1827CAB6" w14:textId="4BD43C82" w:rsidR="00722243" w:rsidRPr="00FD016C" w:rsidRDefault="00722243" w:rsidP="005144E2">
      <w:pPr>
        <w:pStyle w:val="PargrafodaLista"/>
        <w:rPr>
          <w:rFonts w:ascii="Verdana" w:hAnsi="Verdana" w:cs="Arial"/>
          <w:sz w:val="20"/>
          <w:szCs w:val="20"/>
        </w:rPr>
      </w:pPr>
    </w:p>
    <w:p w14:paraId="282224BD" w14:textId="4C713C08" w:rsidR="00722243" w:rsidRPr="00FD016C" w:rsidRDefault="00722243" w:rsidP="005144E2">
      <w:pPr>
        <w:pStyle w:val="PargrafodaLista"/>
        <w:rPr>
          <w:rFonts w:ascii="Verdana" w:hAnsi="Verdana" w:cs="Arial"/>
          <w:sz w:val="20"/>
          <w:szCs w:val="20"/>
        </w:rPr>
      </w:pPr>
    </w:p>
    <w:p w14:paraId="2F18E436" w14:textId="732C3BBD" w:rsidR="00722243" w:rsidRPr="00FD016C" w:rsidRDefault="00722243" w:rsidP="005144E2">
      <w:pPr>
        <w:pStyle w:val="PargrafodaLista"/>
        <w:rPr>
          <w:rFonts w:ascii="Verdana" w:hAnsi="Verdana" w:cs="Arial"/>
          <w:sz w:val="20"/>
          <w:szCs w:val="20"/>
        </w:rPr>
      </w:pPr>
    </w:p>
    <w:p w14:paraId="02FCC1DE" w14:textId="483CB7DD" w:rsidR="00722243" w:rsidRPr="00FD016C" w:rsidRDefault="00722243" w:rsidP="005144E2">
      <w:pPr>
        <w:pStyle w:val="PargrafodaLista"/>
        <w:rPr>
          <w:rFonts w:ascii="Verdana" w:hAnsi="Verdana" w:cs="Arial"/>
          <w:sz w:val="20"/>
          <w:szCs w:val="20"/>
        </w:rPr>
      </w:pPr>
    </w:p>
    <w:p w14:paraId="5C6661D0" w14:textId="00B975CC" w:rsidR="00722243" w:rsidRPr="00FD016C" w:rsidRDefault="00722243" w:rsidP="005144E2">
      <w:pPr>
        <w:pStyle w:val="PargrafodaLista"/>
        <w:rPr>
          <w:rFonts w:ascii="Verdana" w:hAnsi="Verdana" w:cs="Arial"/>
          <w:sz w:val="20"/>
          <w:szCs w:val="20"/>
        </w:rPr>
      </w:pPr>
    </w:p>
    <w:p w14:paraId="65E8D040" w14:textId="7454E179" w:rsidR="00722243" w:rsidRPr="00FD016C" w:rsidRDefault="00722243" w:rsidP="005144E2">
      <w:pPr>
        <w:pStyle w:val="PargrafodaLista"/>
        <w:rPr>
          <w:rFonts w:ascii="Verdana" w:hAnsi="Verdana" w:cs="Arial"/>
          <w:sz w:val="20"/>
          <w:szCs w:val="20"/>
        </w:rPr>
      </w:pPr>
    </w:p>
    <w:p w14:paraId="775ADC75" w14:textId="023F4603" w:rsidR="00722243" w:rsidRPr="00FD016C" w:rsidRDefault="00722243" w:rsidP="005144E2">
      <w:pPr>
        <w:pStyle w:val="PargrafodaLista"/>
        <w:rPr>
          <w:rFonts w:ascii="Verdana" w:hAnsi="Verdana" w:cs="Arial"/>
          <w:sz w:val="20"/>
          <w:szCs w:val="20"/>
        </w:rPr>
      </w:pPr>
    </w:p>
    <w:p w14:paraId="506D85CE" w14:textId="54D846BA" w:rsidR="00722243" w:rsidRPr="00FD016C" w:rsidRDefault="00722243" w:rsidP="005144E2">
      <w:pPr>
        <w:pStyle w:val="PargrafodaLista"/>
        <w:rPr>
          <w:rFonts w:ascii="Verdana" w:hAnsi="Verdana" w:cs="Arial"/>
          <w:sz w:val="20"/>
          <w:szCs w:val="20"/>
        </w:rPr>
      </w:pPr>
    </w:p>
    <w:p w14:paraId="081E24DE" w14:textId="5FFDD8A2" w:rsidR="00722243" w:rsidRPr="00FD016C" w:rsidRDefault="00722243" w:rsidP="005144E2">
      <w:pPr>
        <w:pStyle w:val="PargrafodaLista"/>
        <w:rPr>
          <w:rFonts w:ascii="Verdana" w:hAnsi="Verdana" w:cs="Arial"/>
          <w:sz w:val="20"/>
          <w:szCs w:val="20"/>
        </w:rPr>
      </w:pPr>
    </w:p>
    <w:p w14:paraId="286CA056" w14:textId="35FF82D8" w:rsidR="00722243" w:rsidRPr="00FD016C" w:rsidRDefault="00722243" w:rsidP="005144E2">
      <w:pPr>
        <w:pStyle w:val="PargrafodaLista"/>
        <w:rPr>
          <w:rFonts w:ascii="Verdana" w:hAnsi="Verdana" w:cs="Arial"/>
          <w:sz w:val="20"/>
          <w:szCs w:val="20"/>
        </w:rPr>
      </w:pPr>
    </w:p>
    <w:p w14:paraId="264B6D37" w14:textId="65B48214" w:rsidR="00722243" w:rsidRPr="00FD016C" w:rsidRDefault="00722243" w:rsidP="005144E2">
      <w:pPr>
        <w:pStyle w:val="PargrafodaLista"/>
        <w:rPr>
          <w:rFonts w:ascii="Verdana" w:hAnsi="Verdana" w:cs="Arial"/>
          <w:sz w:val="20"/>
          <w:szCs w:val="20"/>
        </w:rPr>
      </w:pPr>
    </w:p>
    <w:p w14:paraId="58EF2D2E" w14:textId="77777777" w:rsidR="0041039A" w:rsidRPr="00FD016C" w:rsidRDefault="0041039A" w:rsidP="005144E2">
      <w:pPr>
        <w:pStyle w:val="PargrafodaLista"/>
        <w:rPr>
          <w:rFonts w:ascii="Verdana" w:hAnsi="Verdana" w:cs="Arial"/>
          <w:sz w:val="20"/>
          <w:szCs w:val="20"/>
        </w:rPr>
      </w:pPr>
    </w:p>
    <w:p w14:paraId="7149046D" w14:textId="37EFD7AF" w:rsidR="00722243" w:rsidRPr="00FD016C" w:rsidRDefault="00722243" w:rsidP="005144E2">
      <w:pPr>
        <w:pStyle w:val="PargrafodaLista"/>
        <w:rPr>
          <w:rFonts w:ascii="Verdana" w:hAnsi="Verdana" w:cs="Arial"/>
          <w:sz w:val="20"/>
          <w:szCs w:val="20"/>
        </w:rPr>
      </w:pPr>
    </w:p>
    <w:p w14:paraId="39175E6F" w14:textId="77F86AA8" w:rsidR="003F4719" w:rsidRPr="00FD016C" w:rsidRDefault="003F4719" w:rsidP="005144E2">
      <w:pPr>
        <w:widowControl/>
        <w:jc w:val="both"/>
        <w:rPr>
          <w:rFonts w:ascii="Verdana" w:hAnsi="Verdana" w:cs="Arial"/>
          <w:b/>
          <w:color w:val="0070C0"/>
          <w:sz w:val="26"/>
          <w:szCs w:val="26"/>
        </w:rPr>
      </w:pPr>
      <w:r w:rsidRPr="00FD016C">
        <w:rPr>
          <w:rFonts w:ascii="Verdana" w:hAnsi="Verdana" w:cs="Arial"/>
          <w:b/>
          <w:color w:val="0070C0"/>
          <w:sz w:val="26"/>
          <w:szCs w:val="26"/>
        </w:rPr>
        <w:lastRenderedPageBreak/>
        <w:t xml:space="preserve">NOTA </w:t>
      </w:r>
      <w:r w:rsidR="002002A2" w:rsidRPr="00FD016C">
        <w:rPr>
          <w:rFonts w:ascii="Verdana" w:hAnsi="Verdana" w:cs="Arial"/>
          <w:b/>
          <w:color w:val="0070C0"/>
          <w:sz w:val="26"/>
          <w:szCs w:val="26"/>
        </w:rPr>
        <w:t>3</w:t>
      </w:r>
      <w:r w:rsidR="0074588C" w:rsidRPr="00FD016C">
        <w:rPr>
          <w:rFonts w:ascii="Verdana" w:hAnsi="Verdana" w:cs="Arial"/>
          <w:b/>
          <w:color w:val="0070C0"/>
          <w:sz w:val="26"/>
          <w:szCs w:val="26"/>
        </w:rPr>
        <w:t>1</w:t>
      </w:r>
      <w:r w:rsidRPr="00FD016C">
        <w:rPr>
          <w:rFonts w:ascii="Verdana" w:hAnsi="Verdana" w:cs="Arial"/>
          <w:b/>
          <w:color w:val="0070C0"/>
          <w:sz w:val="26"/>
          <w:szCs w:val="26"/>
        </w:rPr>
        <w:t xml:space="preserve"> – DESPESAS OPERACIONAIS</w:t>
      </w:r>
    </w:p>
    <w:p w14:paraId="4A2B8CE2" w14:textId="77777777" w:rsidR="00BE297D" w:rsidRPr="00FD016C" w:rsidRDefault="00BE297D" w:rsidP="005144E2">
      <w:pPr>
        <w:widowControl/>
        <w:jc w:val="both"/>
        <w:rPr>
          <w:rFonts w:ascii="Verdana" w:hAnsi="Verdana" w:cs="Arial"/>
          <w:b/>
          <w:sz w:val="20"/>
          <w:szCs w:val="20"/>
        </w:rPr>
      </w:pPr>
    </w:p>
    <w:p w14:paraId="1F61F1BC" w14:textId="482E78CC" w:rsidR="00BD15B2" w:rsidRPr="00FD016C" w:rsidRDefault="00D16077" w:rsidP="008837F3">
      <w:pPr>
        <w:widowControl/>
        <w:jc w:val="both"/>
        <w:rPr>
          <w:rFonts w:ascii="Verdana" w:hAnsi="Verdana" w:cs="Arial"/>
          <w:sz w:val="20"/>
          <w:szCs w:val="20"/>
        </w:rPr>
      </w:pPr>
      <w:r w:rsidRPr="00FD016C">
        <w:rPr>
          <w:rStyle w:val="Refdecomentrio"/>
          <w:szCs w:val="20"/>
        </w:rPr>
        <w:t xml:space="preserve"> </w:t>
      </w:r>
      <w:r w:rsidR="00B21D6F" w:rsidRPr="00FD016C">
        <w:rPr>
          <w:rFonts w:ascii="Verdana" w:hAnsi="Verdana" w:cs="Arial"/>
          <w:b/>
          <w:sz w:val="20"/>
          <w:szCs w:val="20"/>
        </w:rPr>
        <w:t xml:space="preserve"> </w:t>
      </w:r>
    </w:p>
    <w:p w14:paraId="7AC28F5E" w14:textId="1411B21E" w:rsidR="00845B7F" w:rsidRPr="00FD016C" w:rsidRDefault="006A7DE1" w:rsidP="00845B7F">
      <w:pPr>
        <w:rPr>
          <w:rFonts w:ascii="Verdana" w:hAnsi="Verdana" w:cs="Arial"/>
          <w:sz w:val="20"/>
          <w:szCs w:val="20"/>
        </w:rPr>
      </w:pPr>
      <w:r w:rsidRPr="00FD016C">
        <w:rPr>
          <w:noProof/>
        </w:rPr>
        <w:drawing>
          <wp:inline distT="0" distB="0" distL="0" distR="0" wp14:anchorId="3CA164D0" wp14:editId="602A2DF4">
            <wp:extent cx="6073140" cy="3446175"/>
            <wp:effectExtent l="0" t="0" r="3810" b="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73140" cy="3446175"/>
                    </a:xfrm>
                    <a:prstGeom prst="rect">
                      <a:avLst/>
                    </a:prstGeom>
                    <a:noFill/>
                    <a:ln>
                      <a:noFill/>
                    </a:ln>
                  </pic:spPr>
                </pic:pic>
              </a:graphicData>
            </a:graphic>
          </wp:inline>
        </w:drawing>
      </w:r>
    </w:p>
    <w:p w14:paraId="07B1479E" w14:textId="2E934F63" w:rsidR="002555C2" w:rsidRPr="00FD016C" w:rsidRDefault="006B2301" w:rsidP="00845B7F">
      <w:pPr>
        <w:pStyle w:val="PargrafodaLista"/>
        <w:numPr>
          <w:ilvl w:val="0"/>
          <w:numId w:val="46"/>
        </w:numPr>
        <w:ind w:left="357" w:hanging="357"/>
        <w:jc w:val="both"/>
        <w:rPr>
          <w:rFonts w:ascii="Verdana" w:hAnsi="Verdana" w:cs="Arial"/>
          <w:sz w:val="20"/>
          <w:szCs w:val="20"/>
        </w:rPr>
      </w:pPr>
      <w:r w:rsidRPr="00FD016C">
        <w:rPr>
          <w:rFonts w:ascii="Verdana" w:hAnsi="Verdana" w:cs="Arial"/>
          <w:sz w:val="20"/>
          <w:szCs w:val="20"/>
        </w:rPr>
        <w:t xml:space="preserve">A variação </w:t>
      </w:r>
      <w:r w:rsidR="00AE7E91" w:rsidRPr="00FD016C">
        <w:rPr>
          <w:rFonts w:ascii="Verdana" w:hAnsi="Verdana" w:cs="Arial"/>
          <w:sz w:val="20"/>
          <w:szCs w:val="20"/>
        </w:rPr>
        <w:t xml:space="preserve">da provisão </w:t>
      </w:r>
      <w:r w:rsidR="006A7DE1" w:rsidRPr="00FD016C">
        <w:rPr>
          <w:rFonts w:ascii="Verdana" w:hAnsi="Verdana" w:cs="Arial"/>
          <w:sz w:val="20"/>
          <w:szCs w:val="20"/>
        </w:rPr>
        <w:t xml:space="preserve">para risco deve-se a </w:t>
      </w:r>
      <w:r w:rsidR="000B5754" w:rsidRPr="00FD016C">
        <w:rPr>
          <w:rFonts w:ascii="Verdana" w:hAnsi="Verdana" w:cs="Arial"/>
          <w:sz w:val="20"/>
          <w:szCs w:val="20"/>
        </w:rPr>
        <w:t xml:space="preserve">reversão de </w:t>
      </w:r>
      <w:r w:rsidR="006A7DE1" w:rsidRPr="00FD016C">
        <w:rPr>
          <w:rFonts w:ascii="Verdana" w:hAnsi="Verdana" w:cs="Arial"/>
          <w:sz w:val="20"/>
          <w:szCs w:val="20"/>
        </w:rPr>
        <w:t xml:space="preserve">contingências com </w:t>
      </w:r>
      <w:r w:rsidR="000B5754" w:rsidRPr="00FD016C">
        <w:rPr>
          <w:rFonts w:ascii="Verdana" w:hAnsi="Verdana" w:cs="Arial"/>
          <w:sz w:val="20"/>
          <w:szCs w:val="20"/>
        </w:rPr>
        <w:t xml:space="preserve">prognóstico de </w:t>
      </w:r>
      <w:r w:rsidR="006A7DE1" w:rsidRPr="00FD016C">
        <w:rPr>
          <w:rFonts w:ascii="Verdana" w:hAnsi="Verdana" w:cs="Arial"/>
          <w:sz w:val="20"/>
          <w:szCs w:val="20"/>
        </w:rPr>
        <w:t>risco prováve</w:t>
      </w:r>
      <w:r w:rsidR="000B5754" w:rsidRPr="00FD016C">
        <w:rPr>
          <w:rFonts w:ascii="Verdana" w:hAnsi="Verdana" w:cs="Arial"/>
          <w:sz w:val="20"/>
          <w:szCs w:val="20"/>
        </w:rPr>
        <w:t>l de perda</w:t>
      </w:r>
      <w:r w:rsidR="00AE7E91" w:rsidRPr="00FD016C">
        <w:rPr>
          <w:rFonts w:ascii="Verdana" w:hAnsi="Verdana" w:cs="Arial"/>
          <w:sz w:val="20"/>
          <w:szCs w:val="20"/>
        </w:rPr>
        <w:t>.</w:t>
      </w:r>
    </w:p>
    <w:p w14:paraId="2B6D2F17" w14:textId="77777777" w:rsidR="006A7DE1" w:rsidRPr="00FD016C" w:rsidRDefault="006A7DE1" w:rsidP="006A7DE1">
      <w:pPr>
        <w:pStyle w:val="PargrafodaLista"/>
        <w:ind w:left="357"/>
        <w:jc w:val="both"/>
        <w:rPr>
          <w:rFonts w:ascii="Verdana" w:hAnsi="Verdana" w:cs="Arial"/>
          <w:sz w:val="20"/>
          <w:szCs w:val="20"/>
        </w:rPr>
      </w:pPr>
    </w:p>
    <w:p w14:paraId="64FC0A5D" w14:textId="77777777" w:rsidR="006A7DE1" w:rsidRPr="00FD016C" w:rsidRDefault="006A7DE1" w:rsidP="006A7DE1">
      <w:pPr>
        <w:pStyle w:val="PargrafodaLista"/>
        <w:numPr>
          <w:ilvl w:val="0"/>
          <w:numId w:val="46"/>
        </w:numPr>
        <w:ind w:left="357" w:hanging="357"/>
        <w:jc w:val="both"/>
        <w:rPr>
          <w:rFonts w:ascii="Verdana" w:hAnsi="Verdana" w:cs="Arial"/>
          <w:sz w:val="20"/>
          <w:szCs w:val="20"/>
        </w:rPr>
      </w:pPr>
      <w:r w:rsidRPr="00FD016C">
        <w:rPr>
          <w:rFonts w:ascii="Verdana" w:hAnsi="Verdana" w:cs="Arial"/>
          <w:sz w:val="20"/>
          <w:szCs w:val="20"/>
        </w:rPr>
        <w:t>A variação da provisão do benefício pós-emprego deve-se a estimativa de desempenho dos fundos de pensão conforme laudo atuarial emitido no ano anterior. Essa provisão será avaliada no final do ano quando o atuário contratado receberá todas as informações sobre o desempenho das fundações.</w:t>
      </w:r>
    </w:p>
    <w:p w14:paraId="2C8F396A" w14:textId="6CA34D25" w:rsidR="00590A04" w:rsidRPr="00FD016C" w:rsidRDefault="00590A04" w:rsidP="002555C2">
      <w:pPr>
        <w:pStyle w:val="PargrafodaLista"/>
        <w:rPr>
          <w:rFonts w:ascii="Verdana" w:hAnsi="Verdana" w:cs="Arial"/>
          <w:sz w:val="20"/>
          <w:szCs w:val="20"/>
        </w:rPr>
      </w:pPr>
    </w:p>
    <w:p w14:paraId="6677A590" w14:textId="4987790C" w:rsidR="00F1604E" w:rsidRPr="00FD016C" w:rsidRDefault="00F1604E" w:rsidP="00F1604E">
      <w:pPr>
        <w:pStyle w:val="PargrafodaLista"/>
        <w:numPr>
          <w:ilvl w:val="0"/>
          <w:numId w:val="46"/>
        </w:numPr>
        <w:ind w:left="357" w:hanging="357"/>
        <w:jc w:val="both"/>
        <w:rPr>
          <w:rFonts w:ascii="Verdana" w:hAnsi="Verdana" w:cs="Arial"/>
          <w:sz w:val="20"/>
          <w:szCs w:val="20"/>
        </w:rPr>
      </w:pPr>
      <w:r w:rsidRPr="00FD016C">
        <w:rPr>
          <w:rFonts w:ascii="Verdana" w:hAnsi="Verdana" w:cs="Arial"/>
          <w:sz w:val="20"/>
          <w:szCs w:val="20"/>
        </w:rPr>
        <w:t xml:space="preserve">A variação deve-se principalmente à redução da base para apuração de despesa de PIS/COFINS sobre o rendimento do fundo de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a receita financeira bruta ref</w:t>
      </w:r>
      <w:r w:rsidR="005F4FBC">
        <w:rPr>
          <w:rFonts w:ascii="Verdana" w:hAnsi="Verdana" w:cs="Arial"/>
          <w:sz w:val="20"/>
          <w:szCs w:val="20"/>
        </w:rPr>
        <w:t>erente</w:t>
      </w:r>
      <w:r w:rsidRPr="00FD016C">
        <w:rPr>
          <w:rFonts w:ascii="Verdana" w:hAnsi="Verdana" w:cs="Arial"/>
          <w:sz w:val="20"/>
          <w:szCs w:val="20"/>
        </w:rPr>
        <w:t xml:space="preserve"> ao rendimento do fundo de </w:t>
      </w:r>
      <w:proofErr w:type="spellStart"/>
      <w:r w:rsidRPr="00FD016C">
        <w:rPr>
          <w:rFonts w:ascii="Verdana" w:hAnsi="Verdana" w:cs="Arial"/>
          <w:sz w:val="20"/>
          <w:szCs w:val="20"/>
        </w:rPr>
        <w:t>descomissionamento</w:t>
      </w:r>
      <w:proofErr w:type="spellEnd"/>
      <w:r w:rsidRPr="00FD016C">
        <w:rPr>
          <w:rFonts w:ascii="Verdana" w:hAnsi="Verdana" w:cs="Arial"/>
          <w:sz w:val="20"/>
          <w:szCs w:val="20"/>
        </w:rPr>
        <w:t xml:space="preserve"> em 30 de </w:t>
      </w:r>
      <w:r w:rsidR="004B75C1" w:rsidRPr="00FD016C">
        <w:rPr>
          <w:rFonts w:ascii="Verdana" w:hAnsi="Verdana" w:cs="Arial"/>
          <w:sz w:val="20"/>
          <w:szCs w:val="20"/>
        </w:rPr>
        <w:t>setembro</w:t>
      </w:r>
      <w:r w:rsidRPr="00FD016C">
        <w:rPr>
          <w:rFonts w:ascii="Verdana" w:hAnsi="Verdana" w:cs="Arial"/>
          <w:sz w:val="20"/>
          <w:szCs w:val="20"/>
        </w:rPr>
        <w:t xml:space="preserve"> de 2021 foi R$ </w:t>
      </w:r>
      <w:r w:rsidR="006A7DE1" w:rsidRPr="00FD016C">
        <w:rPr>
          <w:rFonts w:ascii="Verdana" w:hAnsi="Verdana" w:cs="Arial"/>
          <w:sz w:val="20"/>
          <w:szCs w:val="20"/>
        </w:rPr>
        <w:t>57.800</w:t>
      </w:r>
      <w:r w:rsidRPr="00FD016C">
        <w:rPr>
          <w:rFonts w:ascii="Verdana" w:hAnsi="Verdana" w:cs="Arial"/>
          <w:sz w:val="20"/>
          <w:szCs w:val="20"/>
        </w:rPr>
        <w:t xml:space="preserve"> (R$ </w:t>
      </w:r>
      <w:r w:rsidR="006A7DE1" w:rsidRPr="00FD016C">
        <w:rPr>
          <w:rFonts w:ascii="Verdana" w:hAnsi="Verdana" w:cs="Arial"/>
          <w:sz w:val="20"/>
          <w:szCs w:val="20"/>
        </w:rPr>
        <w:t>515.836</w:t>
      </w:r>
      <w:r w:rsidRPr="00FD016C">
        <w:rPr>
          <w:rFonts w:ascii="Verdana" w:hAnsi="Verdana" w:cs="Arial"/>
          <w:sz w:val="20"/>
          <w:szCs w:val="20"/>
        </w:rPr>
        <w:t xml:space="preserve"> em 30 de </w:t>
      </w:r>
      <w:r w:rsidR="004B75C1" w:rsidRPr="00FD016C">
        <w:rPr>
          <w:rFonts w:ascii="Verdana" w:hAnsi="Verdana" w:cs="Arial"/>
          <w:sz w:val="20"/>
          <w:szCs w:val="20"/>
        </w:rPr>
        <w:t>setembro</w:t>
      </w:r>
      <w:r w:rsidRPr="00FD016C">
        <w:rPr>
          <w:rFonts w:ascii="Verdana" w:hAnsi="Verdana" w:cs="Arial"/>
          <w:sz w:val="20"/>
          <w:szCs w:val="20"/>
        </w:rPr>
        <w:t xml:space="preserve"> de 2020).</w:t>
      </w:r>
    </w:p>
    <w:p w14:paraId="4FD37E0D" w14:textId="77777777" w:rsidR="00F1604E" w:rsidRPr="00FD016C" w:rsidRDefault="00F1604E" w:rsidP="002555C2">
      <w:pPr>
        <w:pStyle w:val="PargrafodaLista"/>
        <w:rPr>
          <w:rFonts w:ascii="Verdana" w:hAnsi="Verdana" w:cs="Arial"/>
          <w:sz w:val="20"/>
          <w:szCs w:val="20"/>
        </w:rPr>
      </w:pPr>
    </w:p>
    <w:p w14:paraId="02DEE08B" w14:textId="731F5034" w:rsidR="00590A04" w:rsidRPr="00FD016C" w:rsidRDefault="00590A04" w:rsidP="002555C2">
      <w:pPr>
        <w:pStyle w:val="PargrafodaLista"/>
        <w:rPr>
          <w:rFonts w:ascii="Verdana" w:hAnsi="Verdana" w:cs="Arial"/>
          <w:sz w:val="20"/>
          <w:szCs w:val="20"/>
        </w:rPr>
      </w:pPr>
    </w:p>
    <w:p w14:paraId="1354CE95" w14:textId="2E1F3976" w:rsidR="00590A04" w:rsidRPr="00FD016C" w:rsidRDefault="00590A04" w:rsidP="002555C2">
      <w:pPr>
        <w:pStyle w:val="PargrafodaLista"/>
        <w:rPr>
          <w:rFonts w:ascii="Verdana" w:hAnsi="Verdana" w:cs="Arial"/>
          <w:sz w:val="20"/>
          <w:szCs w:val="20"/>
        </w:rPr>
      </w:pPr>
    </w:p>
    <w:p w14:paraId="7EEC2D12" w14:textId="62C612EF" w:rsidR="00590A04" w:rsidRPr="00FD016C" w:rsidRDefault="00590A04" w:rsidP="002555C2">
      <w:pPr>
        <w:pStyle w:val="PargrafodaLista"/>
        <w:rPr>
          <w:rFonts w:ascii="Verdana" w:hAnsi="Verdana" w:cs="Arial"/>
          <w:sz w:val="20"/>
          <w:szCs w:val="20"/>
        </w:rPr>
      </w:pPr>
    </w:p>
    <w:p w14:paraId="63D156D4" w14:textId="5015D30D" w:rsidR="00590A04" w:rsidRPr="00FD016C" w:rsidRDefault="00590A04" w:rsidP="002555C2">
      <w:pPr>
        <w:pStyle w:val="PargrafodaLista"/>
        <w:rPr>
          <w:rFonts w:ascii="Verdana" w:hAnsi="Verdana" w:cs="Arial"/>
          <w:sz w:val="20"/>
          <w:szCs w:val="20"/>
        </w:rPr>
      </w:pPr>
    </w:p>
    <w:p w14:paraId="704E6732" w14:textId="163A8505" w:rsidR="00590A04" w:rsidRPr="00FD016C" w:rsidRDefault="00590A04" w:rsidP="002555C2">
      <w:pPr>
        <w:pStyle w:val="PargrafodaLista"/>
        <w:rPr>
          <w:rFonts w:ascii="Verdana" w:hAnsi="Verdana" w:cs="Arial"/>
          <w:sz w:val="20"/>
          <w:szCs w:val="20"/>
        </w:rPr>
      </w:pPr>
    </w:p>
    <w:p w14:paraId="5E0DE0EA" w14:textId="4E26B300" w:rsidR="00590A04" w:rsidRPr="00FD016C" w:rsidRDefault="00590A04" w:rsidP="002555C2">
      <w:pPr>
        <w:pStyle w:val="PargrafodaLista"/>
        <w:rPr>
          <w:rFonts w:ascii="Verdana" w:hAnsi="Verdana" w:cs="Arial"/>
          <w:sz w:val="20"/>
          <w:szCs w:val="20"/>
        </w:rPr>
      </w:pPr>
    </w:p>
    <w:p w14:paraId="3DADF1B3" w14:textId="57503122" w:rsidR="00590A04" w:rsidRPr="00FD016C" w:rsidRDefault="00590A04" w:rsidP="002555C2">
      <w:pPr>
        <w:pStyle w:val="PargrafodaLista"/>
        <w:rPr>
          <w:rFonts w:ascii="Verdana" w:hAnsi="Verdana" w:cs="Arial"/>
          <w:sz w:val="20"/>
          <w:szCs w:val="20"/>
        </w:rPr>
      </w:pPr>
    </w:p>
    <w:p w14:paraId="3A79BC92" w14:textId="77777777" w:rsidR="00590A04" w:rsidRPr="00FD016C" w:rsidRDefault="00590A04" w:rsidP="002555C2">
      <w:pPr>
        <w:pStyle w:val="PargrafodaLista"/>
        <w:rPr>
          <w:rFonts w:ascii="Verdana" w:hAnsi="Verdana" w:cs="Arial"/>
          <w:sz w:val="20"/>
          <w:szCs w:val="20"/>
        </w:rPr>
      </w:pPr>
    </w:p>
    <w:p w14:paraId="7E79661D" w14:textId="77777777" w:rsidR="00BD15B2" w:rsidRPr="00FD016C" w:rsidRDefault="00BD15B2" w:rsidP="00BD15B2">
      <w:pPr>
        <w:pStyle w:val="PargrafodaLista"/>
        <w:rPr>
          <w:rFonts w:ascii="Verdana" w:hAnsi="Verdana" w:cs="Arial"/>
          <w:sz w:val="20"/>
          <w:szCs w:val="20"/>
        </w:rPr>
      </w:pPr>
    </w:p>
    <w:p w14:paraId="13D1A242" w14:textId="77777777" w:rsidR="00BD15B2" w:rsidRPr="00FD016C" w:rsidRDefault="00BD15B2" w:rsidP="00BD15B2">
      <w:pPr>
        <w:widowControl/>
        <w:jc w:val="both"/>
        <w:rPr>
          <w:rFonts w:ascii="Verdana" w:hAnsi="Verdana" w:cs="Arial"/>
          <w:sz w:val="20"/>
          <w:szCs w:val="20"/>
        </w:rPr>
      </w:pPr>
    </w:p>
    <w:p w14:paraId="3B70886C" w14:textId="77777777" w:rsidR="003A4F3E" w:rsidRPr="00FD016C" w:rsidRDefault="003A4F3E" w:rsidP="00BD15B2">
      <w:pPr>
        <w:widowControl/>
        <w:jc w:val="both"/>
        <w:rPr>
          <w:rFonts w:ascii="Verdana" w:hAnsi="Verdana" w:cs="Arial"/>
          <w:sz w:val="20"/>
          <w:szCs w:val="20"/>
        </w:rPr>
      </w:pPr>
    </w:p>
    <w:p w14:paraId="672E5D97" w14:textId="77777777" w:rsidR="003A4F3E" w:rsidRPr="00FD016C" w:rsidRDefault="003A4F3E" w:rsidP="00BD15B2">
      <w:pPr>
        <w:widowControl/>
        <w:jc w:val="both"/>
        <w:rPr>
          <w:rFonts w:ascii="Verdana" w:hAnsi="Verdana" w:cs="Arial"/>
          <w:sz w:val="20"/>
          <w:szCs w:val="20"/>
        </w:rPr>
      </w:pPr>
    </w:p>
    <w:p w14:paraId="5CA6DD1A" w14:textId="77777777" w:rsidR="008837F3" w:rsidRPr="00FD016C" w:rsidRDefault="008837F3" w:rsidP="00BD15B2">
      <w:pPr>
        <w:widowControl/>
        <w:jc w:val="both"/>
        <w:rPr>
          <w:rFonts w:ascii="Verdana" w:hAnsi="Verdana" w:cs="Arial"/>
          <w:sz w:val="20"/>
          <w:szCs w:val="20"/>
        </w:rPr>
      </w:pPr>
    </w:p>
    <w:p w14:paraId="7085F860" w14:textId="66B66BEA" w:rsidR="003F4719" w:rsidRPr="00FD016C" w:rsidRDefault="003F4719" w:rsidP="005144E2">
      <w:pPr>
        <w:keepNext/>
        <w:widowControl/>
        <w:jc w:val="both"/>
        <w:outlineLvl w:val="0"/>
        <w:rPr>
          <w:rFonts w:ascii="Verdana" w:hAnsi="Verdana" w:cs="Arial"/>
          <w:b/>
          <w:color w:val="0070C0"/>
          <w:sz w:val="26"/>
          <w:szCs w:val="26"/>
        </w:rPr>
      </w:pPr>
      <w:r w:rsidRPr="00FD016C">
        <w:rPr>
          <w:rFonts w:ascii="Verdana" w:hAnsi="Verdana" w:cs="Arial"/>
          <w:b/>
          <w:color w:val="0070C0"/>
          <w:sz w:val="26"/>
          <w:szCs w:val="26"/>
        </w:rPr>
        <w:lastRenderedPageBreak/>
        <w:t xml:space="preserve">NOTA </w:t>
      </w:r>
      <w:r w:rsidR="00C24C6D" w:rsidRPr="00FD016C">
        <w:rPr>
          <w:rFonts w:ascii="Verdana" w:hAnsi="Verdana" w:cs="Arial"/>
          <w:b/>
          <w:color w:val="0070C0"/>
          <w:sz w:val="26"/>
          <w:szCs w:val="26"/>
        </w:rPr>
        <w:t>3</w:t>
      </w:r>
      <w:r w:rsidR="0074588C" w:rsidRPr="00FD016C">
        <w:rPr>
          <w:rFonts w:ascii="Verdana" w:hAnsi="Verdana" w:cs="Arial"/>
          <w:b/>
          <w:color w:val="0070C0"/>
          <w:sz w:val="26"/>
          <w:szCs w:val="26"/>
        </w:rPr>
        <w:t>2</w:t>
      </w:r>
      <w:r w:rsidRPr="00FD016C">
        <w:rPr>
          <w:rFonts w:ascii="Verdana" w:hAnsi="Verdana" w:cs="Arial"/>
          <w:b/>
          <w:color w:val="0070C0"/>
          <w:sz w:val="26"/>
          <w:szCs w:val="26"/>
        </w:rPr>
        <w:t xml:space="preserve"> – RESULTADO FINANCEIRO</w:t>
      </w:r>
    </w:p>
    <w:p w14:paraId="5447FD3B" w14:textId="6CD08E82" w:rsidR="00CC29A2" w:rsidRPr="00FD016C" w:rsidRDefault="00CC29A2" w:rsidP="005144E2">
      <w:pPr>
        <w:widowControl/>
        <w:rPr>
          <w:rFonts w:ascii="Verdana" w:hAnsi="Verdana" w:cs="Arial"/>
          <w:b/>
          <w:sz w:val="20"/>
          <w:szCs w:val="20"/>
        </w:rPr>
      </w:pPr>
    </w:p>
    <w:p w14:paraId="5798CAF6" w14:textId="4DF5F01E" w:rsidR="001F0402" w:rsidRPr="00FD016C" w:rsidRDefault="001F0402" w:rsidP="005144E2">
      <w:pPr>
        <w:widowControl/>
        <w:rPr>
          <w:rFonts w:ascii="Verdana" w:hAnsi="Verdana" w:cs="Arial"/>
          <w:b/>
          <w:sz w:val="20"/>
          <w:szCs w:val="20"/>
        </w:rPr>
      </w:pPr>
    </w:p>
    <w:p w14:paraId="24B877B9" w14:textId="20F8BB55" w:rsidR="00B62358" w:rsidRPr="00FD016C" w:rsidRDefault="00B6303F" w:rsidP="005144E2">
      <w:pPr>
        <w:widowControl/>
        <w:rPr>
          <w:rFonts w:ascii="Verdana" w:hAnsi="Verdana" w:cs="Arial"/>
          <w:b/>
          <w:sz w:val="20"/>
          <w:szCs w:val="20"/>
        </w:rPr>
      </w:pPr>
      <w:r w:rsidRPr="00B6303F">
        <w:rPr>
          <w:noProof/>
        </w:rPr>
        <w:drawing>
          <wp:inline distT="0" distB="0" distL="0" distR="0" wp14:anchorId="6166B9DF" wp14:editId="0DC0AC7E">
            <wp:extent cx="6073140" cy="2440380"/>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73140" cy="2440380"/>
                    </a:xfrm>
                    <a:prstGeom prst="rect">
                      <a:avLst/>
                    </a:prstGeom>
                    <a:noFill/>
                    <a:ln>
                      <a:noFill/>
                    </a:ln>
                  </pic:spPr>
                </pic:pic>
              </a:graphicData>
            </a:graphic>
          </wp:inline>
        </w:drawing>
      </w:r>
    </w:p>
    <w:p w14:paraId="0D19B17A" w14:textId="1826D5C5" w:rsidR="00FF3A33" w:rsidRDefault="00FF3A33" w:rsidP="005144E2">
      <w:pPr>
        <w:widowControl/>
        <w:rPr>
          <w:rFonts w:ascii="Verdana" w:hAnsi="Verdana" w:cs="Arial"/>
          <w:b/>
          <w:sz w:val="20"/>
          <w:szCs w:val="20"/>
        </w:rPr>
      </w:pPr>
    </w:p>
    <w:p w14:paraId="6D3B944D" w14:textId="77777777" w:rsidR="005F4FBC" w:rsidRDefault="005F4FBC" w:rsidP="005144E2">
      <w:pPr>
        <w:widowControl/>
        <w:rPr>
          <w:rFonts w:ascii="Verdana" w:hAnsi="Verdana" w:cs="Arial"/>
          <w:b/>
          <w:sz w:val="20"/>
          <w:szCs w:val="20"/>
        </w:rPr>
      </w:pPr>
    </w:p>
    <w:p w14:paraId="5B7D5B35" w14:textId="77777777" w:rsidR="00B6303F" w:rsidRPr="00FD016C" w:rsidRDefault="00B6303F" w:rsidP="005144E2">
      <w:pPr>
        <w:widowControl/>
        <w:rPr>
          <w:rFonts w:ascii="Verdana" w:hAnsi="Verdana" w:cs="Arial"/>
          <w:b/>
          <w:sz w:val="20"/>
          <w:szCs w:val="20"/>
        </w:rPr>
      </w:pPr>
    </w:p>
    <w:p w14:paraId="40C1743D" w14:textId="79BDC324" w:rsidR="003F4719" w:rsidRPr="00FD016C" w:rsidRDefault="003F4719" w:rsidP="005144E2">
      <w:pPr>
        <w:widowControl/>
        <w:rPr>
          <w:rFonts w:ascii="Verdana" w:hAnsi="Verdana" w:cs="Arial"/>
          <w:b/>
          <w:color w:val="0070C0"/>
          <w:sz w:val="26"/>
          <w:szCs w:val="26"/>
        </w:rPr>
      </w:pPr>
      <w:r w:rsidRPr="00FD016C">
        <w:rPr>
          <w:rFonts w:ascii="Verdana" w:hAnsi="Verdana" w:cs="Arial"/>
          <w:b/>
          <w:color w:val="0070C0"/>
          <w:sz w:val="26"/>
          <w:szCs w:val="26"/>
        </w:rPr>
        <w:t>NOTA 3</w:t>
      </w:r>
      <w:r w:rsidR="0074588C" w:rsidRPr="00FD016C">
        <w:rPr>
          <w:rFonts w:ascii="Verdana" w:hAnsi="Verdana" w:cs="Arial"/>
          <w:b/>
          <w:color w:val="0070C0"/>
          <w:sz w:val="26"/>
          <w:szCs w:val="26"/>
        </w:rPr>
        <w:t>3</w:t>
      </w:r>
      <w:r w:rsidRPr="00FD016C">
        <w:rPr>
          <w:rFonts w:ascii="Verdana" w:hAnsi="Verdana" w:cs="Arial"/>
          <w:b/>
          <w:color w:val="0070C0"/>
          <w:sz w:val="26"/>
          <w:szCs w:val="26"/>
        </w:rPr>
        <w:t xml:space="preserve"> – IMPOSTO DE RENDA E CONTRIBUIÇÃO SOCIAL NO RESULTADO</w:t>
      </w:r>
    </w:p>
    <w:p w14:paraId="5895309C" w14:textId="77777777" w:rsidR="00557D1D" w:rsidRPr="00FD016C" w:rsidRDefault="00557D1D" w:rsidP="005144E2">
      <w:pPr>
        <w:widowControl/>
        <w:rPr>
          <w:rFonts w:ascii="Verdana" w:hAnsi="Verdana" w:cs="Arial"/>
          <w:b/>
          <w:sz w:val="20"/>
          <w:szCs w:val="20"/>
        </w:rPr>
      </w:pPr>
    </w:p>
    <w:p w14:paraId="0C7C827C" w14:textId="77777777" w:rsidR="00924B99" w:rsidRPr="00FD016C" w:rsidRDefault="00924B99" w:rsidP="005144E2">
      <w:pPr>
        <w:widowControl/>
        <w:rPr>
          <w:rFonts w:ascii="Verdana" w:hAnsi="Verdana" w:cs="Arial"/>
          <w:b/>
          <w:sz w:val="20"/>
          <w:szCs w:val="20"/>
        </w:rPr>
      </w:pPr>
    </w:p>
    <w:p w14:paraId="3B91EB8A" w14:textId="77777777" w:rsidR="00893A72" w:rsidRPr="00FD016C" w:rsidRDefault="003F4719" w:rsidP="005166FB">
      <w:pPr>
        <w:jc w:val="both"/>
        <w:rPr>
          <w:rFonts w:ascii="Verdana" w:hAnsi="Verdana" w:cs="Arial"/>
          <w:sz w:val="20"/>
          <w:szCs w:val="20"/>
        </w:rPr>
      </w:pPr>
      <w:r w:rsidRPr="00FD016C">
        <w:rPr>
          <w:rFonts w:ascii="Verdana" w:hAnsi="Verdana" w:cs="Arial"/>
          <w:sz w:val="20"/>
          <w:szCs w:val="20"/>
        </w:rPr>
        <w:t xml:space="preserve">A apuração do imposto de renda e da contribuição social sobre o resultado dos </w:t>
      </w:r>
      <w:r w:rsidR="00204D2E" w:rsidRPr="00FD016C">
        <w:rPr>
          <w:rFonts w:ascii="Verdana" w:hAnsi="Verdana" w:cs="Arial"/>
          <w:sz w:val="20"/>
          <w:szCs w:val="20"/>
        </w:rPr>
        <w:t>períodos</w:t>
      </w:r>
      <w:r w:rsidRPr="00FD016C">
        <w:rPr>
          <w:rFonts w:ascii="Verdana" w:hAnsi="Verdana" w:cs="Arial"/>
          <w:sz w:val="20"/>
          <w:szCs w:val="20"/>
        </w:rPr>
        <w:t xml:space="preserve"> findos em </w:t>
      </w:r>
      <w:r w:rsidR="00ED42FF" w:rsidRPr="00FD016C">
        <w:rPr>
          <w:rFonts w:ascii="Verdana" w:hAnsi="Verdana" w:cs="Arial"/>
          <w:sz w:val="20"/>
          <w:szCs w:val="20"/>
        </w:rPr>
        <w:t>20</w:t>
      </w:r>
      <w:r w:rsidR="00627BB3" w:rsidRPr="00FD016C">
        <w:rPr>
          <w:rFonts w:ascii="Verdana" w:hAnsi="Verdana" w:cs="Arial"/>
          <w:sz w:val="20"/>
          <w:szCs w:val="20"/>
        </w:rPr>
        <w:t>20</w:t>
      </w:r>
      <w:r w:rsidR="00ED42FF" w:rsidRPr="00FD016C">
        <w:rPr>
          <w:rFonts w:ascii="Verdana" w:hAnsi="Verdana" w:cs="Arial"/>
          <w:sz w:val="20"/>
          <w:szCs w:val="20"/>
        </w:rPr>
        <w:t xml:space="preserve"> e 20</w:t>
      </w:r>
      <w:r w:rsidR="00D624B9" w:rsidRPr="00FD016C">
        <w:rPr>
          <w:rFonts w:ascii="Verdana" w:hAnsi="Verdana" w:cs="Arial"/>
          <w:sz w:val="20"/>
          <w:szCs w:val="20"/>
        </w:rPr>
        <w:t>2</w:t>
      </w:r>
      <w:r w:rsidR="00627BB3" w:rsidRPr="00FD016C">
        <w:rPr>
          <w:rFonts w:ascii="Verdana" w:hAnsi="Verdana" w:cs="Arial"/>
          <w:sz w:val="20"/>
          <w:szCs w:val="20"/>
        </w:rPr>
        <w:t>1</w:t>
      </w:r>
      <w:r w:rsidRPr="00FD016C">
        <w:rPr>
          <w:rFonts w:ascii="Verdana" w:hAnsi="Verdana" w:cs="Arial"/>
          <w:sz w:val="20"/>
          <w:szCs w:val="20"/>
        </w:rPr>
        <w:t xml:space="preserve"> segue demonstrada:</w:t>
      </w:r>
    </w:p>
    <w:p w14:paraId="4DBB4260" w14:textId="45CB1601" w:rsidR="009E3720" w:rsidRDefault="003F4719" w:rsidP="005166FB">
      <w:pPr>
        <w:jc w:val="both"/>
        <w:rPr>
          <w:rFonts w:ascii="Verdana" w:hAnsi="Verdana" w:cs="Arial"/>
          <w:sz w:val="20"/>
          <w:szCs w:val="20"/>
        </w:rPr>
      </w:pPr>
      <w:r w:rsidRPr="00FD016C">
        <w:rPr>
          <w:rFonts w:ascii="Verdana" w:hAnsi="Verdana" w:cs="Arial"/>
          <w:sz w:val="20"/>
          <w:szCs w:val="20"/>
        </w:rPr>
        <w:t xml:space="preserve"> </w:t>
      </w:r>
    </w:p>
    <w:p w14:paraId="5FFEA124" w14:textId="7BB36D88" w:rsidR="009E3720" w:rsidRDefault="009263F2" w:rsidP="005166FB">
      <w:pPr>
        <w:jc w:val="both"/>
        <w:rPr>
          <w:rFonts w:ascii="Verdana" w:hAnsi="Verdana" w:cs="Arial"/>
          <w:sz w:val="20"/>
          <w:szCs w:val="20"/>
        </w:rPr>
      </w:pPr>
      <w:r w:rsidRPr="009263F2">
        <w:drawing>
          <wp:inline distT="0" distB="0" distL="0" distR="0" wp14:anchorId="5276B154" wp14:editId="1F37C849">
            <wp:extent cx="6073140" cy="2844273"/>
            <wp:effectExtent l="0" t="0" r="381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73140" cy="2844273"/>
                    </a:xfrm>
                    <a:prstGeom prst="rect">
                      <a:avLst/>
                    </a:prstGeom>
                    <a:noFill/>
                    <a:ln>
                      <a:noFill/>
                    </a:ln>
                  </pic:spPr>
                </pic:pic>
              </a:graphicData>
            </a:graphic>
          </wp:inline>
        </w:drawing>
      </w:r>
    </w:p>
    <w:p w14:paraId="4A50AB2D" w14:textId="33A603C3" w:rsidR="009E3720" w:rsidRDefault="009E3720" w:rsidP="005166FB">
      <w:pPr>
        <w:jc w:val="both"/>
        <w:rPr>
          <w:rFonts w:ascii="Verdana" w:hAnsi="Verdana" w:cs="Arial"/>
          <w:sz w:val="20"/>
          <w:szCs w:val="20"/>
        </w:rPr>
      </w:pPr>
    </w:p>
    <w:p w14:paraId="45456824" w14:textId="6831F7DC" w:rsidR="003A4F3E" w:rsidRPr="00FD016C" w:rsidRDefault="003A4F3E" w:rsidP="005166FB">
      <w:pPr>
        <w:jc w:val="both"/>
        <w:rPr>
          <w:rFonts w:ascii="Verdana" w:hAnsi="Verdana" w:cs="Arial"/>
          <w:sz w:val="20"/>
          <w:szCs w:val="20"/>
        </w:rPr>
      </w:pPr>
    </w:p>
    <w:p w14:paraId="4612BB03" w14:textId="77777777" w:rsidR="00893A72" w:rsidRPr="00FD016C" w:rsidRDefault="00893A72" w:rsidP="005166FB">
      <w:pPr>
        <w:jc w:val="both"/>
        <w:rPr>
          <w:rFonts w:ascii="Verdana" w:hAnsi="Verdana" w:cs="Arial"/>
          <w:b/>
          <w:sz w:val="20"/>
          <w:szCs w:val="20"/>
        </w:rPr>
      </w:pPr>
    </w:p>
    <w:p w14:paraId="12B90DD0" w14:textId="77777777" w:rsidR="003A4F3E" w:rsidRPr="00FD016C" w:rsidRDefault="003A4F3E" w:rsidP="005144E2">
      <w:pPr>
        <w:widowControl/>
        <w:jc w:val="both"/>
        <w:rPr>
          <w:rFonts w:ascii="Verdana" w:hAnsi="Verdana" w:cs="Arial"/>
          <w:b/>
          <w:sz w:val="20"/>
          <w:szCs w:val="20"/>
        </w:rPr>
      </w:pPr>
    </w:p>
    <w:p w14:paraId="11C9D920" w14:textId="6C17A4A2" w:rsidR="003F4719" w:rsidRPr="00FD016C" w:rsidRDefault="003F4719" w:rsidP="005144E2">
      <w:pPr>
        <w:widowControl/>
        <w:jc w:val="both"/>
        <w:rPr>
          <w:rFonts w:ascii="Verdana" w:hAnsi="Verdana" w:cs="Arial"/>
          <w:b/>
          <w:sz w:val="26"/>
          <w:szCs w:val="26"/>
        </w:rPr>
      </w:pPr>
      <w:r w:rsidRPr="00FD016C">
        <w:rPr>
          <w:rFonts w:ascii="Verdana" w:hAnsi="Verdana" w:cs="Arial"/>
          <w:b/>
          <w:color w:val="0070C0"/>
          <w:sz w:val="26"/>
          <w:szCs w:val="26"/>
        </w:rPr>
        <w:lastRenderedPageBreak/>
        <w:t>NOTA 3</w:t>
      </w:r>
      <w:r w:rsidR="0074588C" w:rsidRPr="00FD016C">
        <w:rPr>
          <w:rFonts w:ascii="Verdana" w:hAnsi="Verdana" w:cs="Arial"/>
          <w:b/>
          <w:color w:val="0070C0"/>
          <w:sz w:val="26"/>
          <w:szCs w:val="26"/>
        </w:rPr>
        <w:t>4</w:t>
      </w:r>
      <w:r w:rsidRPr="00FD016C">
        <w:rPr>
          <w:rFonts w:ascii="Verdana" w:hAnsi="Verdana" w:cs="Arial"/>
          <w:b/>
          <w:color w:val="0070C0"/>
          <w:sz w:val="26"/>
          <w:szCs w:val="26"/>
        </w:rPr>
        <w:t xml:space="preserve"> - SALDO E TRANSAÇÕES COM PARTES RELACIONADAS </w:t>
      </w:r>
    </w:p>
    <w:p w14:paraId="7009D7AE" w14:textId="77777777" w:rsidR="00DA3463" w:rsidRPr="00FD016C" w:rsidRDefault="00DA3463" w:rsidP="005144E2">
      <w:pPr>
        <w:widowControl/>
        <w:jc w:val="both"/>
        <w:rPr>
          <w:rFonts w:ascii="Verdana" w:hAnsi="Verdana" w:cs="Arial"/>
          <w:b/>
          <w:sz w:val="20"/>
          <w:szCs w:val="20"/>
        </w:rPr>
      </w:pPr>
    </w:p>
    <w:p w14:paraId="193003EB" w14:textId="77777777" w:rsidR="007272D1" w:rsidRPr="00FD016C" w:rsidRDefault="007272D1" w:rsidP="005144E2">
      <w:pPr>
        <w:widowControl/>
        <w:jc w:val="both"/>
        <w:rPr>
          <w:rFonts w:ascii="Verdana" w:hAnsi="Verdana" w:cs="Arial"/>
          <w:b/>
          <w:sz w:val="20"/>
          <w:szCs w:val="20"/>
        </w:rPr>
      </w:pPr>
    </w:p>
    <w:p w14:paraId="44A41D54" w14:textId="45693901" w:rsidR="00557D1D" w:rsidRPr="00FD016C" w:rsidRDefault="008205E7" w:rsidP="005144E2">
      <w:pPr>
        <w:widowControl/>
        <w:jc w:val="both"/>
        <w:rPr>
          <w:rFonts w:ascii="Verdana" w:hAnsi="Verdana" w:cs="Arial"/>
          <w:sz w:val="20"/>
          <w:szCs w:val="20"/>
        </w:rPr>
      </w:pPr>
      <w:r w:rsidRPr="00FD016C">
        <w:rPr>
          <w:rFonts w:ascii="Verdana" w:hAnsi="Verdana" w:cs="Arial"/>
          <w:sz w:val="20"/>
          <w:szCs w:val="20"/>
        </w:rPr>
        <w:t xml:space="preserve">De acordo com o Pronunciamento Técnico CPC 5 – Divulgação sobre Partes </w:t>
      </w:r>
      <w:r w:rsidR="00955A74" w:rsidRPr="00FD016C">
        <w:rPr>
          <w:rFonts w:ascii="Verdana" w:hAnsi="Verdana" w:cs="Arial"/>
          <w:sz w:val="20"/>
          <w:szCs w:val="20"/>
        </w:rPr>
        <w:t>R</w:t>
      </w:r>
      <w:r w:rsidRPr="00FD016C">
        <w:rPr>
          <w:rFonts w:ascii="Verdana" w:hAnsi="Verdana" w:cs="Arial"/>
          <w:sz w:val="20"/>
          <w:szCs w:val="20"/>
        </w:rPr>
        <w:t xml:space="preserve">elacionadas, enquadram-se nesse conceito a transferência de recursos, serviços ou obrigações entre partes relacionadas, independentemente de haver ou não um valor alocado à transação. </w:t>
      </w:r>
    </w:p>
    <w:p w14:paraId="670607BD" w14:textId="77777777" w:rsidR="008205E7" w:rsidRPr="00FD016C" w:rsidRDefault="008205E7" w:rsidP="005144E2">
      <w:pPr>
        <w:widowControl/>
        <w:jc w:val="both"/>
        <w:rPr>
          <w:rFonts w:ascii="Verdana" w:hAnsi="Verdana" w:cs="Arial"/>
          <w:sz w:val="20"/>
          <w:szCs w:val="20"/>
        </w:rPr>
      </w:pPr>
    </w:p>
    <w:p w14:paraId="7840F9DA" w14:textId="184AA08C" w:rsidR="007272D1" w:rsidRPr="00FD016C" w:rsidRDefault="00167144" w:rsidP="005144E2">
      <w:pPr>
        <w:widowControl/>
        <w:jc w:val="both"/>
        <w:rPr>
          <w:rFonts w:ascii="Verdana" w:hAnsi="Verdana" w:cs="Arial"/>
          <w:sz w:val="20"/>
          <w:szCs w:val="20"/>
        </w:rPr>
      </w:pPr>
      <w:r w:rsidRPr="00FD016C">
        <w:rPr>
          <w:rFonts w:ascii="Verdana" w:hAnsi="Verdana" w:cs="Arial"/>
          <w:sz w:val="20"/>
          <w:szCs w:val="20"/>
        </w:rPr>
        <w:t xml:space="preserve">As transações </w:t>
      </w:r>
      <w:r w:rsidR="003265AC" w:rsidRPr="00FD016C">
        <w:rPr>
          <w:rFonts w:ascii="Verdana" w:hAnsi="Verdana" w:cs="Arial"/>
          <w:sz w:val="20"/>
          <w:szCs w:val="20"/>
        </w:rPr>
        <w:t xml:space="preserve">de comercialização de energia </w:t>
      </w:r>
      <w:r w:rsidRPr="00FD016C">
        <w:rPr>
          <w:rFonts w:ascii="Verdana" w:hAnsi="Verdana" w:cs="Arial"/>
          <w:sz w:val="20"/>
          <w:szCs w:val="20"/>
        </w:rPr>
        <w:t xml:space="preserve">com partes relacionadas são realizadas de acordo com os padrões e preços </w:t>
      </w:r>
      <w:r w:rsidR="003265AC" w:rsidRPr="00FD016C">
        <w:rPr>
          <w:rFonts w:ascii="Verdana" w:hAnsi="Verdana" w:cs="Arial"/>
          <w:sz w:val="20"/>
          <w:szCs w:val="20"/>
        </w:rPr>
        <w:t>estabelecidos pelo órgão regulador</w:t>
      </w:r>
      <w:r w:rsidRPr="00FD016C">
        <w:rPr>
          <w:rFonts w:ascii="Verdana" w:hAnsi="Verdana" w:cs="Arial"/>
          <w:sz w:val="20"/>
          <w:szCs w:val="20"/>
        </w:rPr>
        <w:t xml:space="preserve"> ou baseados em contratos próprios do Se</w:t>
      </w:r>
      <w:r w:rsidR="00BC5DFF" w:rsidRPr="00FD016C">
        <w:rPr>
          <w:rFonts w:ascii="Verdana" w:hAnsi="Verdana" w:cs="Arial"/>
          <w:sz w:val="20"/>
          <w:szCs w:val="20"/>
        </w:rPr>
        <w:t>tor Elétrico.</w:t>
      </w:r>
    </w:p>
    <w:p w14:paraId="690AFC1C" w14:textId="77777777" w:rsidR="007272D1" w:rsidRPr="00FD016C" w:rsidRDefault="007272D1" w:rsidP="005144E2">
      <w:pPr>
        <w:widowControl/>
        <w:jc w:val="both"/>
        <w:rPr>
          <w:rFonts w:ascii="Verdana" w:hAnsi="Verdana" w:cs="Arial"/>
          <w:sz w:val="20"/>
          <w:szCs w:val="20"/>
        </w:rPr>
      </w:pPr>
    </w:p>
    <w:p w14:paraId="296CFB70"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Segue abaixo, quadro do saldo e transações com as empresas consideradas partes relacionadas:</w:t>
      </w:r>
    </w:p>
    <w:p w14:paraId="54F6C217" w14:textId="77777777" w:rsidR="00A8048D" w:rsidRPr="00FD016C" w:rsidRDefault="00A8048D" w:rsidP="005144E2">
      <w:pPr>
        <w:widowControl/>
        <w:jc w:val="both"/>
        <w:rPr>
          <w:rFonts w:ascii="Verdana" w:hAnsi="Verdana" w:cs="Arial"/>
          <w:noProof/>
          <w:sz w:val="20"/>
          <w:szCs w:val="20"/>
        </w:rPr>
      </w:pPr>
    </w:p>
    <w:p w14:paraId="7E5F8564" w14:textId="31AD0D58" w:rsidR="00FD6978" w:rsidRPr="00FD016C" w:rsidRDefault="003B4840" w:rsidP="005144E2">
      <w:pPr>
        <w:widowControl/>
        <w:jc w:val="both"/>
        <w:rPr>
          <w:rFonts w:ascii="Verdana" w:hAnsi="Verdana" w:cs="Arial"/>
          <w:sz w:val="20"/>
          <w:szCs w:val="20"/>
        </w:rPr>
      </w:pPr>
      <w:r w:rsidRPr="003B4840">
        <w:rPr>
          <w:noProof/>
        </w:rPr>
        <w:drawing>
          <wp:inline distT="0" distB="0" distL="0" distR="0" wp14:anchorId="2AFBFBB9" wp14:editId="5EECFBE4">
            <wp:extent cx="6073140" cy="3239058"/>
            <wp:effectExtent l="0" t="0" r="381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73140" cy="3239058"/>
                    </a:xfrm>
                    <a:prstGeom prst="rect">
                      <a:avLst/>
                    </a:prstGeom>
                    <a:noFill/>
                    <a:ln>
                      <a:noFill/>
                    </a:ln>
                  </pic:spPr>
                </pic:pic>
              </a:graphicData>
            </a:graphic>
          </wp:inline>
        </w:drawing>
      </w:r>
    </w:p>
    <w:p w14:paraId="1B4EA72E" w14:textId="77777777" w:rsidR="00E57360" w:rsidRPr="00FD016C" w:rsidRDefault="00E57360" w:rsidP="005144E2">
      <w:pPr>
        <w:widowControl/>
        <w:jc w:val="both"/>
        <w:rPr>
          <w:rFonts w:ascii="Verdana" w:hAnsi="Verdana" w:cs="Arial"/>
          <w:sz w:val="20"/>
          <w:szCs w:val="20"/>
        </w:rPr>
      </w:pPr>
    </w:p>
    <w:p w14:paraId="3638FC00" w14:textId="77777777" w:rsidR="0001554B" w:rsidRPr="00FD016C" w:rsidRDefault="0001554B" w:rsidP="00067006">
      <w:pPr>
        <w:pStyle w:val="PargrafodaLista"/>
        <w:widowControl/>
        <w:numPr>
          <w:ilvl w:val="0"/>
          <w:numId w:val="18"/>
        </w:numPr>
        <w:jc w:val="both"/>
        <w:rPr>
          <w:rFonts w:ascii="Verdana" w:hAnsi="Verdana" w:cs="Arial"/>
          <w:b/>
          <w:sz w:val="20"/>
          <w:szCs w:val="20"/>
          <w:u w:val="single"/>
        </w:rPr>
      </w:pPr>
      <w:r w:rsidRPr="00FD016C">
        <w:rPr>
          <w:rFonts w:ascii="Verdana" w:hAnsi="Verdana" w:cs="Arial"/>
          <w:b/>
          <w:sz w:val="20"/>
          <w:szCs w:val="20"/>
          <w:u w:val="single"/>
        </w:rPr>
        <w:t xml:space="preserve">Fundo </w:t>
      </w:r>
      <w:r w:rsidR="00CE1CA4" w:rsidRPr="00FD016C">
        <w:rPr>
          <w:rFonts w:ascii="Verdana" w:hAnsi="Verdana" w:cs="Arial"/>
          <w:b/>
          <w:sz w:val="20"/>
          <w:szCs w:val="20"/>
          <w:u w:val="single"/>
        </w:rPr>
        <w:t>de</w:t>
      </w:r>
      <w:r w:rsidR="008210AD" w:rsidRPr="00FD016C">
        <w:rPr>
          <w:rFonts w:ascii="Verdana" w:hAnsi="Verdana" w:cs="Arial"/>
          <w:b/>
          <w:sz w:val="20"/>
          <w:szCs w:val="20"/>
          <w:u w:val="single"/>
        </w:rPr>
        <w:t xml:space="preserve"> </w:t>
      </w:r>
      <w:proofErr w:type="spellStart"/>
      <w:r w:rsidRPr="00FD016C">
        <w:rPr>
          <w:rFonts w:ascii="Verdana" w:hAnsi="Verdana" w:cs="Arial"/>
          <w:b/>
          <w:sz w:val="20"/>
          <w:szCs w:val="20"/>
          <w:u w:val="single"/>
        </w:rPr>
        <w:t>descomissionamento</w:t>
      </w:r>
      <w:proofErr w:type="spellEnd"/>
      <w:r w:rsidR="00BB51F5" w:rsidRPr="00FD016C">
        <w:rPr>
          <w:rFonts w:ascii="Verdana" w:hAnsi="Verdana" w:cs="Arial"/>
          <w:b/>
          <w:sz w:val="20"/>
          <w:szCs w:val="20"/>
        </w:rPr>
        <w:t>:</w:t>
      </w:r>
      <w:r w:rsidR="008210AD" w:rsidRPr="00FD016C">
        <w:rPr>
          <w:rFonts w:ascii="Verdana" w:hAnsi="Verdana" w:cs="Arial"/>
          <w:b/>
          <w:sz w:val="20"/>
          <w:szCs w:val="20"/>
        </w:rPr>
        <w:t xml:space="preserve"> </w:t>
      </w:r>
      <w:r w:rsidR="00044850" w:rsidRPr="00FD016C">
        <w:rPr>
          <w:rFonts w:ascii="Verdana" w:hAnsi="Verdana" w:cs="Arial"/>
          <w:sz w:val="20"/>
          <w:szCs w:val="20"/>
          <w:shd w:val="clear" w:color="auto" w:fill="FFFFFF"/>
        </w:rPr>
        <w:t>o</w:t>
      </w:r>
      <w:r w:rsidR="00CE1CA4" w:rsidRPr="00FD016C">
        <w:rPr>
          <w:rFonts w:ascii="Verdana" w:hAnsi="Verdana" w:cs="Arial"/>
          <w:sz w:val="20"/>
          <w:szCs w:val="20"/>
          <w:shd w:val="clear" w:color="auto" w:fill="FFFFFF"/>
        </w:rPr>
        <w:t xml:space="preserve"> fundo de </w:t>
      </w:r>
      <w:proofErr w:type="spellStart"/>
      <w:r w:rsidR="00CE1CA4" w:rsidRPr="00FD016C">
        <w:rPr>
          <w:rFonts w:ascii="Verdana" w:hAnsi="Verdana" w:cs="Arial"/>
          <w:sz w:val="20"/>
          <w:szCs w:val="20"/>
          <w:shd w:val="clear" w:color="auto" w:fill="FFFFFF"/>
        </w:rPr>
        <w:t>descomissionamento</w:t>
      </w:r>
      <w:proofErr w:type="spellEnd"/>
      <w:r w:rsidR="00CE1CA4" w:rsidRPr="00FD016C">
        <w:rPr>
          <w:rFonts w:ascii="Verdana" w:hAnsi="Verdana" w:cs="Arial"/>
          <w:sz w:val="20"/>
          <w:szCs w:val="20"/>
          <w:shd w:val="clear" w:color="auto" w:fill="FFFFFF"/>
        </w:rPr>
        <w:t xml:space="preserve"> de usinas nucleares se refere à obrigação para desmobilização dos ativos das usinas nucleares, para fazer face aos custos a serem incorridos ao final da vida útil econômica das mesmas (</w:t>
      </w:r>
      <w:r w:rsidR="008E6B5F" w:rsidRPr="00FD016C">
        <w:rPr>
          <w:rFonts w:ascii="Verdana" w:hAnsi="Verdana" w:cs="Arial"/>
          <w:sz w:val="20"/>
          <w:szCs w:val="20"/>
          <w:shd w:val="clear" w:color="auto" w:fill="FFFFFF"/>
        </w:rPr>
        <w:t>n</w:t>
      </w:r>
      <w:r w:rsidR="00CE1CA4" w:rsidRPr="00FD016C">
        <w:rPr>
          <w:rFonts w:ascii="Verdana" w:hAnsi="Verdana" w:cs="Arial"/>
          <w:sz w:val="20"/>
          <w:szCs w:val="20"/>
          <w:shd w:val="clear" w:color="auto" w:fill="FFFFFF"/>
        </w:rPr>
        <w:t>otas 11 e 2</w:t>
      </w:r>
      <w:r w:rsidR="00911EBA" w:rsidRPr="00FD016C">
        <w:rPr>
          <w:rFonts w:ascii="Verdana" w:hAnsi="Verdana" w:cs="Arial"/>
          <w:sz w:val="20"/>
          <w:szCs w:val="20"/>
          <w:shd w:val="clear" w:color="auto" w:fill="FFFFFF"/>
        </w:rPr>
        <w:t>4</w:t>
      </w:r>
      <w:r w:rsidR="00CE1CA4" w:rsidRPr="00FD016C">
        <w:rPr>
          <w:rFonts w:ascii="Verdana" w:hAnsi="Verdana" w:cs="Arial"/>
          <w:sz w:val="20"/>
          <w:szCs w:val="20"/>
          <w:shd w:val="clear" w:color="auto" w:fill="FFFFFF"/>
        </w:rPr>
        <w:t>).</w:t>
      </w:r>
    </w:p>
    <w:p w14:paraId="3B9E6039" w14:textId="77777777" w:rsidR="00B61E34" w:rsidRPr="00FD016C" w:rsidRDefault="00B61E34" w:rsidP="00B61E34">
      <w:pPr>
        <w:pStyle w:val="PargrafodaLista"/>
        <w:rPr>
          <w:rFonts w:ascii="Verdana" w:hAnsi="Verdana" w:cs="Arial"/>
          <w:b/>
          <w:sz w:val="20"/>
          <w:szCs w:val="20"/>
          <w:u w:val="single"/>
        </w:rPr>
      </w:pPr>
    </w:p>
    <w:p w14:paraId="1B8B2069" w14:textId="6AD120A9" w:rsidR="00B61E34" w:rsidRPr="00FD016C" w:rsidRDefault="00442EA6" w:rsidP="00067006">
      <w:pPr>
        <w:pStyle w:val="PargrafodaLista"/>
        <w:widowControl/>
        <w:numPr>
          <w:ilvl w:val="0"/>
          <w:numId w:val="18"/>
        </w:numPr>
        <w:jc w:val="both"/>
        <w:rPr>
          <w:rFonts w:ascii="Verdana" w:hAnsi="Verdana" w:cs="Arial"/>
          <w:b/>
          <w:sz w:val="20"/>
          <w:szCs w:val="20"/>
          <w:u w:val="single"/>
        </w:rPr>
      </w:pPr>
      <w:r w:rsidRPr="00FD016C">
        <w:rPr>
          <w:rFonts w:ascii="Verdana" w:hAnsi="Verdana" w:cs="Arial"/>
          <w:b/>
          <w:sz w:val="20"/>
          <w:szCs w:val="20"/>
          <w:u w:val="single"/>
        </w:rPr>
        <w:t>Outra</w:t>
      </w:r>
      <w:r w:rsidR="00B61E34" w:rsidRPr="00FD016C">
        <w:rPr>
          <w:rFonts w:ascii="Verdana" w:hAnsi="Verdana" w:cs="Arial"/>
          <w:b/>
          <w:sz w:val="20"/>
          <w:szCs w:val="20"/>
          <w:u w:val="single"/>
        </w:rPr>
        <w:t>s contas a receber</w:t>
      </w:r>
      <w:r w:rsidR="00B61E34" w:rsidRPr="00FD016C">
        <w:rPr>
          <w:rFonts w:ascii="Verdana" w:hAnsi="Verdana" w:cs="Arial"/>
          <w:b/>
          <w:sz w:val="20"/>
          <w:szCs w:val="20"/>
        </w:rPr>
        <w:t xml:space="preserve">: </w:t>
      </w:r>
      <w:r w:rsidR="005148B2" w:rsidRPr="00FD016C">
        <w:rPr>
          <w:rFonts w:ascii="Verdana" w:hAnsi="Verdana" w:cs="Arial"/>
          <w:sz w:val="20"/>
          <w:szCs w:val="20"/>
          <w:shd w:val="clear" w:color="auto" w:fill="FFFFFF"/>
        </w:rPr>
        <w:t xml:space="preserve">as </w:t>
      </w:r>
      <w:r w:rsidR="00E90E29" w:rsidRPr="00FD016C">
        <w:rPr>
          <w:rFonts w:ascii="Verdana" w:hAnsi="Verdana" w:cs="Arial"/>
          <w:sz w:val="20"/>
          <w:szCs w:val="20"/>
          <w:shd w:val="clear" w:color="auto" w:fill="FFFFFF"/>
        </w:rPr>
        <w:t>contas a receber junto a Eletrobras está composto por I</w:t>
      </w:r>
      <w:r w:rsidR="00FF52B0" w:rsidRPr="00FD016C">
        <w:rPr>
          <w:rFonts w:ascii="Verdana" w:hAnsi="Verdana" w:cs="Arial"/>
          <w:sz w:val="20"/>
          <w:szCs w:val="20"/>
          <w:shd w:val="clear" w:color="auto" w:fill="FFFFFF"/>
        </w:rPr>
        <w:t xml:space="preserve">mposto de Renda </w:t>
      </w:r>
      <w:r w:rsidR="00E90E29" w:rsidRPr="00FD016C">
        <w:rPr>
          <w:rFonts w:ascii="Verdana" w:hAnsi="Verdana" w:cs="Arial"/>
          <w:sz w:val="20"/>
          <w:szCs w:val="20"/>
          <w:shd w:val="clear" w:color="auto" w:fill="FFFFFF"/>
        </w:rPr>
        <w:t>sobre o</w:t>
      </w:r>
      <w:r w:rsidR="00B61E34" w:rsidRPr="00FD016C">
        <w:rPr>
          <w:rFonts w:ascii="Verdana" w:hAnsi="Verdana" w:cs="Arial"/>
          <w:sz w:val="20"/>
          <w:szCs w:val="20"/>
          <w:shd w:val="clear" w:color="auto" w:fill="FFFFFF"/>
        </w:rPr>
        <w:t xml:space="preserve"> fundo de </w:t>
      </w:r>
      <w:proofErr w:type="spellStart"/>
      <w:r w:rsidR="00B61E34" w:rsidRPr="00FD016C">
        <w:rPr>
          <w:rFonts w:ascii="Verdana" w:hAnsi="Verdana" w:cs="Arial"/>
          <w:sz w:val="20"/>
          <w:szCs w:val="20"/>
          <w:shd w:val="clear" w:color="auto" w:fill="FFFFFF"/>
        </w:rPr>
        <w:t>descomissionamento</w:t>
      </w:r>
      <w:proofErr w:type="spellEnd"/>
      <w:r w:rsidR="00B61E34" w:rsidRPr="00FD016C">
        <w:rPr>
          <w:rFonts w:ascii="Verdana" w:hAnsi="Verdana" w:cs="Arial"/>
          <w:sz w:val="20"/>
          <w:szCs w:val="20"/>
          <w:shd w:val="clear" w:color="auto" w:fill="FFFFFF"/>
        </w:rPr>
        <w:t xml:space="preserve"> </w:t>
      </w:r>
      <w:r w:rsidR="00E90E29" w:rsidRPr="00FD016C">
        <w:rPr>
          <w:rFonts w:ascii="Verdana" w:hAnsi="Verdana" w:cs="Arial"/>
          <w:sz w:val="20"/>
          <w:szCs w:val="20"/>
          <w:shd w:val="clear" w:color="auto" w:fill="FFFFFF"/>
        </w:rPr>
        <w:t>no montante de R$</w:t>
      </w:r>
      <w:r w:rsidR="0030020C" w:rsidRPr="00FD016C">
        <w:rPr>
          <w:rFonts w:ascii="Verdana" w:hAnsi="Verdana" w:cs="Arial"/>
          <w:sz w:val="20"/>
          <w:szCs w:val="20"/>
          <w:shd w:val="clear" w:color="auto" w:fill="FFFFFF"/>
        </w:rPr>
        <w:t xml:space="preserve"> 1.958.863</w:t>
      </w:r>
      <w:r w:rsidR="00AB5F90" w:rsidRPr="00FD016C">
        <w:rPr>
          <w:rFonts w:ascii="Verdana" w:hAnsi="Verdana" w:cs="Arial"/>
          <w:sz w:val="20"/>
          <w:szCs w:val="20"/>
          <w:shd w:val="clear" w:color="auto" w:fill="FFFFFF"/>
        </w:rPr>
        <w:t xml:space="preserve">, que será depositado pela mesma no fundo </w:t>
      </w:r>
      <w:proofErr w:type="spellStart"/>
      <w:r w:rsidR="00AB5F90" w:rsidRPr="00FD016C">
        <w:rPr>
          <w:rFonts w:ascii="Verdana" w:hAnsi="Verdana" w:cs="Arial"/>
          <w:sz w:val="20"/>
          <w:szCs w:val="20"/>
          <w:shd w:val="clear" w:color="auto" w:fill="FFFFFF"/>
        </w:rPr>
        <w:t>descomissonamento</w:t>
      </w:r>
      <w:proofErr w:type="spellEnd"/>
      <w:r w:rsidR="00AB5F90" w:rsidRPr="00FD016C">
        <w:rPr>
          <w:rFonts w:ascii="Verdana" w:hAnsi="Verdana" w:cs="Arial"/>
          <w:sz w:val="20"/>
          <w:szCs w:val="20"/>
          <w:shd w:val="clear" w:color="auto" w:fill="FFFFFF"/>
        </w:rPr>
        <w:t xml:space="preserve"> quando a retenção for compensada na apuração do lucro real da Eletrobras,</w:t>
      </w:r>
      <w:r w:rsidR="00E90E29" w:rsidRPr="00FD016C">
        <w:rPr>
          <w:rFonts w:ascii="Verdana" w:hAnsi="Verdana" w:cs="Arial"/>
          <w:sz w:val="20"/>
          <w:szCs w:val="20"/>
          <w:shd w:val="clear" w:color="auto" w:fill="FFFFFF"/>
        </w:rPr>
        <w:t xml:space="preserve"> e cessão de pessoal no montante de R$ </w:t>
      </w:r>
      <w:r w:rsidR="0030020C" w:rsidRPr="00FD016C">
        <w:rPr>
          <w:rFonts w:ascii="Verdana" w:hAnsi="Verdana" w:cs="Arial"/>
          <w:sz w:val="20"/>
          <w:szCs w:val="20"/>
          <w:shd w:val="clear" w:color="auto" w:fill="FFFFFF"/>
        </w:rPr>
        <w:t>127</w:t>
      </w:r>
      <w:r w:rsidR="00E90E29" w:rsidRPr="00FD016C">
        <w:rPr>
          <w:rFonts w:ascii="Verdana" w:hAnsi="Verdana" w:cs="Arial"/>
          <w:sz w:val="20"/>
          <w:szCs w:val="20"/>
          <w:shd w:val="clear" w:color="auto" w:fill="FFFFFF"/>
        </w:rPr>
        <w:t xml:space="preserve">. </w:t>
      </w:r>
      <w:r w:rsidR="008768DE">
        <w:rPr>
          <w:rFonts w:ascii="Verdana" w:hAnsi="Verdana" w:cs="Arial"/>
          <w:sz w:val="20"/>
          <w:szCs w:val="20"/>
          <w:shd w:val="clear" w:color="auto" w:fill="FFFFFF"/>
        </w:rPr>
        <w:t>O</w:t>
      </w:r>
      <w:r w:rsidR="00E90E29" w:rsidRPr="00FD016C">
        <w:rPr>
          <w:rFonts w:ascii="Verdana" w:hAnsi="Verdana" w:cs="Arial"/>
          <w:sz w:val="20"/>
          <w:szCs w:val="20"/>
          <w:shd w:val="clear" w:color="auto" w:fill="FFFFFF"/>
        </w:rPr>
        <w:t xml:space="preserve"> contas a receber junto a Furnas est</w:t>
      </w:r>
      <w:r w:rsidR="008768DE">
        <w:rPr>
          <w:rFonts w:ascii="Verdana" w:hAnsi="Verdana" w:cs="Arial"/>
          <w:sz w:val="20"/>
          <w:szCs w:val="20"/>
          <w:shd w:val="clear" w:color="auto" w:fill="FFFFFF"/>
        </w:rPr>
        <w:t>á</w:t>
      </w:r>
      <w:r w:rsidR="00E90E29" w:rsidRPr="00FD016C">
        <w:rPr>
          <w:rFonts w:ascii="Verdana" w:hAnsi="Verdana" w:cs="Arial"/>
          <w:sz w:val="20"/>
          <w:szCs w:val="20"/>
          <w:shd w:val="clear" w:color="auto" w:fill="FFFFFF"/>
        </w:rPr>
        <w:t xml:space="preserve"> composto por</w:t>
      </w:r>
      <w:r w:rsidR="00FF52B0" w:rsidRPr="00FD016C">
        <w:rPr>
          <w:rFonts w:ascii="Verdana" w:hAnsi="Verdana" w:cs="Arial"/>
          <w:sz w:val="20"/>
          <w:szCs w:val="20"/>
          <w:shd w:val="clear" w:color="auto" w:fill="FFFFFF"/>
        </w:rPr>
        <w:t xml:space="preserve"> Imposto </w:t>
      </w:r>
      <w:r w:rsidR="008768DE" w:rsidRPr="00FD016C">
        <w:rPr>
          <w:rFonts w:ascii="Verdana" w:hAnsi="Verdana" w:cs="Arial"/>
          <w:sz w:val="20"/>
          <w:szCs w:val="20"/>
          <w:shd w:val="clear" w:color="auto" w:fill="FFFFFF"/>
        </w:rPr>
        <w:t>Predial Territorial</w:t>
      </w:r>
      <w:r w:rsidR="00FF52B0" w:rsidRPr="00FD016C">
        <w:rPr>
          <w:rFonts w:ascii="Verdana" w:hAnsi="Verdana" w:cs="Arial"/>
          <w:sz w:val="20"/>
          <w:szCs w:val="20"/>
          <w:shd w:val="clear" w:color="auto" w:fill="FFFFFF"/>
        </w:rPr>
        <w:t xml:space="preserve"> Urbano - </w:t>
      </w:r>
      <w:r w:rsidR="00E90E29" w:rsidRPr="00FD016C">
        <w:rPr>
          <w:rFonts w:ascii="Verdana" w:hAnsi="Verdana" w:cs="Arial"/>
          <w:sz w:val="20"/>
          <w:szCs w:val="20"/>
          <w:shd w:val="clear" w:color="auto" w:fill="FFFFFF"/>
        </w:rPr>
        <w:t xml:space="preserve">IPTU (R$ </w:t>
      </w:r>
      <w:r w:rsidR="00AC03CE" w:rsidRPr="00FD016C">
        <w:rPr>
          <w:rFonts w:ascii="Verdana" w:hAnsi="Verdana" w:cs="Arial"/>
          <w:sz w:val="20"/>
          <w:szCs w:val="20"/>
          <w:shd w:val="clear" w:color="auto" w:fill="FFFFFF"/>
        </w:rPr>
        <w:t>1.289</w:t>
      </w:r>
      <w:r w:rsidR="00E90E29" w:rsidRPr="00FD016C">
        <w:rPr>
          <w:rFonts w:ascii="Verdana" w:hAnsi="Verdana" w:cs="Arial"/>
          <w:sz w:val="20"/>
          <w:szCs w:val="20"/>
          <w:shd w:val="clear" w:color="auto" w:fill="FFFFFF"/>
        </w:rPr>
        <w:t xml:space="preserve">), </w:t>
      </w:r>
      <w:r w:rsidR="00FF52B0" w:rsidRPr="00FD016C">
        <w:rPr>
          <w:rFonts w:ascii="Verdana" w:hAnsi="Verdana" w:cs="Arial"/>
          <w:sz w:val="20"/>
          <w:szCs w:val="20"/>
          <w:shd w:val="clear" w:color="auto" w:fill="FFFFFF"/>
        </w:rPr>
        <w:t>taxa r</w:t>
      </w:r>
      <w:r w:rsidR="00E90E29" w:rsidRPr="00FD016C">
        <w:rPr>
          <w:rFonts w:ascii="Verdana" w:hAnsi="Verdana" w:cs="Arial"/>
          <w:sz w:val="20"/>
          <w:szCs w:val="20"/>
          <w:shd w:val="clear" w:color="auto" w:fill="FFFFFF"/>
        </w:rPr>
        <w:t>esidencial</w:t>
      </w:r>
      <w:r w:rsidR="005D31CF" w:rsidRPr="00FD016C">
        <w:rPr>
          <w:rFonts w:ascii="Verdana" w:hAnsi="Verdana" w:cs="Arial"/>
          <w:sz w:val="20"/>
          <w:szCs w:val="20"/>
          <w:shd w:val="clear" w:color="auto" w:fill="FFFFFF"/>
        </w:rPr>
        <w:t>/ocupação</w:t>
      </w:r>
      <w:r w:rsidR="00E90E29" w:rsidRPr="00FD016C">
        <w:rPr>
          <w:rFonts w:ascii="Verdana" w:hAnsi="Verdana" w:cs="Arial"/>
          <w:sz w:val="20"/>
          <w:szCs w:val="20"/>
          <w:shd w:val="clear" w:color="auto" w:fill="FFFFFF"/>
        </w:rPr>
        <w:t xml:space="preserve"> (R$ </w:t>
      </w:r>
      <w:r w:rsidR="00AC03CE" w:rsidRPr="00FD016C">
        <w:rPr>
          <w:rFonts w:ascii="Verdana" w:hAnsi="Verdana" w:cs="Arial"/>
          <w:sz w:val="20"/>
          <w:szCs w:val="20"/>
          <w:shd w:val="clear" w:color="auto" w:fill="FFFFFF"/>
        </w:rPr>
        <w:t>1.200</w:t>
      </w:r>
      <w:r w:rsidR="00E90E29" w:rsidRPr="00FD016C">
        <w:rPr>
          <w:rFonts w:ascii="Verdana" w:hAnsi="Verdana" w:cs="Arial"/>
          <w:sz w:val="20"/>
          <w:szCs w:val="20"/>
          <w:shd w:val="clear" w:color="auto" w:fill="FFFFFF"/>
        </w:rPr>
        <w:t>)</w:t>
      </w:r>
      <w:r w:rsidR="00FF52B0" w:rsidRPr="00FD016C">
        <w:rPr>
          <w:rFonts w:ascii="Verdana" w:hAnsi="Verdana" w:cs="Arial"/>
          <w:sz w:val="20"/>
          <w:szCs w:val="20"/>
          <w:shd w:val="clear" w:color="auto" w:fill="FFFFFF"/>
        </w:rPr>
        <w:t xml:space="preserve"> e </w:t>
      </w:r>
      <w:r w:rsidR="00630067" w:rsidRPr="00FD016C">
        <w:rPr>
          <w:rFonts w:ascii="Verdana" w:hAnsi="Verdana" w:cs="Arial"/>
          <w:sz w:val="20"/>
          <w:szCs w:val="20"/>
          <w:shd w:val="clear" w:color="auto" w:fill="FFFFFF"/>
        </w:rPr>
        <w:t>etc.</w:t>
      </w:r>
    </w:p>
    <w:p w14:paraId="43286264" w14:textId="77777777" w:rsidR="00CE1CA4" w:rsidRPr="00FD016C" w:rsidRDefault="00CE1CA4" w:rsidP="005144E2">
      <w:pPr>
        <w:pStyle w:val="PargrafodaLista"/>
        <w:rPr>
          <w:rFonts w:ascii="Verdana" w:hAnsi="Verdana" w:cs="Arial"/>
          <w:b/>
          <w:sz w:val="20"/>
          <w:szCs w:val="20"/>
          <w:u w:val="single"/>
        </w:rPr>
      </w:pPr>
    </w:p>
    <w:p w14:paraId="7F5380B9" w14:textId="77777777" w:rsidR="00CE1CA4" w:rsidRPr="00FD016C" w:rsidRDefault="001F0F40" w:rsidP="00067006">
      <w:pPr>
        <w:pStyle w:val="PargrafodaLista"/>
        <w:widowControl/>
        <w:numPr>
          <w:ilvl w:val="0"/>
          <w:numId w:val="18"/>
        </w:numPr>
        <w:jc w:val="both"/>
        <w:rPr>
          <w:rFonts w:ascii="Verdana" w:hAnsi="Verdana" w:cs="Arial"/>
          <w:b/>
          <w:sz w:val="20"/>
          <w:szCs w:val="20"/>
          <w:u w:val="single"/>
        </w:rPr>
      </w:pPr>
      <w:r w:rsidRPr="00FD016C">
        <w:rPr>
          <w:rFonts w:ascii="Verdana" w:hAnsi="Verdana" w:cs="Arial"/>
          <w:b/>
          <w:sz w:val="20"/>
          <w:szCs w:val="20"/>
          <w:u w:val="single"/>
        </w:rPr>
        <w:t>Fornecedores</w:t>
      </w:r>
      <w:r w:rsidRPr="00FD016C">
        <w:rPr>
          <w:rFonts w:ascii="Verdana" w:hAnsi="Verdana" w:cs="Arial"/>
          <w:b/>
          <w:sz w:val="20"/>
          <w:szCs w:val="20"/>
        </w:rPr>
        <w:t>:</w:t>
      </w:r>
      <w:r w:rsidRPr="00FD016C">
        <w:rPr>
          <w:rFonts w:ascii="Verdana" w:hAnsi="Verdana" w:cs="Arial"/>
          <w:sz w:val="20"/>
          <w:szCs w:val="20"/>
        </w:rPr>
        <w:t xml:space="preserve"> refere-se a valores a pagar vinculado</w:t>
      </w:r>
      <w:r w:rsidR="00B55CA3" w:rsidRPr="00FD016C">
        <w:rPr>
          <w:rFonts w:ascii="Verdana" w:hAnsi="Verdana" w:cs="Arial"/>
          <w:sz w:val="20"/>
          <w:szCs w:val="20"/>
        </w:rPr>
        <w:t>, principalmente a Uso de Rede de Transmissão.</w:t>
      </w:r>
    </w:p>
    <w:p w14:paraId="417E36B6" w14:textId="77777777" w:rsidR="00BC140E" w:rsidRPr="00FD016C" w:rsidRDefault="00BC140E" w:rsidP="005144E2">
      <w:pPr>
        <w:widowControl/>
        <w:jc w:val="both"/>
        <w:rPr>
          <w:rFonts w:ascii="Verdana" w:hAnsi="Verdana" w:cs="Arial"/>
          <w:b/>
          <w:sz w:val="20"/>
          <w:szCs w:val="20"/>
          <w:u w:val="single"/>
        </w:rPr>
      </w:pPr>
    </w:p>
    <w:p w14:paraId="2205C78D" w14:textId="77777777" w:rsidR="00CE1CA4" w:rsidRPr="00FD016C" w:rsidRDefault="00CE1CA4" w:rsidP="00067006">
      <w:pPr>
        <w:pStyle w:val="PargrafodaLista"/>
        <w:widowControl/>
        <w:numPr>
          <w:ilvl w:val="0"/>
          <w:numId w:val="18"/>
        </w:numPr>
        <w:jc w:val="both"/>
        <w:rPr>
          <w:rFonts w:ascii="Verdana" w:hAnsi="Verdana" w:cs="Arial"/>
          <w:b/>
          <w:sz w:val="20"/>
          <w:szCs w:val="20"/>
        </w:rPr>
      </w:pPr>
      <w:r w:rsidRPr="00FD016C">
        <w:rPr>
          <w:rFonts w:ascii="Verdana" w:hAnsi="Verdana" w:cs="Arial"/>
          <w:b/>
          <w:sz w:val="20"/>
          <w:szCs w:val="20"/>
          <w:u w:val="single"/>
        </w:rPr>
        <w:lastRenderedPageBreak/>
        <w:t>Devolução de Tarifa</w:t>
      </w:r>
      <w:r w:rsidR="003F5F20" w:rsidRPr="00FD016C">
        <w:rPr>
          <w:rFonts w:ascii="Verdana" w:hAnsi="Verdana" w:cs="Arial"/>
          <w:b/>
          <w:sz w:val="20"/>
          <w:szCs w:val="20"/>
          <w:u w:val="single"/>
        </w:rPr>
        <w:t xml:space="preserve"> RH 1.406/12</w:t>
      </w:r>
      <w:r w:rsidRPr="00FD016C">
        <w:rPr>
          <w:rFonts w:ascii="Verdana" w:hAnsi="Verdana" w:cs="Arial"/>
          <w:b/>
          <w:sz w:val="20"/>
          <w:szCs w:val="20"/>
        </w:rPr>
        <w:t xml:space="preserve">: </w:t>
      </w:r>
      <w:r w:rsidR="002F7722" w:rsidRPr="00FD016C">
        <w:rPr>
          <w:rFonts w:ascii="Verdana" w:hAnsi="Verdana" w:cs="Arial"/>
          <w:sz w:val="20"/>
          <w:szCs w:val="20"/>
        </w:rPr>
        <w:t>diferencial verificado, entre 2010 e 2012, entre a variação da tarifa faturada pela ELETRONUCLEAR e a tarifa de referência a ser repassado para Furnas. (Parágrafo 4º do art. 12</w:t>
      </w:r>
      <w:r w:rsidR="006F1BF2" w:rsidRPr="00FD016C">
        <w:rPr>
          <w:rFonts w:ascii="Verdana" w:hAnsi="Verdana" w:cs="Arial"/>
          <w:sz w:val="20"/>
          <w:szCs w:val="20"/>
        </w:rPr>
        <w:t>,</w:t>
      </w:r>
      <w:r w:rsidR="002F7722" w:rsidRPr="00FD016C">
        <w:rPr>
          <w:rFonts w:ascii="Verdana" w:hAnsi="Verdana" w:cs="Arial"/>
          <w:sz w:val="20"/>
          <w:szCs w:val="20"/>
        </w:rPr>
        <w:t xml:space="preserve"> da Lei 12.111/2009 e no art. 2º da Resolução Homologatória da A</w:t>
      </w:r>
      <w:r w:rsidR="00904EEC" w:rsidRPr="00FD016C">
        <w:rPr>
          <w:rFonts w:ascii="Verdana" w:hAnsi="Verdana" w:cs="Arial"/>
          <w:sz w:val="20"/>
          <w:szCs w:val="20"/>
        </w:rPr>
        <w:t>neel</w:t>
      </w:r>
      <w:r w:rsidR="002F7722" w:rsidRPr="00FD016C">
        <w:rPr>
          <w:rFonts w:ascii="Verdana" w:hAnsi="Verdana" w:cs="Arial"/>
          <w:sz w:val="20"/>
          <w:szCs w:val="20"/>
        </w:rPr>
        <w:t xml:space="preserve"> nº 1.406</w:t>
      </w:r>
      <w:r w:rsidR="006F1BF2" w:rsidRPr="00FD016C">
        <w:rPr>
          <w:rFonts w:ascii="Verdana" w:hAnsi="Verdana" w:cs="Arial"/>
          <w:sz w:val="20"/>
          <w:szCs w:val="20"/>
        </w:rPr>
        <w:t>,</w:t>
      </w:r>
      <w:r w:rsidR="002F7722" w:rsidRPr="00FD016C">
        <w:rPr>
          <w:rFonts w:ascii="Verdana" w:hAnsi="Verdana" w:cs="Arial"/>
          <w:sz w:val="20"/>
          <w:szCs w:val="20"/>
        </w:rPr>
        <w:t xml:space="preserve"> de 21</w:t>
      </w:r>
      <w:r w:rsidR="00DA3463" w:rsidRPr="00FD016C">
        <w:rPr>
          <w:rFonts w:ascii="Verdana" w:hAnsi="Verdana" w:cs="Arial"/>
          <w:sz w:val="20"/>
          <w:szCs w:val="20"/>
        </w:rPr>
        <w:t xml:space="preserve"> de dezembro de </w:t>
      </w:r>
      <w:r w:rsidR="002F7722" w:rsidRPr="00FD016C">
        <w:rPr>
          <w:rFonts w:ascii="Verdana" w:hAnsi="Verdana" w:cs="Arial"/>
          <w:sz w:val="20"/>
          <w:szCs w:val="20"/>
        </w:rPr>
        <w:t>2012</w:t>
      </w:r>
      <w:r w:rsidR="00C30BDA" w:rsidRPr="00FD016C">
        <w:rPr>
          <w:rFonts w:ascii="Verdana" w:hAnsi="Verdana" w:cs="Arial"/>
          <w:sz w:val="20"/>
          <w:szCs w:val="20"/>
        </w:rPr>
        <w:t>).</w:t>
      </w:r>
    </w:p>
    <w:p w14:paraId="52C5211F" w14:textId="77777777" w:rsidR="00CE1CA4" w:rsidRPr="00FD016C" w:rsidRDefault="00CE1CA4" w:rsidP="005144E2">
      <w:pPr>
        <w:pStyle w:val="PargrafodaLista"/>
        <w:rPr>
          <w:rFonts w:ascii="Verdana" w:hAnsi="Verdana" w:cs="Arial"/>
          <w:b/>
          <w:sz w:val="20"/>
          <w:szCs w:val="20"/>
          <w:u w:val="single"/>
        </w:rPr>
      </w:pPr>
    </w:p>
    <w:p w14:paraId="6F94853D" w14:textId="77777777" w:rsidR="00BB51F5" w:rsidRPr="00FD016C" w:rsidRDefault="00CE1CA4" w:rsidP="00067006">
      <w:pPr>
        <w:pStyle w:val="PargrafodaLista"/>
        <w:widowControl/>
        <w:numPr>
          <w:ilvl w:val="0"/>
          <w:numId w:val="18"/>
        </w:numPr>
        <w:jc w:val="both"/>
        <w:rPr>
          <w:rFonts w:ascii="Verdana" w:hAnsi="Verdana" w:cs="Arial"/>
          <w:b/>
          <w:sz w:val="20"/>
          <w:szCs w:val="20"/>
          <w:u w:val="single"/>
        </w:rPr>
      </w:pPr>
      <w:r w:rsidRPr="00FD016C">
        <w:rPr>
          <w:rFonts w:ascii="Verdana" w:hAnsi="Verdana" w:cs="Arial"/>
          <w:b/>
          <w:sz w:val="20"/>
          <w:szCs w:val="20"/>
          <w:u w:val="single"/>
        </w:rPr>
        <w:t>Financiamentos captados</w:t>
      </w:r>
      <w:r w:rsidRPr="00FD016C">
        <w:rPr>
          <w:rFonts w:ascii="Verdana" w:hAnsi="Verdana" w:cs="Arial"/>
          <w:b/>
          <w:sz w:val="20"/>
          <w:szCs w:val="20"/>
        </w:rPr>
        <w:t>:</w:t>
      </w:r>
      <w:r w:rsidR="008A35C0" w:rsidRPr="00FD016C">
        <w:rPr>
          <w:rFonts w:ascii="Verdana" w:hAnsi="Verdana" w:cs="Arial"/>
          <w:b/>
          <w:sz w:val="20"/>
          <w:szCs w:val="20"/>
        </w:rPr>
        <w:t xml:space="preserve"> </w:t>
      </w:r>
      <w:r w:rsidR="00044850" w:rsidRPr="00FD016C">
        <w:rPr>
          <w:rFonts w:ascii="Verdana" w:hAnsi="Verdana" w:cs="Arial"/>
          <w:sz w:val="20"/>
          <w:szCs w:val="20"/>
        </w:rPr>
        <w:t xml:space="preserve">a </w:t>
      </w:r>
      <w:r w:rsidR="00684E10" w:rsidRPr="00FD016C">
        <w:rPr>
          <w:rFonts w:ascii="Verdana" w:hAnsi="Verdana" w:cs="Arial"/>
          <w:sz w:val="20"/>
          <w:szCs w:val="20"/>
        </w:rPr>
        <w:t>C</w:t>
      </w:r>
      <w:r w:rsidR="008B3208" w:rsidRPr="00FD016C">
        <w:rPr>
          <w:rFonts w:ascii="Verdana" w:hAnsi="Verdana" w:cs="Arial"/>
          <w:sz w:val="20"/>
          <w:szCs w:val="20"/>
        </w:rPr>
        <w:t>ompanhia</w:t>
      </w:r>
      <w:r w:rsidR="00044850" w:rsidRPr="00FD016C">
        <w:rPr>
          <w:rFonts w:ascii="Verdana" w:hAnsi="Verdana" w:cs="Arial"/>
          <w:sz w:val="20"/>
          <w:szCs w:val="20"/>
        </w:rPr>
        <w:t xml:space="preserve"> possui contratos de financiamentos e empréstimos firmados com a Eletrobras. O detalhamento das operações e taxas de juros são apresentadas na </w:t>
      </w:r>
      <w:r w:rsidR="008E6B5F" w:rsidRPr="00FD016C">
        <w:rPr>
          <w:rFonts w:ascii="Verdana" w:hAnsi="Verdana" w:cs="Arial"/>
          <w:sz w:val="20"/>
          <w:szCs w:val="20"/>
        </w:rPr>
        <w:t>n</w:t>
      </w:r>
      <w:r w:rsidR="00044850" w:rsidRPr="00FD016C">
        <w:rPr>
          <w:rFonts w:ascii="Verdana" w:hAnsi="Verdana" w:cs="Arial"/>
          <w:sz w:val="20"/>
          <w:szCs w:val="20"/>
        </w:rPr>
        <w:t>ota 17.</w:t>
      </w:r>
    </w:p>
    <w:p w14:paraId="2FC87357" w14:textId="77777777" w:rsidR="00044850" w:rsidRPr="00FD016C" w:rsidRDefault="00044850" w:rsidP="005144E2">
      <w:pPr>
        <w:pStyle w:val="PargrafodaLista"/>
        <w:rPr>
          <w:rFonts w:ascii="Verdana" w:hAnsi="Verdana" w:cs="Arial"/>
          <w:b/>
          <w:sz w:val="20"/>
          <w:szCs w:val="20"/>
          <w:u w:val="single"/>
        </w:rPr>
      </w:pPr>
    </w:p>
    <w:p w14:paraId="1F62B8F2" w14:textId="77777777" w:rsidR="0041537D" w:rsidRPr="00FD016C" w:rsidRDefault="00BB2537" w:rsidP="00067006">
      <w:pPr>
        <w:pStyle w:val="PargrafodaLista"/>
        <w:widowControl/>
        <w:numPr>
          <w:ilvl w:val="0"/>
          <w:numId w:val="18"/>
        </w:numPr>
        <w:jc w:val="both"/>
        <w:rPr>
          <w:rFonts w:ascii="Verdana" w:hAnsi="Verdana" w:cs="Arial"/>
          <w:b/>
          <w:sz w:val="20"/>
          <w:szCs w:val="20"/>
        </w:rPr>
      </w:pPr>
      <w:r w:rsidRPr="00FD016C">
        <w:rPr>
          <w:rFonts w:ascii="Verdana" w:hAnsi="Verdana" w:cs="Arial"/>
          <w:b/>
          <w:sz w:val="20"/>
          <w:szCs w:val="20"/>
          <w:u w:val="single"/>
        </w:rPr>
        <w:t>Encargos Financeiros</w:t>
      </w:r>
      <w:r w:rsidRPr="00FD016C">
        <w:rPr>
          <w:rFonts w:ascii="Verdana" w:hAnsi="Verdana" w:cs="Arial"/>
          <w:sz w:val="20"/>
          <w:szCs w:val="20"/>
        </w:rPr>
        <w:t xml:space="preserve">: </w:t>
      </w:r>
      <w:r w:rsidR="004A7757" w:rsidRPr="00FD016C">
        <w:rPr>
          <w:rFonts w:ascii="Verdana" w:hAnsi="Verdana" w:cs="Arial"/>
          <w:sz w:val="20"/>
          <w:szCs w:val="20"/>
        </w:rPr>
        <w:t xml:space="preserve">encargos financeiros </w:t>
      </w:r>
      <w:r w:rsidR="00CC2491" w:rsidRPr="00FD016C">
        <w:rPr>
          <w:rFonts w:ascii="Verdana" w:hAnsi="Verdana" w:cs="Arial"/>
          <w:sz w:val="20"/>
          <w:szCs w:val="20"/>
        </w:rPr>
        <w:t xml:space="preserve">líquidos </w:t>
      </w:r>
      <w:r w:rsidR="004A7757" w:rsidRPr="00FD016C">
        <w:rPr>
          <w:rFonts w:ascii="Verdana" w:hAnsi="Verdana" w:cs="Arial"/>
          <w:sz w:val="20"/>
          <w:szCs w:val="20"/>
        </w:rPr>
        <w:t>apropriados no resultado</w:t>
      </w:r>
      <w:r w:rsidR="004962E5" w:rsidRPr="00FD016C">
        <w:rPr>
          <w:rFonts w:ascii="Verdana" w:hAnsi="Verdana" w:cs="Arial"/>
          <w:sz w:val="20"/>
          <w:szCs w:val="20"/>
        </w:rPr>
        <w:t xml:space="preserve"> referente</w:t>
      </w:r>
      <w:r w:rsidR="009824EF" w:rsidRPr="00FD016C">
        <w:rPr>
          <w:rFonts w:ascii="Verdana" w:hAnsi="Verdana" w:cs="Arial"/>
          <w:sz w:val="20"/>
          <w:szCs w:val="20"/>
        </w:rPr>
        <w:t>s</w:t>
      </w:r>
      <w:r w:rsidR="004962E5" w:rsidRPr="00FD016C">
        <w:rPr>
          <w:rFonts w:ascii="Verdana" w:hAnsi="Verdana" w:cs="Arial"/>
          <w:sz w:val="20"/>
          <w:szCs w:val="20"/>
        </w:rPr>
        <w:t xml:space="preserve"> a financiamentos da Eletrobras</w:t>
      </w:r>
      <w:r w:rsidR="004A7757" w:rsidRPr="00FD016C">
        <w:rPr>
          <w:rFonts w:ascii="Verdana" w:hAnsi="Verdana" w:cs="Arial"/>
          <w:sz w:val="20"/>
          <w:szCs w:val="20"/>
        </w:rPr>
        <w:t xml:space="preserve">. </w:t>
      </w:r>
    </w:p>
    <w:p w14:paraId="295DD3AA" w14:textId="77777777" w:rsidR="00A8048D" w:rsidRPr="00FD016C" w:rsidRDefault="00A8048D" w:rsidP="00A8048D">
      <w:pPr>
        <w:pStyle w:val="PargrafodaLista"/>
        <w:rPr>
          <w:rFonts w:ascii="Verdana" w:hAnsi="Verdana" w:cs="Arial"/>
          <w:b/>
          <w:sz w:val="20"/>
          <w:szCs w:val="20"/>
        </w:rPr>
      </w:pPr>
    </w:p>
    <w:p w14:paraId="0F8DD9A2" w14:textId="660AECFF"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Como patrocinadora da REAL GRANDEZA – Fundação de Previdência e Assistência Social e do NUCLEOS – Instituto de Seguridade Social, entidades fechadas sem fins lucrativos que t</w:t>
      </w:r>
      <w:r w:rsidR="008C0B2D" w:rsidRPr="00FD016C">
        <w:rPr>
          <w:rFonts w:ascii="Verdana" w:hAnsi="Verdana" w:cs="Arial"/>
          <w:sz w:val="20"/>
          <w:szCs w:val="20"/>
        </w:rPr>
        <w:t>ê</w:t>
      </w:r>
      <w:r w:rsidRPr="00FD016C">
        <w:rPr>
          <w:rFonts w:ascii="Verdana" w:hAnsi="Verdana" w:cs="Arial"/>
          <w:sz w:val="20"/>
          <w:szCs w:val="20"/>
        </w:rPr>
        <w:t xml:space="preserve">m por finalidade complementar benefícios previdenciários de seus participantes, a ELETRONUCLEAR apresenta os saldos e movimentação de valores que envolvem essas entidades na </w:t>
      </w:r>
      <w:r w:rsidR="008E6B5F" w:rsidRPr="00FD016C">
        <w:rPr>
          <w:rFonts w:ascii="Verdana" w:hAnsi="Verdana" w:cs="Arial"/>
          <w:sz w:val="20"/>
          <w:szCs w:val="20"/>
        </w:rPr>
        <w:t>n</w:t>
      </w:r>
      <w:r w:rsidRPr="00FD016C">
        <w:rPr>
          <w:rFonts w:ascii="Verdana" w:hAnsi="Verdana" w:cs="Arial"/>
          <w:sz w:val="20"/>
          <w:szCs w:val="20"/>
        </w:rPr>
        <w:t>ota 21.</w:t>
      </w:r>
    </w:p>
    <w:p w14:paraId="20C6F3E9" w14:textId="77777777" w:rsidR="00595299" w:rsidRPr="00896005" w:rsidRDefault="00595299" w:rsidP="005144E2">
      <w:pPr>
        <w:widowControl/>
        <w:jc w:val="both"/>
        <w:rPr>
          <w:rFonts w:ascii="Verdana" w:hAnsi="Verdana" w:cs="Arial"/>
          <w:sz w:val="20"/>
          <w:szCs w:val="20"/>
        </w:rPr>
      </w:pPr>
    </w:p>
    <w:p w14:paraId="7B029EAD" w14:textId="77777777" w:rsidR="00595299" w:rsidRPr="00896005" w:rsidRDefault="00595299" w:rsidP="00595299">
      <w:pPr>
        <w:widowControl/>
        <w:rPr>
          <w:rFonts w:ascii="Verdana" w:hAnsi="Verdana" w:cs="Arial"/>
          <w:color w:val="0070C0"/>
          <w:sz w:val="20"/>
          <w:szCs w:val="20"/>
        </w:rPr>
      </w:pPr>
    </w:p>
    <w:p w14:paraId="2E8E4856" w14:textId="202F8D65" w:rsidR="00595299" w:rsidRPr="00FD016C" w:rsidRDefault="00595299" w:rsidP="00595299">
      <w:pPr>
        <w:widowControl/>
        <w:rPr>
          <w:rFonts w:ascii="Verdana" w:hAnsi="Verdana" w:cs="Arial"/>
          <w:b/>
          <w:color w:val="0070C0"/>
        </w:rPr>
      </w:pPr>
      <w:r w:rsidRPr="00FD016C">
        <w:rPr>
          <w:rFonts w:ascii="Verdana" w:hAnsi="Verdana" w:cs="Arial"/>
          <w:b/>
          <w:color w:val="0070C0"/>
        </w:rPr>
        <w:t>34.1 – Remuneração do</w:t>
      </w:r>
      <w:r w:rsidR="00FF3746" w:rsidRPr="00FD016C">
        <w:rPr>
          <w:rFonts w:ascii="Verdana" w:hAnsi="Verdana" w:cs="Arial"/>
          <w:b/>
          <w:color w:val="0070C0"/>
        </w:rPr>
        <w:t xml:space="preserve"> Pessoal Chave </w:t>
      </w:r>
      <w:r w:rsidRPr="00FD016C">
        <w:rPr>
          <w:rFonts w:ascii="Verdana" w:hAnsi="Verdana" w:cs="Arial"/>
          <w:b/>
          <w:color w:val="0070C0"/>
        </w:rPr>
        <w:t xml:space="preserve"> </w:t>
      </w:r>
    </w:p>
    <w:p w14:paraId="154234B8" w14:textId="77777777" w:rsidR="00595299" w:rsidRPr="00FD016C" w:rsidRDefault="00595299" w:rsidP="00595299">
      <w:pPr>
        <w:widowControl/>
        <w:jc w:val="both"/>
        <w:rPr>
          <w:rFonts w:ascii="Verdana" w:hAnsi="Verdana" w:cs="Arial"/>
          <w:b/>
          <w:sz w:val="20"/>
          <w:szCs w:val="20"/>
        </w:rPr>
      </w:pPr>
    </w:p>
    <w:p w14:paraId="1EC17938" w14:textId="6E75A366" w:rsidR="00FB14C9" w:rsidRPr="00FD016C" w:rsidRDefault="00595299" w:rsidP="00FB14C9">
      <w:pPr>
        <w:widowControl/>
        <w:jc w:val="both"/>
        <w:rPr>
          <w:rFonts w:ascii="Verdana" w:hAnsi="Verdana" w:cs="Arial"/>
          <w:sz w:val="20"/>
          <w:szCs w:val="20"/>
        </w:rPr>
      </w:pPr>
      <w:r w:rsidRPr="00FD016C">
        <w:rPr>
          <w:rFonts w:ascii="Verdana" w:hAnsi="Verdana" w:cs="Arial"/>
          <w:sz w:val="20"/>
          <w:szCs w:val="20"/>
        </w:rPr>
        <w:t xml:space="preserve">O maior e menor honorário atribuídos a dirigentes, tomando-se por base o mês de </w:t>
      </w:r>
      <w:r w:rsidR="00772B44" w:rsidRPr="00FD016C">
        <w:rPr>
          <w:rFonts w:ascii="Verdana" w:hAnsi="Verdana" w:cs="Arial"/>
          <w:sz w:val="20"/>
          <w:szCs w:val="20"/>
        </w:rPr>
        <w:t>setembro</w:t>
      </w:r>
      <w:r w:rsidRPr="00FD016C">
        <w:rPr>
          <w:rFonts w:ascii="Verdana" w:hAnsi="Verdana" w:cs="Arial"/>
          <w:sz w:val="20"/>
          <w:szCs w:val="20"/>
        </w:rPr>
        <w:t xml:space="preserve"> de 202</w:t>
      </w:r>
      <w:r w:rsidR="00E521EE" w:rsidRPr="00FD016C">
        <w:rPr>
          <w:rFonts w:ascii="Verdana" w:hAnsi="Verdana" w:cs="Arial"/>
          <w:sz w:val="20"/>
          <w:szCs w:val="20"/>
        </w:rPr>
        <w:t>1</w:t>
      </w:r>
      <w:r w:rsidRPr="00FD016C">
        <w:rPr>
          <w:rFonts w:ascii="Verdana" w:hAnsi="Verdana" w:cs="Arial"/>
          <w:sz w:val="20"/>
          <w:szCs w:val="20"/>
        </w:rPr>
        <w:t xml:space="preserve">, corresponde a R$ </w:t>
      </w:r>
      <w:r w:rsidR="002A23F2" w:rsidRPr="00FD016C">
        <w:rPr>
          <w:rFonts w:ascii="Verdana" w:hAnsi="Verdana" w:cs="Arial"/>
          <w:sz w:val="20"/>
          <w:szCs w:val="20"/>
        </w:rPr>
        <w:t>40</w:t>
      </w:r>
      <w:r w:rsidR="00E71236" w:rsidRPr="00FD016C">
        <w:rPr>
          <w:rFonts w:ascii="Verdana" w:hAnsi="Verdana" w:cs="Arial"/>
          <w:sz w:val="20"/>
          <w:szCs w:val="20"/>
        </w:rPr>
        <w:t xml:space="preserve"> </w:t>
      </w:r>
      <w:r w:rsidRPr="00FD016C">
        <w:rPr>
          <w:rFonts w:ascii="Verdana" w:hAnsi="Verdana" w:cs="Arial"/>
          <w:sz w:val="20"/>
          <w:szCs w:val="20"/>
        </w:rPr>
        <w:t xml:space="preserve">e R$ </w:t>
      </w:r>
      <w:r w:rsidR="002A23F2" w:rsidRPr="00FD016C">
        <w:rPr>
          <w:rFonts w:ascii="Verdana" w:hAnsi="Verdana" w:cs="Arial"/>
          <w:sz w:val="20"/>
          <w:szCs w:val="20"/>
        </w:rPr>
        <w:t>4</w:t>
      </w:r>
      <w:r w:rsidRPr="00FD016C">
        <w:rPr>
          <w:rFonts w:ascii="Verdana" w:hAnsi="Verdana" w:cs="Arial"/>
          <w:sz w:val="20"/>
          <w:szCs w:val="20"/>
        </w:rPr>
        <w:t xml:space="preserve"> (R$ 40 e R$ 4, em dezembro de 20</w:t>
      </w:r>
      <w:r w:rsidR="00E521EE" w:rsidRPr="00FD016C">
        <w:rPr>
          <w:rFonts w:ascii="Verdana" w:hAnsi="Verdana" w:cs="Arial"/>
          <w:sz w:val="20"/>
          <w:szCs w:val="20"/>
        </w:rPr>
        <w:t>20</w:t>
      </w:r>
      <w:r w:rsidRPr="00FD016C">
        <w:rPr>
          <w:rFonts w:ascii="Verdana" w:hAnsi="Verdana" w:cs="Arial"/>
          <w:sz w:val="20"/>
          <w:szCs w:val="20"/>
        </w:rPr>
        <w:t>)</w:t>
      </w:r>
      <w:r w:rsidR="00FB14C9" w:rsidRPr="00FD016C">
        <w:rPr>
          <w:rFonts w:ascii="Verdana" w:hAnsi="Verdana" w:cs="Arial"/>
          <w:sz w:val="20"/>
          <w:szCs w:val="20"/>
        </w:rPr>
        <w:t xml:space="preserve">, de acordo com a política salarial praticada pela ELETRONUCLEAR. </w:t>
      </w:r>
    </w:p>
    <w:p w14:paraId="5238098B" w14:textId="77777777" w:rsidR="00595299" w:rsidRPr="00FD016C" w:rsidRDefault="00595299" w:rsidP="00595299">
      <w:pPr>
        <w:widowControl/>
        <w:jc w:val="both"/>
        <w:rPr>
          <w:rFonts w:ascii="Verdana" w:hAnsi="Verdana" w:cs="Arial"/>
          <w:sz w:val="20"/>
          <w:szCs w:val="20"/>
        </w:rPr>
      </w:pPr>
    </w:p>
    <w:p w14:paraId="4AD3046B" w14:textId="5976A3DF" w:rsidR="00595299" w:rsidRPr="00FD016C" w:rsidRDefault="00595299" w:rsidP="00595299">
      <w:pPr>
        <w:widowControl/>
        <w:jc w:val="both"/>
        <w:rPr>
          <w:rFonts w:ascii="Verdana" w:hAnsi="Verdana" w:cs="Arial"/>
          <w:sz w:val="20"/>
          <w:szCs w:val="20"/>
        </w:rPr>
      </w:pPr>
      <w:r w:rsidRPr="00FD016C">
        <w:rPr>
          <w:rFonts w:ascii="Verdana" w:hAnsi="Verdana" w:cs="Arial"/>
          <w:sz w:val="20"/>
          <w:szCs w:val="20"/>
        </w:rPr>
        <w:t>Nos períodos findos em 3</w:t>
      </w:r>
      <w:r w:rsidR="0069011D" w:rsidRPr="00FD016C">
        <w:rPr>
          <w:rFonts w:ascii="Verdana" w:hAnsi="Verdana" w:cs="Arial"/>
          <w:sz w:val="20"/>
          <w:szCs w:val="20"/>
        </w:rPr>
        <w:t>0</w:t>
      </w:r>
      <w:r w:rsidRPr="00FD016C">
        <w:rPr>
          <w:rFonts w:ascii="Verdana" w:hAnsi="Verdana" w:cs="Arial"/>
          <w:sz w:val="20"/>
          <w:szCs w:val="20"/>
        </w:rPr>
        <w:t xml:space="preserve"> de </w:t>
      </w:r>
      <w:r w:rsidR="00772B44" w:rsidRPr="00FD016C">
        <w:rPr>
          <w:rFonts w:ascii="Verdana" w:hAnsi="Verdana" w:cs="Arial"/>
          <w:sz w:val="20"/>
          <w:szCs w:val="20"/>
        </w:rPr>
        <w:t>setembro</w:t>
      </w:r>
      <w:r w:rsidRPr="00FD016C">
        <w:rPr>
          <w:rFonts w:ascii="Verdana" w:hAnsi="Verdana" w:cs="Arial"/>
          <w:sz w:val="20"/>
          <w:szCs w:val="20"/>
        </w:rPr>
        <w:t xml:space="preserve"> de 202</w:t>
      </w:r>
      <w:r w:rsidR="00357824" w:rsidRPr="00FD016C">
        <w:rPr>
          <w:rFonts w:ascii="Verdana" w:hAnsi="Verdana" w:cs="Arial"/>
          <w:sz w:val="20"/>
          <w:szCs w:val="20"/>
        </w:rPr>
        <w:t>1</w:t>
      </w:r>
      <w:r w:rsidR="00C17248" w:rsidRPr="00FD016C">
        <w:rPr>
          <w:rFonts w:ascii="Verdana" w:hAnsi="Verdana" w:cs="Arial"/>
          <w:sz w:val="20"/>
          <w:szCs w:val="20"/>
        </w:rPr>
        <w:t xml:space="preserve"> e 2020</w:t>
      </w:r>
      <w:r w:rsidRPr="00FD016C">
        <w:rPr>
          <w:rFonts w:ascii="Verdana" w:hAnsi="Verdana" w:cs="Arial"/>
          <w:sz w:val="20"/>
          <w:szCs w:val="20"/>
        </w:rPr>
        <w:t>, a Companhia realizou gastos com remuneração, encargos sociais e benefícios da alta administração conforme apresentado a seguir:</w:t>
      </w:r>
    </w:p>
    <w:p w14:paraId="2C34DC5C" w14:textId="77777777" w:rsidR="002A23F2" w:rsidRPr="00FD016C" w:rsidRDefault="002A23F2" w:rsidP="00595299">
      <w:pPr>
        <w:widowControl/>
        <w:jc w:val="both"/>
        <w:rPr>
          <w:rFonts w:ascii="Verdana" w:hAnsi="Verdana" w:cs="Arial"/>
          <w:sz w:val="20"/>
          <w:szCs w:val="20"/>
        </w:rPr>
      </w:pPr>
    </w:p>
    <w:p w14:paraId="02F68932" w14:textId="7EBCB58B" w:rsidR="002A23F2" w:rsidRPr="00FD016C" w:rsidRDefault="002A23F2" w:rsidP="00595299">
      <w:pPr>
        <w:widowControl/>
        <w:jc w:val="both"/>
        <w:rPr>
          <w:rFonts w:ascii="Verdana" w:hAnsi="Verdana" w:cs="Arial"/>
          <w:sz w:val="20"/>
          <w:szCs w:val="20"/>
        </w:rPr>
      </w:pPr>
      <w:r w:rsidRPr="00FD016C">
        <w:rPr>
          <w:noProof/>
        </w:rPr>
        <w:drawing>
          <wp:inline distT="0" distB="0" distL="0" distR="0" wp14:anchorId="4899C7DA" wp14:editId="13DAC4AE">
            <wp:extent cx="6073140" cy="666001"/>
            <wp:effectExtent l="0" t="0" r="3810" b="127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73140" cy="666001"/>
                    </a:xfrm>
                    <a:prstGeom prst="rect">
                      <a:avLst/>
                    </a:prstGeom>
                    <a:noFill/>
                    <a:ln>
                      <a:noFill/>
                    </a:ln>
                  </pic:spPr>
                </pic:pic>
              </a:graphicData>
            </a:graphic>
          </wp:inline>
        </w:drawing>
      </w:r>
    </w:p>
    <w:p w14:paraId="042D8F0C" w14:textId="20CBDC65" w:rsidR="005C5307" w:rsidRPr="00FD016C" w:rsidRDefault="005C5307" w:rsidP="00595299">
      <w:pPr>
        <w:widowControl/>
        <w:jc w:val="both"/>
        <w:rPr>
          <w:rFonts w:ascii="Verdana" w:hAnsi="Verdana" w:cs="Arial"/>
          <w:sz w:val="20"/>
          <w:szCs w:val="20"/>
        </w:rPr>
      </w:pPr>
    </w:p>
    <w:p w14:paraId="44FC6878" w14:textId="4AB80F24" w:rsidR="00595299" w:rsidRPr="00FD016C" w:rsidRDefault="00595299" w:rsidP="00595299">
      <w:pPr>
        <w:widowControl/>
        <w:jc w:val="both"/>
        <w:rPr>
          <w:rFonts w:ascii="Verdana" w:hAnsi="Verdana" w:cs="Arial"/>
          <w:b/>
          <w:sz w:val="20"/>
          <w:szCs w:val="20"/>
        </w:rPr>
      </w:pPr>
    </w:p>
    <w:p w14:paraId="22409A83" w14:textId="77777777" w:rsidR="00595299" w:rsidRPr="00FD016C" w:rsidRDefault="00595299" w:rsidP="00595299">
      <w:pPr>
        <w:widowControl/>
        <w:jc w:val="both"/>
        <w:rPr>
          <w:rFonts w:ascii="Verdana" w:hAnsi="Verdana" w:cs="Arial"/>
          <w:b/>
          <w:sz w:val="20"/>
          <w:szCs w:val="20"/>
        </w:rPr>
      </w:pPr>
    </w:p>
    <w:p w14:paraId="0B87FD07" w14:textId="377C7815" w:rsidR="00595299" w:rsidRPr="00FD016C" w:rsidRDefault="00595299" w:rsidP="005144E2">
      <w:pPr>
        <w:widowControl/>
        <w:jc w:val="both"/>
        <w:rPr>
          <w:rFonts w:ascii="Verdana" w:hAnsi="Verdana" w:cs="Arial"/>
          <w:sz w:val="20"/>
          <w:szCs w:val="20"/>
        </w:rPr>
      </w:pPr>
    </w:p>
    <w:p w14:paraId="3D17924C" w14:textId="1B355E1F" w:rsidR="0058585B" w:rsidRPr="00FD016C" w:rsidRDefault="0058585B" w:rsidP="005144E2">
      <w:pPr>
        <w:widowControl/>
        <w:jc w:val="both"/>
        <w:rPr>
          <w:rFonts w:ascii="Verdana" w:hAnsi="Verdana" w:cs="Arial"/>
          <w:sz w:val="20"/>
          <w:szCs w:val="20"/>
        </w:rPr>
      </w:pPr>
    </w:p>
    <w:p w14:paraId="4FF3CE3F" w14:textId="77777777" w:rsidR="006C5145" w:rsidRPr="00FD016C" w:rsidRDefault="006C5145" w:rsidP="005144E2">
      <w:pPr>
        <w:widowControl/>
        <w:jc w:val="both"/>
        <w:rPr>
          <w:rFonts w:ascii="Verdana" w:hAnsi="Verdana" w:cs="Arial"/>
          <w:sz w:val="20"/>
          <w:szCs w:val="20"/>
        </w:rPr>
      </w:pPr>
    </w:p>
    <w:p w14:paraId="7F7DA81C" w14:textId="77777777" w:rsidR="006C5145" w:rsidRPr="00FD016C" w:rsidRDefault="006C5145" w:rsidP="005144E2">
      <w:pPr>
        <w:widowControl/>
        <w:jc w:val="both"/>
        <w:rPr>
          <w:rFonts w:ascii="Verdana" w:hAnsi="Verdana" w:cs="Arial"/>
          <w:sz w:val="20"/>
          <w:szCs w:val="20"/>
        </w:rPr>
      </w:pPr>
    </w:p>
    <w:p w14:paraId="12A72C11" w14:textId="77777777" w:rsidR="006C5145" w:rsidRPr="00FD016C" w:rsidRDefault="006C5145" w:rsidP="005144E2">
      <w:pPr>
        <w:widowControl/>
        <w:jc w:val="both"/>
        <w:rPr>
          <w:rFonts w:ascii="Verdana" w:hAnsi="Verdana" w:cs="Arial"/>
          <w:sz w:val="20"/>
          <w:szCs w:val="20"/>
        </w:rPr>
      </w:pPr>
    </w:p>
    <w:p w14:paraId="32523F40" w14:textId="77777777" w:rsidR="006C5145" w:rsidRPr="00FD016C" w:rsidRDefault="006C5145" w:rsidP="005144E2">
      <w:pPr>
        <w:widowControl/>
        <w:jc w:val="both"/>
        <w:rPr>
          <w:rFonts w:ascii="Verdana" w:hAnsi="Verdana" w:cs="Arial"/>
          <w:sz w:val="20"/>
          <w:szCs w:val="20"/>
        </w:rPr>
      </w:pPr>
    </w:p>
    <w:p w14:paraId="18514123" w14:textId="77777777" w:rsidR="006C5145" w:rsidRPr="00FD016C" w:rsidRDefault="006C5145" w:rsidP="005144E2">
      <w:pPr>
        <w:widowControl/>
        <w:jc w:val="both"/>
        <w:rPr>
          <w:rFonts w:ascii="Verdana" w:hAnsi="Verdana" w:cs="Arial"/>
          <w:sz w:val="20"/>
          <w:szCs w:val="20"/>
        </w:rPr>
      </w:pPr>
    </w:p>
    <w:p w14:paraId="003C88C0" w14:textId="77777777" w:rsidR="006C5145" w:rsidRPr="00FD016C" w:rsidRDefault="006C5145" w:rsidP="005144E2">
      <w:pPr>
        <w:widowControl/>
        <w:jc w:val="both"/>
        <w:rPr>
          <w:rFonts w:ascii="Verdana" w:hAnsi="Verdana" w:cs="Arial"/>
          <w:sz w:val="20"/>
          <w:szCs w:val="20"/>
        </w:rPr>
      </w:pPr>
    </w:p>
    <w:p w14:paraId="2D56E799" w14:textId="77777777" w:rsidR="006C5145" w:rsidRPr="00FD016C" w:rsidRDefault="006C5145" w:rsidP="005144E2">
      <w:pPr>
        <w:widowControl/>
        <w:jc w:val="both"/>
        <w:rPr>
          <w:rFonts w:ascii="Verdana" w:hAnsi="Verdana" w:cs="Arial"/>
          <w:sz w:val="20"/>
          <w:szCs w:val="20"/>
        </w:rPr>
      </w:pPr>
    </w:p>
    <w:p w14:paraId="79FF94BF" w14:textId="77777777" w:rsidR="006C5145" w:rsidRPr="00FD016C" w:rsidRDefault="006C5145" w:rsidP="005144E2">
      <w:pPr>
        <w:widowControl/>
        <w:jc w:val="both"/>
        <w:rPr>
          <w:rFonts w:ascii="Verdana" w:hAnsi="Verdana" w:cs="Arial"/>
          <w:sz w:val="20"/>
          <w:szCs w:val="20"/>
        </w:rPr>
      </w:pPr>
    </w:p>
    <w:p w14:paraId="5CFA6C81" w14:textId="77777777" w:rsidR="006C5145" w:rsidRPr="00FD016C" w:rsidRDefault="006C5145" w:rsidP="005144E2">
      <w:pPr>
        <w:widowControl/>
        <w:jc w:val="both"/>
        <w:rPr>
          <w:rFonts w:ascii="Verdana" w:hAnsi="Verdana" w:cs="Arial"/>
          <w:sz w:val="20"/>
          <w:szCs w:val="20"/>
        </w:rPr>
      </w:pPr>
    </w:p>
    <w:p w14:paraId="0E217A4A" w14:textId="1204E613" w:rsidR="006C5145" w:rsidRPr="00FD016C" w:rsidRDefault="006C5145" w:rsidP="005144E2">
      <w:pPr>
        <w:widowControl/>
        <w:jc w:val="both"/>
        <w:rPr>
          <w:rFonts w:ascii="Verdana" w:hAnsi="Verdana" w:cs="Arial"/>
          <w:sz w:val="20"/>
          <w:szCs w:val="20"/>
        </w:rPr>
      </w:pPr>
    </w:p>
    <w:p w14:paraId="60FB2BAF" w14:textId="6DD1F1BF" w:rsidR="00722243" w:rsidRPr="00FD016C" w:rsidRDefault="00722243" w:rsidP="005144E2">
      <w:pPr>
        <w:widowControl/>
        <w:jc w:val="both"/>
        <w:rPr>
          <w:rFonts w:ascii="Verdana" w:hAnsi="Verdana" w:cs="Arial"/>
          <w:sz w:val="20"/>
          <w:szCs w:val="20"/>
        </w:rPr>
      </w:pPr>
    </w:p>
    <w:p w14:paraId="2A341CB5" w14:textId="77777777" w:rsidR="0036237D" w:rsidRPr="00FD016C" w:rsidRDefault="0036237D" w:rsidP="005144E2">
      <w:pPr>
        <w:widowControl/>
        <w:jc w:val="both"/>
        <w:rPr>
          <w:rFonts w:ascii="Verdana" w:hAnsi="Verdana" w:cs="Arial"/>
          <w:sz w:val="20"/>
          <w:szCs w:val="20"/>
        </w:rPr>
      </w:pPr>
    </w:p>
    <w:p w14:paraId="65D514AD" w14:textId="1E9803DC" w:rsidR="0058585B" w:rsidRPr="00FD016C" w:rsidRDefault="0058585B" w:rsidP="0058585B">
      <w:pPr>
        <w:widowControl/>
        <w:rPr>
          <w:rFonts w:ascii="Verdana" w:hAnsi="Verdana" w:cs="Arial"/>
          <w:b/>
          <w:color w:val="0070C0"/>
          <w:sz w:val="26"/>
          <w:szCs w:val="26"/>
        </w:rPr>
      </w:pPr>
      <w:r w:rsidRPr="00FD016C">
        <w:rPr>
          <w:rFonts w:ascii="Verdana" w:hAnsi="Verdana" w:cs="Arial"/>
          <w:b/>
          <w:color w:val="0070C0"/>
          <w:sz w:val="26"/>
          <w:szCs w:val="26"/>
        </w:rPr>
        <w:lastRenderedPageBreak/>
        <w:t xml:space="preserve">35 – REMUNERAÇÃO DOS EMPREGADOS </w:t>
      </w:r>
    </w:p>
    <w:p w14:paraId="3A872A15" w14:textId="77777777" w:rsidR="0058585B" w:rsidRPr="00FD016C" w:rsidRDefault="0058585B" w:rsidP="0058585B">
      <w:pPr>
        <w:widowControl/>
        <w:jc w:val="both"/>
        <w:rPr>
          <w:rFonts w:ascii="Verdana" w:hAnsi="Verdana" w:cs="Arial"/>
          <w:b/>
          <w:sz w:val="20"/>
          <w:szCs w:val="20"/>
        </w:rPr>
      </w:pPr>
    </w:p>
    <w:p w14:paraId="43612850" w14:textId="77777777" w:rsidR="00893A72" w:rsidRPr="00FD016C" w:rsidRDefault="00893A72" w:rsidP="0058585B">
      <w:pPr>
        <w:widowControl/>
        <w:jc w:val="both"/>
        <w:rPr>
          <w:rFonts w:ascii="Verdana" w:hAnsi="Verdana" w:cs="Arial"/>
          <w:b/>
          <w:sz w:val="20"/>
          <w:szCs w:val="20"/>
        </w:rPr>
      </w:pPr>
    </w:p>
    <w:p w14:paraId="6E663D6B" w14:textId="21E8B81C" w:rsidR="0058585B" w:rsidRPr="00FD016C" w:rsidRDefault="0058585B" w:rsidP="0058585B">
      <w:pPr>
        <w:widowControl/>
        <w:jc w:val="both"/>
        <w:rPr>
          <w:rFonts w:ascii="Verdana" w:hAnsi="Verdana" w:cs="Arial"/>
          <w:sz w:val="20"/>
          <w:szCs w:val="20"/>
        </w:rPr>
      </w:pPr>
      <w:r w:rsidRPr="00FD016C">
        <w:rPr>
          <w:rFonts w:ascii="Verdana" w:hAnsi="Verdana" w:cs="Arial"/>
          <w:sz w:val="20"/>
          <w:szCs w:val="20"/>
        </w:rPr>
        <w:t xml:space="preserve">A maior e a menor remuneração pagas a empregados, tomando-se por base o mês de </w:t>
      </w:r>
      <w:r w:rsidR="00772B44" w:rsidRPr="00FD016C">
        <w:rPr>
          <w:rFonts w:ascii="Verdana" w:hAnsi="Verdana" w:cs="Arial"/>
          <w:sz w:val="20"/>
          <w:szCs w:val="20"/>
        </w:rPr>
        <w:t>setembro</w:t>
      </w:r>
      <w:r w:rsidRPr="00FD016C">
        <w:rPr>
          <w:rFonts w:ascii="Verdana" w:hAnsi="Verdana" w:cs="Arial"/>
          <w:sz w:val="20"/>
          <w:szCs w:val="20"/>
        </w:rPr>
        <w:t xml:space="preserve"> de 2021, foram de R$ </w:t>
      </w:r>
      <w:r w:rsidR="002A23F2" w:rsidRPr="00FD016C">
        <w:rPr>
          <w:rFonts w:ascii="Verdana" w:hAnsi="Verdana" w:cs="Arial"/>
          <w:sz w:val="20"/>
          <w:szCs w:val="20"/>
        </w:rPr>
        <w:t>66</w:t>
      </w:r>
      <w:r w:rsidRPr="00FD016C">
        <w:rPr>
          <w:rFonts w:ascii="Verdana" w:hAnsi="Verdana" w:cs="Arial"/>
          <w:sz w:val="20"/>
          <w:szCs w:val="20"/>
        </w:rPr>
        <w:t xml:space="preserve"> e R$ </w:t>
      </w:r>
      <w:r w:rsidR="002A23F2" w:rsidRPr="00FD016C">
        <w:rPr>
          <w:rFonts w:ascii="Verdana" w:hAnsi="Verdana" w:cs="Arial"/>
          <w:sz w:val="20"/>
          <w:szCs w:val="20"/>
        </w:rPr>
        <w:t>4</w:t>
      </w:r>
      <w:r w:rsidRPr="00FD016C">
        <w:rPr>
          <w:rFonts w:ascii="Verdana" w:hAnsi="Verdana" w:cs="Arial"/>
          <w:sz w:val="20"/>
          <w:szCs w:val="20"/>
        </w:rPr>
        <w:t xml:space="preserve"> (R$ 63 e R$ 4, em dezembro de 2020), de acordo com a política salarial praticada pela ELETRONUCLEAR. </w:t>
      </w:r>
    </w:p>
    <w:p w14:paraId="69687D76" w14:textId="77777777" w:rsidR="0058585B" w:rsidRPr="00FD016C" w:rsidRDefault="0058585B" w:rsidP="005144E2">
      <w:pPr>
        <w:widowControl/>
        <w:jc w:val="both"/>
        <w:rPr>
          <w:rFonts w:ascii="Verdana" w:hAnsi="Verdana" w:cs="Arial"/>
          <w:sz w:val="20"/>
          <w:szCs w:val="20"/>
        </w:rPr>
      </w:pPr>
    </w:p>
    <w:p w14:paraId="0EB9D468" w14:textId="77777777" w:rsidR="006C5145" w:rsidRPr="00FD016C" w:rsidRDefault="006C5145" w:rsidP="005144E2">
      <w:pPr>
        <w:widowControl/>
        <w:jc w:val="both"/>
        <w:rPr>
          <w:rFonts w:ascii="Verdana" w:hAnsi="Verdana" w:cs="Arial"/>
          <w:sz w:val="20"/>
          <w:szCs w:val="20"/>
        </w:rPr>
      </w:pPr>
    </w:p>
    <w:p w14:paraId="0A164A30" w14:textId="77777777" w:rsidR="006C5145" w:rsidRPr="00FD016C" w:rsidRDefault="006C5145" w:rsidP="005144E2">
      <w:pPr>
        <w:widowControl/>
        <w:jc w:val="both"/>
        <w:rPr>
          <w:rFonts w:ascii="Verdana" w:hAnsi="Verdana" w:cs="Arial"/>
          <w:sz w:val="20"/>
          <w:szCs w:val="20"/>
        </w:rPr>
      </w:pPr>
    </w:p>
    <w:p w14:paraId="063F4A41" w14:textId="1807C7A1" w:rsidR="003F4719" w:rsidRPr="00FD016C" w:rsidRDefault="005D0370" w:rsidP="005144E2">
      <w:pPr>
        <w:keepNext/>
        <w:widowControl/>
        <w:jc w:val="both"/>
        <w:outlineLvl w:val="0"/>
        <w:rPr>
          <w:rFonts w:ascii="Verdana" w:hAnsi="Verdana" w:cs="Arial"/>
          <w:b/>
          <w:color w:val="0070C0"/>
          <w:sz w:val="26"/>
          <w:szCs w:val="26"/>
        </w:rPr>
      </w:pPr>
      <w:r w:rsidRPr="00FD016C">
        <w:rPr>
          <w:rFonts w:ascii="Verdana" w:hAnsi="Verdana" w:cs="Arial"/>
          <w:b/>
          <w:color w:val="0070C0"/>
          <w:sz w:val="26"/>
          <w:szCs w:val="26"/>
        </w:rPr>
        <w:t>N</w:t>
      </w:r>
      <w:r w:rsidR="003F4719" w:rsidRPr="00FD016C">
        <w:rPr>
          <w:rFonts w:ascii="Verdana" w:hAnsi="Verdana" w:cs="Arial"/>
          <w:b/>
          <w:color w:val="0070C0"/>
          <w:sz w:val="26"/>
          <w:szCs w:val="26"/>
        </w:rPr>
        <w:t>OTA 3</w:t>
      </w:r>
      <w:r w:rsidR="0058585B" w:rsidRPr="00FD016C">
        <w:rPr>
          <w:rFonts w:ascii="Verdana" w:hAnsi="Verdana" w:cs="Arial"/>
          <w:b/>
          <w:color w:val="0070C0"/>
          <w:sz w:val="26"/>
          <w:szCs w:val="26"/>
        </w:rPr>
        <w:t>6</w:t>
      </w:r>
      <w:r w:rsidR="003F4719" w:rsidRPr="00FD016C">
        <w:rPr>
          <w:rFonts w:ascii="Verdana" w:hAnsi="Verdana" w:cs="Arial"/>
          <w:b/>
          <w:color w:val="0070C0"/>
          <w:sz w:val="26"/>
          <w:szCs w:val="26"/>
        </w:rPr>
        <w:t xml:space="preserve"> - TAXAS REGULAMENTARES</w:t>
      </w:r>
    </w:p>
    <w:p w14:paraId="1E1F8D3A" w14:textId="77777777" w:rsidR="00CD7E31" w:rsidRPr="00FD016C" w:rsidRDefault="00CD7E31" w:rsidP="005144E2">
      <w:pPr>
        <w:keepNext/>
        <w:widowControl/>
        <w:jc w:val="both"/>
        <w:outlineLvl w:val="0"/>
        <w:rPr>
          <w:rFonts w:ascii="Verdana" w:hAnsi="Verdana" w:cs="Arial"/>
          <w:b/>
          <w:sz w:val="20"/>
          <w:szCs w:val="20"/>
        </w:rPr>
      </w:pPr>
    </w:p>
    <w:p w14:paraId="235B3BCC" w14:textId="77777777" w:rsidR="00F807B2" w:rsidRPr="00FD016C" w:rsidRDefault="00F807B2" w:rsidP="005144E2">
      <w:pPr>
        <w:keepNext/>
        <w:widowControl/>
        <w:jc w:val="both"/>
        <w:outlineLvl w:val="0"/>
        <w:rPr>
          <w:rFonts w:ascii="Verdana" w:hAnsi="Verdana" w:cs="Arial"/>
          <w:b/>
          <w:sz w:val="20"/>
          <w:szCs w:val="20"/>
        </w:rPr>
      </w:pPr>
    </w:p>
    <w:p w14:paraId="3B79BCCB" w14:textId="77777777" w:rsidR="002B2581" w:rsidRPr="00FD016C" w:rsidRDefault="002B2581" w:rsidP="005144E2">
      <w:pPr>
        <w:keepNext/>
        <w:widowControl/>
        <w:jc w:val="both"/>
        <w:outlineLvl w:val="0"/>
        <w:rPr>
          <w:rFonts w:ascii="Verdana" w:hAnsi="Verdana" w:cs="Arial"/>
          <w:sz w:val="20"/>
          <w:szCs w:val="20"/>
        </w:rPr>
      </w:pPr>
      <w:r w:rsidRPr="00FD016C">
        <w:rPr>
          <w:rFonts w:ascii="Verdana" w:hAnsi="Verdana" w:cs="Arial"/>
          <w:sz w:val="20"/>
          <w:szCs w:val="20"/>
        </w:rPr>
        <w:t>A Companhia incorreu, durante o período, nos seguintes encargos do setor elétrico, apropriados ao resultado:</w:t>
      </w:r>
    </w:p>
    <w:p w14:paraId="6DE85892" w14:textId="0966B13B" w:rsidR="00A7699D" w:rsidRPr="00FD016C" w:rsidRDefault="00A7699D" w:rsidP="005144E2">
      <w:pPr>
        <w:keepNext/>
        <w:widowControl/>
        <w:jc w:val="both"/>
        <w:outlineLvl w:val="0"/>
        <w:rPr>
          <w:rFonts w:ascii="Verdana" w:hAnsi="Verdana" w:cs="Arial"/>
          <w:sz w:val="20"/>
          <w:szCs w:val="20"/>
        </w:rPr>
      </w:pPr>
    </w:p>
    <w:p w14:paraId="484C7F9A" w14:textId="18506795" w:rsidR="005D0370" w:rsidRPr="00FD016C" w:rsidRDefault="005337DE" w:rsidP="005144E2">
      <w:pPr>
        <w:keepNext/>
        <w:widowControl/>
        <w:jc w:val="both"/>
        <w:outlineLvl w:val="0"/>
        <w:rPr>
          <w:rFonts w:ascii="Verdana" w:hAnsi="Verdana" w:cs="Arial"/>
          <w:sz w:val="20"/>
          <w:szCs w:val="20"/>
        </w:rPr>
      </w:pPr>
      <w:r w:rsidRPr="00FD016C">
        <w:rPr>
          <w:noProof/>
        </w:rPr>
        <w:drawing>
          <wp:inline distT="0" distB="0" distL="0" distR="0" wp14:anchorId="64E291C6" wp14:editId="1E9B9406">
            <wp:extent cx="6073140" cy="1769550"/>
            <wp:effectExtent l="0" t="0" r="3810" b="254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73140" cy="1769550"/>
                    </a:xfrm>
                    <a:prstGeom prst="rect">
                      <a:avLst/>
                    </a:prstGeom>
                    <a:noFill/>
                    <a:ln>
                      <a:noFill/>
                    </a:ln>
                  </pic:spPr>
                </pic:pic>
              </a:graphicData>
            </a:graphic>
          </wp:inline>
        </w:drawing>
      </w:r>
    </w:p>
    <w:p w14:paraId="39C81834" w14:textId="063FA7E6" w:rsidR="00D20A93" w:rsidRPr="00FD016C" w:rsidRDefault="00D20A93" w:rsidP="005144E2">
      <w:pPr>
        <w:keepNext/>
        <w:widowControl/>
        <w:jc w:val="both"/>
        <w:outlineLvl w:val="0"/>
        <w:rPr>
          <w:rFonts w:ascii="Verdana" w:hAnsi="Verdana" w:cs="Arial"/>
          <w:sz w:val="20"/>
          <w:szCs w:val="20"/>
        </w:rPr>
      </w:pPr>
    </w:p>
    <w:p w14:paraId="661B8ED7" w14:textId="77777777" w:rsidR="00F807B2" w:rsidRPr="00FD016C" w:rsidRDefault="00F807B2" w:rsidP="005144E2">
      <w:pPr>
        <w:widowControl/>
        <w:tabs>
          <w:tab w:val="left" w:pos="180"/>
          <w:tab w:val="left" w:pos="360"/>
        </w:tabs>
        <w:jc w:val="both"/>
        <w:rPr>
          <w:rFonts w:ascii="Verdana" w:hAnsi="Verdana" w:cs="Arial"/>
          <w:b/>
          <w:sz w:val="20"/>
          <w:szCs w:val="20"/>
        </w:rPr>
      </w:pPr>
    </w:p>
    <w:p w14:paraId="32A44A64" w14:textId="77777777" w:rsidR="00776BBE" w:rsidRPr="00FD016C" w:rsidRDefault="00776BBE" w:rsidP="005144E2">
      <w:pPr>
        <w:widowControl/>
        <w:tabs>
          <w:tab w:val="left" w:pos="180"/>
          <w:tab w:val="left" w:pos="360"/>
        </w:tabs>
        <w:jc w:val="both"/>
        <w:rPr>
          <w:rFonts w:ascii="Verdana" w:hAnsi="Verdana" w:cs="Arial"/>
          <w:b/>
          <w:sz w:val="20"/>
          <w:szCs w:val="20"/>
        </w:rPr>
      </w:pPr>
    </w:p>
    <w:p w14:paraId="313E2B54" w14:textId="67BED79E" w:rsidR="003F4719" w:rsidRPr="00FD016C" w:rsidRDefault="003F4719" w:rsidP="005144E2">
      <w:pPr>
        <w:widowControl/>
        <w:tabs>
          <w:tab w:val="left" w:pos="180"/>
          <w:tab w:val="left" w:pos="360"/>
        </w:tabs>
        <w:jc w:val="both"/>
        <w:rPr>
          <w:rFonts w:ascii="Verdana" w:hAnsi="Verdana" w:cs="Arial"/>
          <w:b/>
          <w:color w:val="0070C0"/>
          <w:sz w:val="26"/>
          <w:szCs w:val="26"/>
        </w:rPr>
      </w:pPr>
      <w:r w:rsidRPr="00FD016C">
        <w:rPr>
          <w:rFonts w:ascii="Verdana" w:hAnsi="Verdana" w:cs="Arial"/>
          <w:b/>
          <w:color w:val="0070C0"/>
          <w:sz w:val="26"/>
          <w:szCs w:val="26"/>
        </w:rPr>
        <w:t>NOTA 3</w:t>
      </w:r>
      <w:r w:rsidR="0058585B" w:rsidRPr="00FD016C">
        <w:rPr>
          <w:rFonts w:ascii="Verdana" w:hAnsi="Verdana" w:cs="Arial"/>
          <w:b/>
          <w:color w:val="0070C0"/>
          <w:sz w:val="26"/>
          <w:szCs w:val="26"/>
        </w:rPr>
        <w:t>7</w:t>
      </w:r>
      <w:r w:rsidRPr="00FD016C">
        <w:rPr>
          <w:rFonts w:ascii="Verdana" w:hAnsi="Verdana" w:cs="Arial"/>
          <w:b/>
          <w:color w:val="0070C0"/>
          <w:sz w:val="26"/>
          <w:szCs w:val="26"/>
        </w:rPr>
        <w:t xml:space="preserve"> – SEGUROS</w:t>
      </w:r>
    </w:p>
    <w:p w14:paraId="5D2B1761" w14:textId="477A4292" w:rsidR="00CD7E31" w:rsidRPr="00FD016C" w:rsidRDefault="00CD7E31" w:rsidP="005144E2">
      <w:pPr>
        <w:widowControl/>
        <w:jc w:val="both"/>
        <w:rPr>
          <w:rFonts w:ascii="Verdana" w:hAnsi="Verdana" w:cs="Arial"/>
          <w:bCs/>
          <w:sz w:val="20"/>
          <w:szCs w:val="20"/>
        </w:rPr>
      </w:pPr>
    </w:p>
    <w:p w14:paraId="0621CA03" w14:textId="77777777" w:rsidR="00F807B2" w:rsidRPr="00FD016C" w:rsidRDefault="00F807B2" w:rsidP="005144E2">
      <w:pPr>
        <w:widowControl/>
        <w:jc w:val="both"/>
        <w:rPr>
          <w:rFonts w:ascii="Verdana" w:hAnsi="Verdana" w:cs="Arial"/>
          <w:bCs/>
          <w:sz w:val="20"/>
          <w:szCs w:val="20"/>
        </w:rPr>
      </w:pPr>
    </w:p>
    <w:p w14:paraId="592CBD8D" w14:textId="77777777"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A Companhia mantém uma política de seguros considerada pela administração como suficiente para cobrir eventuais perdas, considerando os principais ativos, bem como a responsabilidade civil inerente a suas atividades. </w:t>
      </w:r>
    </w:p>
    <w:p w14:paraId="2470B7D8" w14:textId="77777777" w:rsidR="003F4719" w:rsidRPr="00FD016C" w:rsidRDefault="003F4719" w:rsidP="005144E2">
      <w:pPr>
        <w:widowControl/>
        <w:jc w:val="both"/>
        <w:rPr>
          <w:rFonts w:ascii="Verdana" w:hAnsi="Verdana" w:cs="Arial"/>
          <w:sz w:val="20"/>
          <w:szCs w:val="20"/>
        </w:rPr>
      </w:pPr>
    </w:p>
    <w:p w14:paraId="1349A958" w14:textId="122A1458"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Os valores segurados referem-se ao total das apólices vigentes para reembolso em caso de sinistro, representados pela quantidade de moeda de origem convertida para reais, pela respectiva cotação na data das demonstrações financeiras</w:t>
      </w:r>
      <w:r w:rsidR="007C68A4" w:rsidRPr="00FD016C">
        <w:rPr>
          <w:rFonts w:ascii="Verdana" w:hAnsi="Verdana" w:cs="Arial"/>
          <w:sz w:val="20"/>
          <w:szCs w:val="20"/>
        </w:rPr>
        <w:t>.</w:t>
      </w:r>
    </w:p>
    <w:p w14:paraId="735B27AB" w14:textId="77777777" w:rsidR="00464040" w:rsidRPr="00FD016C" w:rsidRDefault="00464040" w:rsidP="005144E2">
      <w:pPr>
        <w:widowControl/>
        <w:jc w:val="both"/>
        <w:rPr>
          <w:rFonts w:ascii="Verdana" w:hAnsi="Verdana" w:cs="Arial"/>
          <w:sz w:val="20"/>
          <w:szCs w:val="20"/>
        </w:rPr>
      </w:pPr>
    </w:p>
    <w:p w14:paraId="4E418111" w14:textId="652B3521" w:rsidR="006A16FF" w:rsidRPr="00FD016C" w:rsidRDefault="003F4719" w:rsidP="005144E2">
      <w:pPr>
        <w:jc w:val="both"/>
        <w:rPr>
          <w:rFonts w:ascii="Verdana" w:hAnsi="Verdana" w:cs="Arial"/>
          <w:sz w:val="20"/>
          <w:szCs w:val="20"/>
        </w:rPr>
      </w:pPr>
      <w:r w:rsidRPr="00FD016C">
        <w:rPr>
          <w:rFonts w:ascii="Verdana" w:hAnsi="Verdana" w:cs="Arial"/>
          <w:sz w:val="20"/>
          <w:szCs w:val="20"/>
        </w:rPr>
        <w:t>Como prêmio, estão apresentados os valores pagos e a pagar das apólices</w:t>
      </w:r>
      <w:r w:rsidR="006F1BF2" w:rsidRPr="00FD016C">
        <w:rPr>
          <w:rFonts w:ascii="Verdana" w:hAnsi="Verdana" w:cs="Arial"/>
          <w:sz w:val="20"/>
          <w:szCs w:val="20"/>
        </w:rPr>
        <w:t>,</w:t>
      </w:r>
      <w:r w:rsidRPr="00FD016C">
        <w:rPr>
          <w:rFonts w:ascii="Verdana" w:hAnsi="Verdana" w:cs="Arial"/>
          <w:sz w:val="20"/>
          <w:szCs w:val="20"/>
        </w:rPr>
        <w:t xml:space="preserve"> na moeda de origem, atualizados para equivalente em reais pela respectiva cotação na data das demonstrações financeiras</w:t>
      </w:r>
      <w:r w:rsidR="007C68A4" w:rsidRPr="00FD016C">
        <w:rPr>
          <w:rFonts w:ascii="Verdana" w:hAnsi="Verdana" w:cs="Arial"/>
          <w:sz w:val="20"/>
          <w:szCs w:val="20"/>
        </w:rPr>
        <w:t>.</w:t>
      </w:r>
    </w:p>
    <w:p w14:paraId="50BAF769" w14:textId="77777777" w:rsidR="00FC3FD7" w:rsidRPr="00FD016C" w:rsidRDefault="00FC3FD7" w:rsidP="005144E2">
      <w:pPr>
        <w:jc w:val="both"/>
        <w:rPr>
          <w:rFonts w:ascii="Verdana" w:hAnsi="Verdana" w:cs="Arial"/>
          <w:sz w:val="20"/>
          <w:szCs w:val="20"/>
        </w:rPr>
      </w:pPr>
    </w:p>
    <w:p w14:paraId="0EF4F6CF" w14:textId="77777777" w:rsidR="00FC3FD7" w:rsidRPr="00FD016C" w:rsidRDefault="00FC3FD7" w:rsidP="005144E2">
      <w:pPr>
        <w:jc w:val="both"/>
        <w:rPr>
          <w:rFonts w:ascii="Verdana" w:hAnsi="Verdana" w:cs="Arial"/>
          <w:sz w:val="20"/>
          <w:szCs w:val="20"/>
        </w:rPr>
      </w:pPr>
    </w:p>
    <w:p w14:paraId="4201524D" w14:textId="77777777" w:rsidR="006A16FF" w:rsidRPr="00FD016C" w:rsidRDefault="006A16FF" w:rsidP="005144E2">
      <w:pPr>
        <w:jc w:val="both"/>
        <w:rPr>
          <w:rFonts w:ascii="Verdana" w:hAnsi="Verdana" w:cs="Arial"/>
          <w:sz w:val="20"/>
          <w:szCs w:val="20"/>
        </w:rPr>
      </w:pPr>
    </w:p>
    <w:p w14:paraId="5935C31F" w14:textId="77777777" w:rsidR="00F601B6" w:rsidRDefault="00F601B6" w:rsidP="005144E2">
      <w:pPr>
        <w:jc w:val="both"/>
        <w:rPr>
          <w:rFonts w:ascii="Verdana" w:hAnsi="Verdana" w:cs="Arial"/>
          <w:sz w:val="20"/>
          <w:szCs w:val="20"/>
        </w:rPr>
      </w:pPr>
    </w:p>
    <w:p w14:paraId="3511D3FD" w14:textId="77777777" w:rsidR="0093038C" w:rsidRPr="00FD016C" w:rsidRDefault="0093038C" w:rsidP="005144E2">
      <w:pPr>
        <w:jc w:val="both"/>
        <w:rPr>
          <w:rFonts w:ascii="Verdana" w:hAnsi="Verdana" w:cs="Arial"/>
          <w:sz w:val="20"/>
          <w:szCs w:val="20"/>
        </w:rPr>
      </w:pPr>
    </w:p>
    <w:p w14:paraId="4BB3A42A" w14:textId="10D238D0" w:rsidR="00764033" w:rsidRPr="00FD016C" w:rsidRDefault="003F4719" w:rsidP="005144E2">
      <w:pPr>
        <w:widowControl/>
        <w:jc w:val="both"/>
        <w:rPr>
          <w:rFonts w:ascii="Verdana" w:hAnsi="Verdana" w:cs="Arial"/>
          <w:sz w:val="20"/>
          <w:szCs w:val="20"/>
        </w:rPr>
      </w:pPr>
      <w:r w:rsidRPr="00FD016C">
        <w:rPr>
          <w:rFonts w:ascii="Verdana" w:hAnsi="Verdana" w:cs="Arial"/>
          <w:sz w:val="20"/>
          <w:szCs w:val="20"/>
        </w:rPr>
        <w:lastRenderedPageBreak/>
        <w:t xml:space="preserve">O montante global segurado, em </w:t>
      </w:r>
      <w:r w:rsidR="00DF1AA9" w:rsidRPr="00FD016C">
        <w:rPr>
          <w:rFonts w:ascii="Verdana" w:hAnsi="Verdana" w:cs="Arial"/>
          <w:sz w:val="20"/>
          <w:szCs w:val="20"/>
        </w:rPr>
        <w:t>3</w:t>
      </w:r>
      <w:r w:rsidR="0069011D" w:rsidRPr="00FD016C">
        <w:rPr>
          <w:rFonts w:ascii="Verdana" w:hAnsi="Verdana" w:cs="Arial"/>
          <w:sz w:val="20"/>
          <w:szCs w:val="20"/>
        </w:rPr>
        <w:t>0</w:t>
      </w:r>
      <w:r w:rsidR="00F9220F" w:rsidRPr="00FD016C">
        <w:rPr>
          <w:rFonts w:ascii="Verdana" w:hAnsi="Verdana" w:cs="Arial"/>
          <w:sz w:val="20"/>
          <w:szCs w:val="20"/>
        </w:rPr>
        <w:t xml:space="preserve"> de </w:t>
      </w:r>
      <w:r w:rsidR="00772B44" w:rsidRPr="00FD016C">
        <w:rPr>
          <w:rFonts w:ascii="Verdana" w:hAnsi="Verdana" w:cs="Arial"/>
          <w:sz w:val="20"/>
          <w:szCs w:val="20"/>
        </w:rPr>
        <w:t>setembro</w:t>
      </w:r>
      <w:r w:rsidR="00626410" w:rsidRPr="00FD016C">
        <w:rPr>
          <w:rFonts w:ascii="Verdana" w:hAnsi="Verdana" w:cs="Arial"/>
          <w:sz w:val="20"/>
          <w:szCs w:val="20"/>
        </w:rPr>
        <w:t xml:space="preserve"> de 202</w:t>
      </w:r>
      <w:r w:rsidR="00B031F2" w:rsidRPr="00FD016C">
        <w:rPr>
          <w:rFonts w:ascii="Verdana" w:hAnsi="Verdana" w:cs="Arial"/>
          <w:sz w:val="20"/>
          <w:szCs w:val="20"/>
        </w:rPr>
        <w:t>1</w:t>
      </w:r>
      <w:r w:rsidRPr="00FD016C">
        <w:rPr>
          <w:rFonts w:ascii="Verdana" w:hAnsi="Verdana" w:cs="Arial"/>
          <w:sz w:val="20"/>
          <w:szCs w:val="20"/>
        </w:rPr>
        <w:t>, é de R$</w:t>
      </w:r>
      <w:r w:rsidR="009D722C" w:rsidRPr="00FD016C">
        <w:rPr>
          <w:rFonts w:ascii="Verdana" w:hAnsi="Verdana" w:cs="Arial"/>
          <w:sz w:val="20"/>
          <w:szCs w:val="20"/>
        </w:rPr>
        <w:t xml:space="preserve"> </w:t>
      </w:r>
      <w:r w:rsidR="00805EDF" w:rsidRPr="00FD016C">
        <w:rPr>
          <w:rFonts w:ascii="Verdana" w:hAnsi="Verdana" w:cs="Arial"/>
          <w:sz w:val="20"/>
          <w:szCs w:val="20"/>
        </w:rPr>
        <w:t>34.349.537</w:t>
      </w:r>
      <w:r w:rsidRPr="00FD016C">
        <w:rPr>
          <w:rFonts w:ascii="Verdana" w:hAnsi="Verdana" w:cs="Arial"/>
          <w:sz w:val="20"/>
          <w:szCs w:val="20"/>
        </w:rPr>
        <w:t xml:space="preserve"> e está assim distribuído:</w:t>
      </w:r>
    </w:p>
    <w:p w14:paraId="2DDCAC41" w14:textId="45ADB101" w:rsidR="00764033" w:rsidRPr="00FD016C" w:rsidRDefault="00E74865" w:rsidP="005144E2">
      <w:pPr>
        <w:widowControl/>
        <w:jc w:val="both"/>
        <w:rPr>
          <w:rFonts w:ascii="Verdana" w:hAnsi="Verdana" w:cs="Arial"/>
          <w:sz w:val="20"/>
          <w:szCs w:val="20"/>
        </w:rPr>
      </w:pPr>
      <w:r w:rsidRPr="00FD016C">
        <w:rPr>
          <w:rFonts w:ascii="Verdana" w:hAnsi="Verdana" w:cs="Arial"/>
          <w:sz w:val="20"/>
          <w:szCs w:val="20"/>
        </w:rPr>
        <w:t xml:space="preserve"> </w:t>
      </w:r>
    </w:p>
    <w:p w14:paraId="122AC92E" w14:textId="7B1589BB" w:rsidR="00BA4762" w:rsidRPr="00FD016C" w:rsidRDefault="00805EDF" w:rsidP="005144E2">
      <w:pPr>
        <w:widowControl/>
        <w:jc w:val="both"/>
        <w:rPr>
          <w:rFonts w:ascii="Verdana" w:hAnsi="Verdana" w:cs="Arial"/>
          <w:sz w:val="20"/>
          <w:szCs w:val="20"/>
        </w:rPr>
      </w:pPr>
      <w:r w:rsidRPr="00FD016C">
        <w:rPr>
          <w:noProof/>
        </w:rPr>
        <w:drawing>
          <wp:inline distT="0" distB="0" distL="0" distR="0" wp14:anchorId="038A9496" wp14:editId="4EAC6D10">
            <wp:extent cx="6073140" cy="2183319"/>
            <wp:effectExtent l="0" t="0" r="3810" b="7620"/>
            <wp:docPr id="70" name="Image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73140" cy="2183319"/>
                    </a:xfrm>
                    <a:prstGeom prst="rect">
                      <a:avLst/>
                    </a:prstGeom>
                    <a:noFill/>
                    <a:ln>
                      <a:noFill/>
                    </a:ln>
                  </pic:spPr>
                </pic:pic>
              </a:graphicData>
            </a:graphic>
          </wp:inline>
        </w:drawing>
      </w:r>
    </w:p>
    <w:p w14:paraId="10A24AA2" w14:textId="77777777" w:rsidR="0015679B" w:rsidRPr="00FD016C" w:rsidRDefault="0015679B" w:rsidP="005144E2">
      <w:pPr>
        <w:widowControl/>
        <w:jc w:val="both"/>
        <w:rPr>
          <w:rFonts w:ascii="Verdana" w:hAnsi="Verdana" w:cs="Arial"/>
          <w:b/>
          <w:sz w:val="20"/>
          <w:szCs w:val="20"/>
        </w:rPr>
      </w:pPr>
    </w:p>
    <w:p w14:paraId="0645CA44" w14:textId="77777777" w:rsidR="00540557" w:rsidRPr="00FD016C" w:rsidRDefault="00540557" w:rsidP="005144E2">
      <w:pPr>
        <w:widowControl/>
        <w:jc w:val="both"/>
        <w:rPr>
          <w:rFonts w:ascii="Verdana" w:hAnsi="Verdana" w:cs="Arial"/>
          <w:b/>
          <w:sz w:val="20"/>
          <w:szCs w:val="20"/>
        </w:rPr>
      </w:pPr>
    </w:p>
    <w:p w14:paraId="1EB2B262" w14:textId="77777777" w:rsidR="00BE297D" w:rsidRPr="00FD016C" w:rsidRDefault="00BE297D" w:rsidP="005144E2">
      <w:pPr>
        <w:widowControl/>
        <w:jc w:val="both"/>
        <w:rPr>
          <w:rFonts w:ascii="Verdana" w:hAnsi="Verdana" w:cs="Arial"/>
          <w:b/>
          <w:sz w:val="20"/>
          <w:szCs w:val="20"/>
        </w:rPr>
      </w:pPr>
    </w:p>
    <w:p w14:paraId="108B8735" w14:textId="0528F9A4" w:rsidR="003F4719" w:rsidRPr="00FD016C" w:rsidRDefault="003F4719" w:rsidP="005144E2">
      <w:pPr>
        <w:widowControl/>
        <w:jc w:val="both"/>
        <w:outlineLvl w:val="0"/>
        <w:rPr>
          <w:rFonts w:ascii="Verdana" w:hAnsi="Verdana" w:cs="Arial"/>
          <w:b/>
          <w:color w:val="0070C0"/>
          <w:sz w:val="26"/>
          <w:szCs w:val="26"/>
        </w:rPr>
      </w:pPr>
      <w:r w:rsidRPr="00FD016C">
        <w:rPr>
          <w:rFonts w:ascii="Verdana" w:hAnsi="Verdana" w:cs="Arial"/>
          <w:b/>
          <w:color w:val="0070C0"/>
          <w:sz w:val="26"/>
          <w:szCs w:val="26"/>
        </w:rPr>
        <w:t>NOTA 3</w:t>
      </w:r>
      <w:r w:rsidR="0058585B" w:rsidRPr="00FD016C">
        <w:rPr>
          <w:rFonts w:ascii="Verdana" w:hAnsi="Verdana" w:cs="Arial"/>
          <w:b/>
          <w:color w:val="0070C0"/>
          <w:sz w:val="26"/>
          <w:szCs w:val="26"/>
        </w:rPr>
        <w:t>8</w:t>
      </w:r>
      <w:r w:rsidRPr="00FD016C">
        <w:rPr>
          <w:rFonts w:ascii="Verdana" w:hAnsi="Verdana" w:cs="Arial"/>
          <w:b/>
          <w:color w:val="0070C0"/>
          <w:sz w:val="26"/>
          <w:szCs w:val="26"/>
        </w:rPr>
        <w:t xml:space="preserve"> – COMPROMISSOS</w:t>
      </w:r>
    </w:p>
    <w:p w14:paraId="3D9F8EEE" w14:textId="77777777" w:rsidR="0056129C" w:rsidRPr="00FD016C" w:rsidRDefault="0056129C" w:rsidP="005144E2">
      <w:pPr>
        <w:widowControl/>
        <w:jc w:val="both"/>
        <w:rPr>
          <w:rFonts w:ascii="Verdana" w:hAnsi="Verdana" w:cs="Arial"/>
          <w:sz w:val="20"/>
          <w:szCs w:val="20"/>
        </w:rPr>
      </w:pPr>
    </w:p>
    <w:p w14:paraId="5B0CD4C6" w14:textId="77777777" w:rsidR="007F4852" w:rsidRPr="00FD016C" w:rsidRDefault="007F4852" w:rsidP="005144E2">
      <w:pPr>
        <w:widowControl/>
        <w:jc w:val="both"/>
        <w:rPr>
          <w:rFonts w:ascii="Verdana" w:hAnsi="Verdana" w:cs="Arial"/>
          <w:sz w:val="20"/>
          <w:szCs w:val="20"/>
        </w:rPr>
      </w:pPr>
    </w:p>
    <w:p w14:paraId="2D3B1A4D" w14:textId="6CA06B0C"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Além das obrigações registradas no presente balanço, a Companhia possui outros compromissos contratados até a data do balanço, mas ainda não incorridos e cujas realizações ocorrerão nos próximos exercícios, portanto sem registros patrimoniais em 3</w:t>
      </w:r>
      <w:r w:rsidR="006C5145" w:rsidRPr="00FD016C">
        <w:rPr>
          <w:rFonts w:ascii="Verdana" w:hAnsi="Verdana" w:cs="Arial"/>
          <w:sz w:val="20"/>
          <w:szCs w:val="20"/>
        </w:rPr>
        <w:t>0</w:t>
      </w:r>
      <w:r w:rsidRPr="00FD016C">
        <w:rPr>
          <w:rFonts w:ascii="Verdana" w:hAnsi="Verdana" w:cs="Arial"/>
          <w:sz w:val="20"/>
          <w:szCs w:val="20"/>
        </w:rPr>
        <w:t xml:space="preserve"> de </w:t>
      </w:r>
      <w:r w:rsidR="006E77C9" w:rsidRPr="00FD016C">
        <w:rPr>
          <w:rFonts w:ascii="Verdana" w:hAnsi="Verdana" w:cs="Arial"/>
          <w:sz w:val="20"/>
          <w:szCs w:val="20"/>
        </w:rPr>
        <w:t xml:space="preserve">setembro </w:t>
      </w:r>
      <w:r w:rsidR="006C5145" w:rsidRPr="00FD016C">
        <w:rPr>
          <w:rFonts w:ascii="Verdana" w:hAnsi="Verdana" w:cs="Arial"/>
          <w:sz w:val="20"/>
          <w:szCs w:val="20"/>
        </w:rPr>
        <w:t>de 2021</w:t>
      </w:r>
      <w:r w:rsidRPr="00FD016C">
        <w:rPr>
          <w:rFonts w:ascii="Verdana" w:hAnsi="Verdana" w:cs="Arial"/>
          <w:sz w:val="20"/>
          <w:szCs w:val="20"/>
        </w:rPr>
        <w:t>. Trata-se de contratos e t</w:t>
      </w:r>
      <w:r w:rsidR="00FF52B0" w:rsidRPr="00FD016C">
        <w:rPr>
          <w:rFonts w:ascii="Verdana" w:hAnsi="Verdana" w:cs="Arial"/>
          <w:sz w:val="20"/>
          <w:szCs w:val="20"/>
        </w:rPr>
        <w:t>ermos de compromissos referentes:</w:t>
      </w:r>
      <w:r w:rsidRPr="00FD016C">
        <w:rPr>
          <w:rFonts w:ascii="Verdana" w:hAnsi="Verdana" w:cs="Arial"/>
          <w:sz w:val="20"/>
          <w:szCs w:val="20"/>
        </w:rPr>
        <w:t xml:space="preserve"> à venda de energia elétrica</w:t>
      </w:r>
      <w:r w:rsidR="006F093D" w:rsidRPr="00FD016C">
        <w:rPr>
          <w:rFonts w:ascii="Verdana" w:hAnsi="Verdana" w:cs="Arial"/>
          <w:sz w:val="20"/>
          <w:szCs w:val="20"/>
        </w:rPr>
        <w:t>,</w:t>
      </w:r>
      <w:r w:rsidRPr="00FD016C">
        <w:rPr>
          <w:rFonts w:ascii="Verdana" w:hAnsi="Verdana" w:cs="Arial"/>
          <w:sz w:val="20"/>
          <w:szCs w:val="20"/>
        </w:rPr>
        <w:t xml:space="preserve"> à aquisição de matéria-prima - combustível nuclear - para produção de energia elétrica</w:t>
      </w:r>
      <w:r w:rsidR="006F093D" w:rsidRPr="00FD016C">
        <w:rPr>
          <w:rFonts w:ascii="Verdana" w:hAnsi="Verdana" w:cs="Arial"/>
          <w:sz w:val="20"/>
          <w:szCs w:val="20"/>
        </w:rPr>
        <w:t>,</w:t>
      </w:r>
      <w:r w:rsidRPr="00FD016C">
        <w:rPr>
          <w:rFonts w:ascii="Verdana" w:hAnsi="Verdana" w:cs="Arial"/>
          <w:sz w:val="20"/>
          <w:szCs w:val="20"/>
        </w:rPr>
        <w:t xml:space="preserve"> aos compromissos socioambientais vinculados ao empreendimento Angra 3 e </w:t>
      </w:r>
      <w:r w:rsidR="00B77538" w:rsidRPr="00FD016C">
        <w:rPr>
          <w:rFonts w:ascii="Verdana" w:hAnsi="Verdana" w:cs="Arial"/>
          <w:sz w:val="20"/>
          <w:szCs w:val="20"/>
        </w:rPr>
        <w:t xml:space="preserve">à </w:t>
      </w:r>
      <w:r w:rsidRPr="00FD016C">
        <w:rPr>
          <w:rFonts w:ascii="Verdana" w:hAnsi="Verdana" w:cs="Arial"/>
          <w:sz w:val="20"/>
          <w:szCs w:val="20"/>
        </w:rPr>
        <w:t xml:space="preserve">aquisição de bens e serviços para substituições em seu ativo imobilizado, a saber: </w:t>
      </w:r>
    </w:p>
    <w:p w14:paraId="4F6CCDA5" w14:textId="77777777" w:rsidR="0035253A" w:rsidRPr="00FD016C" w:rsidRDefault="0035253A" w:rsidP="005144E2">
      <w:pPr>
        <w:widowControl/>
        <w:jc w:val="both"/>
        <w:rPr>
          <w:rFonts w:ascii="Verdana" w:hAnsi="Verdana" w:cs="Arial"/>
          <w:b/>
          <w:sz w:val="20"/>
          <w:szCs w:val="20"/>
        </w:rPr>
      </w:pPr>
    </w:p>
    <w:p w14:paraId="1C1A0C55" w14:textId="77777777" w:rsidR="0056129C" w:rsidRPr="00FD016C" w:rsidRDefault="0056129C" w:rsidP="005144E2">
      <w:pPr>
        <w:widowControl/>
        <w:jc w:val="both"/>
        <w:rPr>
          <w:rFonts w:ascii="Verdana" w:hAnsi="Verdana" w:cs="Arial"/>
          <w:b/>
          <w:sz w:val="20"/>
          <w:szCs w:val="20"/>
        </w:rPr>
      </w:pPr>
    </w:p>
    <w:p w14:paraId="2E57E71B" w14:textId="3B3E525A" w:rsidR="003F4719" w:rsidRPr="00FD016C" w:rsidRDefault="003F4719" w:rsidP="005144E2">
      <w:pPr>
        <w:widowControl/>
        <w:jc w:val="both"/>
        <w:rPr>
          <w:rFonts w:ascii="Verdana" w:hAnsi="Verdana" w:cs="Arial"/>
          <w:b/>
          <w:color w:val="0070C0"/>
        </w:rPr>
      </w:pPr>
      <w:r w:rsidRPr="00FD016C">
        <w:rPr>
          <w:rFonts w:ascii="Verdana" w:hAnsi="Verdana" w:cs="Arial"/>
          <w:b/>
          <w:color w:val="0070C0"/>
        </w:rPr>
        <w:t>3</w:t>
      </w:r>
      <w:r w:rsidR="0058585B" w:rsidRPr="00FD016C">
        <w:rPr>
          <w:rFonts w:ascii="Verdana" w:hAnsi="Verdana" w:cs="Arial"/>
          <w:b/>
          <w:color w:val="0070C0"/>
        </w:rPr>
        <w:t>8</w:t>
      </w:r>
      <w:r w:rsidRPr="00FD016C">
        <w:rPr>
          <w:rFonts w:ascii="Verdana" w:hAnsi="Verdana" w:cs="Arial"/>
          <w:b/>
          <w:color w:val="0070C0"/>
        </w:rPr>
        <w:t>.1 – Venda de energia elétrica</w:t>
      </w:r>
    </w:p>
    <w:p w14:paraId="7D49C28F" w14:textId="77777777" w:rsidR="003F4719" w:rsidRPr="00FD016C" w:rsidRDefault="003F4719" w:rsidP="005144E2">
      <w:pPr>
        <w:widowControl/>
        <w:jc w:val="both"/>
        <w:rPr>
          <w:rFonts w:ascii="Arial" w:hAnsi="Arial" w:cs="Arial"/>
          <w:b/>
        </w:rPr>
      </w:pPr>
    </w:p>
    <w:p w14:paraId="683BB2CA" w14:textId="6D05901A" w:rsidR="00BA6624" w:rsidRPr="00FD016C" w:rsidRDefault="00BA6624" w:rsidP="00BA6624">
      <w:pPr>
        <w:jc w:val="both"/>
        <w:rPr>
          <w:rFonts w:ascii="Verdana" w:hAnsi="Verdana" w:cs="Arial"/>
          <w:sz w:val="20"/>
          <w:szCs w:val="20"/>
        </w:rPr>
      </w:pPr>
      <w:r w:rsidRPr="00FD016C">
        <w:rPr>
          <w:rFonts w:ascii="Verdana" w:hAnsi="Verdana" w:cs="Arial"/>
          <w:sz w:val="20"/>
          <w:szCs w:val="20"/>
        </w:rPr>
        <w:t xml:space="preserve">Com a regulamentação da Aneel para o dispositivo do art.11, da Lei 12.111/2009 e mediante a edição da Resolução Normativa nº 530, em 21 de dezembro de 2012, toda a receita decorrente da geração das Usinas Angra 1 e 2 será rateada entre todas as concessionárias, permissionárias ou autorizadas de serviço público de distribuição do Sistema Interligado Nacional – SIN, de acordo com as cotas-partes estabelecidas pela Aneel para o período de 2021 a 2028. A Resolução Homologatória Aneel nº 2.821/2020 estabeleceu a receita fixa de R$ 3.424.500 para o ano de 2021, relativa às Centrais de Geração Angra 1 e 2. </w:t>
      </w:r>
    </w:p>
    <w:p w14:paraId="21F829EB" w14:textId="77777777" w:rsidR="0026150C" w:rsidRPr="00FD016C" w:rsidRDefault="0026150C" w:rsidP="005144E2">
      <w:pPr>
        <w:jc w:val="both"/>
        <w:rPr>
          <w:rFonts w:ascii="Verdana" w:hAnsi="Verdana" w:cs="Arial"/>
          <w:sz w:val="20"/>
          <w:szCs w:val="20"/>
        </w:rPr>
      </w:pPr>
    </w:p>
    <w:p w14:paraId="486CD877" w14:textId="77777777" w:rsidR="003F4719" w:rsidRPr="00FD016C" w:rsidRDefault="003F4719" w:rsidP="005144E2">
      <w:pPr>
        <w:pStyle w:val="Default0"/>
        <w:spacing w:line="264" w:lineRule="auto"/>
        <w:jc w:val="both"/>
        <w:rPr>
          <w:rFonts w:ascii="Verdana" w:hAnsi="Verdana" w:cs="Arial"/>
          <w:color w:val="auto"/>
          <w:sz w:val="20"/>
          <w:szCs w:val="20"/>
        </w:rPr>
      </w:pPr>
      <w:r w:rsidRPr="00FD016C">
        <w:rPr>
          <w:rFonts w:ascii="Verdana" w:hAnsi="Verdana" w:cs="Arial"/>
          <w:color w:val="auto"/>
          <w:sz w:val="20"/>
          <w:szCs w:val="20"/>
        </w:rPr>
        <w:t>Conforme está previsto nos procedimentos estabelecidos pela A</w:t>
      </w:r>
      <w:r w:rsidR="005064DD" w:rsidRPr="00FD016C">
        <w:rPr>
          <w:rFonts w:ascii="Verdana" w:hAnsi="Verdana" w:cs="Arial"/>
          <w:color w:val="auto"/>
          <w:sz w:val="20"/>
          <w:szCs w:val="20"/>
        </w:rPr>
        <w:t>neel</w:t>
      </w:r>
      <w:r w:rsidRPr="00FD016C">
        <w:rPr>
          <w:rFonts w:ascii="Verdana" w:hAnsi="Verdana" w:cs="Arial"/>
          <w:color w:val="auto"/>
          <w:sz w:val="20"/>
          <w:szCs w:val="20"/>
        </w:rPr>
        <w:t xml:space="preserve">, as atualizações da receita fixa das </w:t>
      </w:r>
      <w:r w:rsidR="002636AE" w:rsidRPr="00FD016C">
        <w:rPr>
          <w:rFonts w:ascii="Verdana" w:hAnsi="Verdana" w:cs="Arial"/>
          <w:color w:val="auto"/>
          <w:sz w:val="20"/>
          <w:szCs w:val="20"/>
        </w:rPr>
        <w:t>U</w:t>
      </w:r>
      <w:r w:rsidRPr="00FD016C">
        <w:rPr>
          <w:rFonts w:ascii="Verdana" w:hAnsi="Verdana" w:cs="Arial"/>
          <w:color w:val="auto"/>
          <w:sz w:val="20"/>
          <w:szCs w:val="20"/>
        </w:rPr>
        <w:t>sinas Angra 1 e 2 ocorrerão nas seguintes condições:</w:t>
      </w:r>
    </w:p>
    <w:p w14:paraId="12B91AA2" w14:textId="77777777" w:rsidR="00E87487" w:rsidRPr="00FD016C" w:rsidRDefault="00E87487" w:rsidP="005144E2">
      <w:pPr>
        <w:pStyle w:val="Default0"/>
        <w:spacing w:line="264" w:lineRule="auto"/>
        <w:jc w:val="both"/>
        <w:rPr>
          <w:rFonts w:ascii="Verdana" w:hAnsi="Verdana" w:cs="Arial"/>
          <w:color w:val="auto"/>
          <w:sz w:val="20"/>
          <w:szCs w:val="20"/>
        </w:rPr>
      </w:pPr>
    </w:p>
    <w:p w14:paraId="623F84AD" w14:textId="77777777" w:rsidR="003F4719" w:rsidRPr="00FD016C"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FD016C">
        <w:rPr>
          <w:rFonts w:ascii="Verdana" w:hAnsi="Verdana" w:cs="Arial"/>
          <w:color w:val="auto"/>
          <w:sz w:val="20"/>
          <w:szCs w:val="20"/>
        </w:rPr>
        <w:t>Reajustes tarifários anuais, representados pela atualização infla</w:t>
      </w:r>
      <w:r w:rsidR="00B77538" w:rsidRPr="00FD016C">
        <w:rPr>
          <w:rFonts w:ascii="Verdana" w:hAnsi="Verdana" w:cs="Arial"/>
          <w:color w:val="auto"/>
          <w:sz w:val="20"/>
          <w:szCs w:val="20"/>
        </w:rPr>
        <w:t>cionária dos valores do período;</w:t>
      </w:r>
    </w:p>
    <w:p w14:paraId="39D1DA28" w14:textId="77777777" w:rsidR="003F4719" w:rsidRPr="00FD016C" w:rsidRDefault="003F4719" w:rsidP="00FF52B0">
      <w:pPr>
        <w:pStyle w:val="Default0"/>
        <w:numPr>
          <w:ilvl w:val="0"/>
          <w:numId w:val="15"/>
        </w:numPr>
        <w:adjustRightInd/>
        <w:spacing w:line="264" w:lineRule="auto"/>
        <w:ind w:left="1418" w:hanging="425"/>
        <w:jc w:val="both"/>
        <w:rPr>
          <w:rFonts w:ascii="Verdana" w:hAnsi="Verdana" w:cs="Arial"/>
          <w:color w:val="auto"/>
          <w:sz w:val="20"/>
          <w:szCs w:val="20"/>
        </w:rPr>
      </w:pPr>
      <w:r w:rsidRPr="00FD016C">
        <w:rPr>
          <w:rFonts w:ascii="Verdana" w:hAnsi="Verdana" w:cs="Arial"/>
          <w:color w:val="auto"/>
          <w:sz w:val="20"/>
          <w:szCs w:val="20"/>
        </w:rPr>
        <w:t xml:space="preserve">Revisões tarifárias </w:t>
      </w:r>
      <w:r w:rsidR="00B77538" w:rsidRPr="00FD016C">
        <w:rPr>
          <w:rFonts w:ascii="Verdana" w:hAnsi="Verdana" w:cs="Arial"/>
          <w:color w:val="auto"/>
          <w:sz w:val="20"/>
          <w:szCs w:val="20"/>
        </w:rPr>
        <w:t>a cada intervalo de três anos;</w:t>
      </w:r>
    </w:p>
    <w:p w14:paraId="015461D4" w14:textId="77777777" w:rsidR="00893A72" w:rsidRPr="00FD016C" w:rsidRDefault="00893A72" w:rsidP="00893A72">
      <w:pPr>
        <w:pStyle w:val="Default0"/>
        <w:adjustRightInd/>
        <w:spacing w:line="264" w:lineRule="auto"/>
        <w:jc w:val="both"/>
        <w:rPr>
          <w:rFonts w:ascii="Verdana" w:hAnsi="Verdana" w:cs="Arial"/>
          <w:color w:val="auto"/>
          <w:sz w:val="20"/>
          <w:szCs w:val="20"/>
        </w:rPr>
      </w:pPr>
    </w:p>
    <w:p w14:paraId="5EDF92C3" w14:textId="77777777" w:rsidR="0004669E" w:rsidRPr="00FD016C" w:rsidRDefault="003F4719" w:rsidP="0004669E">
      <w:pPr>
        <w:pStyle w:val="PargrafodaLista"/>
        <w:widowControl/>
        <w:numPr>
          <w:ilvl w:val="0"/>
          <w:numId w:val="15"/>
        </w:numPr>
        <w:autoSpaceDE w:val="0"/>
        <w:autoSpaceDN w:val="0"/>
        <w:ind w:left="1418" w:hanging="425"/>
        <w:jc w:val="both"/>
        <w:rPr>
          <w:rFonts w:ascii="Verdana" w:hAnsi="Verdana" w:cs="Arial"/>
          <w:sz w:val="20"/>
          <w:szCs w:val="20"/>
        </w:rPr>
      </w:pPr>
      <w:r w:rsidRPr="00FD016C">
        <w:rPr>
          <w:rFonts w:ascii="Verdana" w:hAnsi="Verdana" w:cs="Arial"/>
          <w:sz w:val="20"/>
          <w:szCs w:val="20"/>
        </w:rPr>
        <w:lastRenderedPageBreak/>
        <w:t xml:space="preserve">Revisões extraordinárias poderão ser realizadas por solicitação da </w:t>
      </w:r>
      <w:r w:rsidR="00E51010" w:rsidRPr="00FD016C">
        <w:rPr>
          <w:rFonts w:ascii="Verdana" w:hAnsi="Verdana" w:cs="Arial"/>
          <w:sz w:val="20"/>
          <w:szCs w:val="20"/>
        </w:rPr>
        <w:t>ELETRONUCLEAR</w:t>
      </w:r>
      <w:r w:rsidRPr="00FD016C">
        <w:rPr>
          <w:rFonts w:ascii="Verdana" w:hAnsi="Verdana" w:cs="Arial"/>
          <w:sz w:val="20"/>
          <w:szCs w:val="20"/>
        </w:rPr>
        <w:t xml:space="preserve"> ou por iniciativa da A</w:t>
      </w:r>
      <w:r w:rsidR="00904EEC" w:rsidRPr="00FD016C">
        <w:rPr>
          <w:rFonts w:ascii="Verdana" w:hAnsi="Verdana" w:cs="Arial"/>
          <w:sz w:val="20"/>
          <w:szCs w:val="20"/>
        </w:rPr>
        <w:t>neel</w:t>
      </w:r>
      <w:r w:rsidRPr="00FD016C">
        <w:rPr>
          <w:rFonts w:ascii="Verdana" w:hAnsi="Verdana" w:cs="Arial"/>
          <w:sz w:val="20"/>
          <w:szCs w:val="20"/>
        </w:rPr>
        <w:t>, para cobertura de custos excepcionais, visando restabelecer o equilíbrio econômico-financeiro dos empreendimentos.</w:t>
      </w:r>
      <w:r w:rsidR="00AB6EE6" w:rsidRPr="00FD016C">
        <w:rPr>
          <w:rFonts w:ascii="Verdana" w:hAnsi="Verdana" w:cs="Arial"/>
          <w:sz w:val="20"/>
          <w:szCs w:val="20"/>
        </w:rPr>
        <w:t xml:space="preserve"> </w:t>
      </w:r>
    </w:p>
    <w:p w14:paraId="32CB0CBF" w14:textId="77777777" w:rsidR="0004669E" w:rsidRPr="00FD016C" w:rsidRDefault="0004669E" w:rsidP="0004669E">
      <w:pPr>
        <w:widowControl/>
        <w:autoSpaceDE w:val="0"/>
        <w:autoSpaceDN w:val="0"/>
        <w:jc w:val="both"/>
        <w:rPr>
          <w:rFonts w:ascii="Verdana" w:hAnsi="Verdana" w:cs="Arial"/>
          <w:sz w:val="20"/>
          <w:szCs w:val="20"/>
        </w:rPr>
      </w:pPr>
    </w:p>
    <w:p w14:paraId="42AB0D4B" w14:textId="2F145812" w:rsidR="003F4719" w:rsidRPr="00FD016C" w:rsidRDefault="00C8329E" w:rsidP="0004669E">
      <w:pPr>
        <w:widowControl/>
        <w:autoSpaceDE w:val="0"/>
        <w:autoSpaceDN w:val="0"/>
        <w:ind w:left="3"/>
        <w:jc w:val="both"/>
        <w:rPr>
          <w:rFonts w:ascii="Verdana" w:hAnsi="Verdana" w:cs="Arial"/>
          <w:sz w:val="20"/>
          <w:szCs w:val="20"/>
        </w:rPr>
      </w:pPr>
      <w:r w:rsidRPr="00FD016C">
        <w:rPr>
          <w:noProof/>
        </w:rPr>
        <w:drawing>
          <wp:inline distT="0" distB="0" distL="0" distR="0" wp14:anchorId="5854CDE1" wp14:editId="526B790D">
            <wp:extent cx="6073140" cy="5579270"/>
            <wp:effectExtent l="0" t="0" r="3810" b="2540"/>
            <wp:docPr id="74" name="Image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73140" cy="5579270"/>
                    </a:xfrm>
                    <a:prstGeom prst="rect">
                      <a:avLst/>
                    </a:prstGeom>
                    <a:noFill/>
                    <a:ln>
                      <a:noFill/>
                    </a:ln>
                  </pic:spPr>
                </pic:pic>
              </a:graphicData>
            </a:graphic>
          </wp:inline>
        </w:drawing>
      </w:r>
    </w:p>
    <w:p w14:paraId="61EBB7B0" w14:textId="77777777" w:rsidR="00D206D7" w:rsidRPr="00FD016C" w:rsidRDefault="00D206D7" w:rsidP="005144E2">
      <w:pPr>
        <w:widowControl/>
        <w:tabs>
          <w:tab w:val="left" w:pos="180"/>
          <w:tab w:val="left" w:pos="360"/>
        </w:tabs>
        <w:jc w:val="both"/>
        <w:rPr>
          <w:rFonts w:ascii="Verdana" w:hAnsi="Verdana" w:cs="Arial"/>
          <w:b/>
          <w:color w:val="0070C0"/>
          <w:sz w:val="20"/>
          <w:szCs w:val="20"/>
        </w:rPr>
      </w:pPr>
    </w:p>
    <w:p w14:paraId="344AF0BF" w14:textId="77777777" w:rsidR="00AB6EE6" w:rsidRPr="00FD016C" w:rsidRDefault="00AB6EE6" w:rsidP="005144E2">
      <w:pPr>
        <w:widowControl/>
        <w:tabs>
          <w:tab w:val="left" w:pos="180"/>
          <w:tab w:val="left" w:pos="360"/>
        </w:tabs>
        <w:jc w:val="both"/>
        <w:rPr>
          <w:rFonts w:ascii="Verdana" w:hAnsi="Verdana" w:cs="Arial"/>
          <w:b/>
          <w:color w:val="0070C0"/>
          <w:sz w:val="20"/>
          <w:szCs w:val="20"/>
        </w:rPr>
      </w:pPr>
    </w:p>
    <w:p w14:paraId="083E53B9"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3D197561"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14B8E7E7"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14A53E58"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22557D01"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44A94A55"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2D9576D9"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59FD1FBF"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5EB7D613"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08774EB1" w14:textId="77777777" w:rsidR="0004669E" w:rsidRPr="00FD016C" w:rsidRDefault="0004669E" w:rsidP="005144E2">
      <w:pPr>
        <w:widowControl/>
        <w:tabs>
          <w:tab w:val="left" w:pos="180"/>
          <w:tab w:val="left" w:pos="360"/>
        </w:tabs>
        <w:jc w:val="both"/>
        <w:rPr>
          <w:rFonts w:ascii="Verdana" w:hAnsi="Verdana" w:cs="Arial"/>
          <w:b/>
          <w:color w:val="0070C0"/>
          <w:sz w:val="20"/>
          <w:szCs w:val="20"/>
        </w:rPr>
      </w:pPr>
    </w:p>
    <w:p w14:paraId="4504CEA6" w14:textId="1E4A97F1" w:rsidR="003F4719" w:rsidRPr="00FD016C" w:rsidRDefault="003F4719" w:rsidP="005144E2">
      <w:pPr>
        <w:widowControl/>
        <w:tabs>
          <w:tab w:val="left" w:pos="180"/>
          <w:tab w:val="left" w:pos="360"/>
        </w:tabs>
        <w:jc w:val="both"/>
        <w:rPr>
          <w:rFonts w:ascii="Verdana" w:hAnsi="Verdana" w:cs="Arial"/>
          <w:b/>
          <w:color w:val="0070C0"/>
        </w:rPr>
      </w:pPr>
      <w:r w:rsidRPr="00FD016C">
        <w:rPr>
          <w:rFonts w:ascii="Verdana" w:hAnsi="Verdana" w:cs="Arial"/>
          <w:b/>
          <w:color w:val="0070C0"/>
        </w:rPr>
        <w:lastRenderedPageBreak/>
        <w:t>3</w:t>
      </w:r>
      <w:r w:rsidR="0058585B" w:rsidRPr="00FD016C">
        <w:rPr>
          <w:rFonts w:ascii="Verdana" w:hAnsi="Verdana" w:cs="Arial"/>
          <w:b/>
          <w:color w:val="0070C0"/>
        </w:rPr>
        <w:t>8</w:t>
      </w:r>
      <w:r w:rsidRPr="00FD016C">
        <w:rPr>
          <w:rFonts w:ascii="Verdana" w:hAnsi="Verdana" w:cs="Arial"/>
          <w:b/>
          <w:color w:val="0070C0"/>
        </w:rPr>
        <w:t>.2 – Combustível nuclear</w:t>
      </w:r>
    </w:p>
    <w:p w14:paraId="430C8A95" w14:textId="77777777" w:rsidR="002C452C" w:rsidRPr="00FD016C" w:rsidRDefault="002C452C" w:rsidP="005144E2">
      <w:pPr>
        <w:widowControl/>
        <w:tabs>
          <w:tab w:val="left" w:pos="180"/>
          <w:tab w:val="left" w:pos="360"/>
        </w:tabs>
        <w:jc w:val="both"/>
        <w:rPr>
          <w:rFonts w:ascii="Verdana" w:hAnsi="Verdana" w:cs="Arial"/>
          <w:b/>
          <w:sz w:val="20"/>
          <w:szCs w:val="20"/>
        </w:rPr>
      </w:pPr>
    </w:p>
    <w:p w14:paraId="7E78818B" w14:textId="21EC69FC" w:rsidR="003F4719" w:rsidRPr="00FD016C" w:rsidRDefault="003F4719" w:rsidP="005144E2">
      <w:pPr>
        <w:widowControl/>
        <w:tabs>
          <w:tab w:val="center" w:pos="4782"/>
          <w:tab w:val="right" w:pos="9564"/>
        </w:tabs>
        <w:jc w:val="both"/>
        <w:rPr>
          <w:rFonts w:ascii="Verdana" w:hAnsi="Verdana" w:cs="Arial"/>
          <w:sz w:val="20"/>
          <w:szCs w:val="20"/>
        </w:rPr>
      </w:pPr>
      <w:r w:rsidRPr="00FD016C">
        <w:rPr>
          <w:rFonts w:ascii="Verdana" w:hAnsi="Verdana" w:cs="Arial"/>
          <w:sz w:val="20"/>
          <w:szCs w:val="20"/>
        </w:rPr>
        <w:t>Contratos assinados com a Indústrias Nucleares Brasileiras</w:t>
      </w:r>
      <w:r w:rsidR="008504B6" w:rsidRPr="00FD016C">
        <w:rPr>
          <w:rFonts w:ascii="Verdana" w:hAnsi="Verdana" w:cs="Arial"/>
          <w:sz w:val="20"/>
          <w:szCs w:val="20"/>
        </w:rPr>
        <w:t xml:space="preserve"> - INB</w:t>
      </w:r>
      <w:r w:rsidRPr="00FD016C">
        <w:rPr>
          <w:rFonts w:ascii="Verdana" w:hAnsi="Verdana" w:cs="Arial"/>
          <w:sz w:val="20"/>
          <w:szCs w:val="20"/>
        </w:rPr>
        <w:t xml:space="preserve">, para aquisição de matéria-prima para produção de energia elétrica e combustível nuclear para as próximas recargas das </w:t>
      </w:r>
      <w:r w:rsidR="002636AE" w:rsidRPr="00FD016C">
        <w:rPr>
          <w:rFonts w:ascii="Verdana" w:hAnsi="Verdana" w:cs="Arial"/>
          <w:sz w:val="20"/>
          <w:szCs w:val="20"/>
        </w:rPr>
        <w:t>U</w:t>
      </w:r>
      <w:r w:rsidRPr="00FD016C">
        <w:rPr>
          <w:rFonts w:ascii="Verdana" w:hAnsi="Verdana" w:cs="Arial"/>
          <w:sz w:val="20"/>
          <w:szCs w:val="20"/>
        </w:rPr>
        <w:t>sinas Angra 1 e Angra 2, bem como a carga inicia</w:t>
      </w:r>
      <w:r w:rsidR="008504B6" w:rsidRPr="00FD016C">
        <w:rPr>
          <w:rFonts w:ascii="Verdana" w:hAnsi="Verdana" w:cs="Arial"/>
          <w:sz w:val="20"/>
          <w:szCs w:val="20"/>
        </w:rPr>
        <w:t>l e futuras recargas de Angra 3</w:t>
      </w:r>
      <w:r w:rsidRPr="00FD016C">
        <w:rPr>
          <w:rFonts w:ascii="Verdana" w:hAnsi="Verdana" w:cs="Arial"/>
          <w:sz w:val="20"/>
          <w:szCs w:val="20"/>
        </w:rPr>
        <w:t xml:space="preserve"> conforme </w:t>
      </w:r>
      <w:r w:rsidR="00C17C30" w:rsidRPr="00FD016C">
        <w:rPr>
          <w:rFonts w:ascii="Verdana" w:hAnsi="Verdana" w:cs="Arial"/>
          <w:sz w:val="20"/>
          <w:szCs w:val="20"/>
        </w:rPr>
        <w:t>quadro demonstrativo a seguir</w:t>
      </w:r>
      <w:r w:rsidR="00653F0F" w:rsidRPr="00FD016C">
        <w:rPr>
          <w:rFonts w:ascii="Verdana" w:hAnsi="Verdana" w:cs="Arial"/>
          <w:sz w:val="20"/>
          <w:szCs w:val="20"/>
        </w:rPr>
        <w:t>:</w:t>
      </w:r>
    </w:p>
    <w:p w14:paraId="1D39B08C" w14:textId="77777777" w:rsidR="00893A72" w:rsidRPr="00FD016C" w:rsidRDefault="00893A72" w:rsidP="005144E2">
      <w:pPr>
        <w:widowControl/>
        <w:tabs>
          <w:tab w:val="center" w:pos="4782"/>
          <w:tab w:val="right" w:pos="9564"/>
        </w:tabs>
        <w:jc w:val="both"/>
        <w:rPr>
          <w:rFonts w:ascii="Verdana" w:hAnsi="Verdana" w:cs="Arial"/>
          <w:sz w:val="20"/>
          <w:szCs w:val="20"/>
        </w:rPr>
      </w:pPr>
    </w:p>
    <w:p w14:paraId="23A23C9C" w14:textId="7C2181B5" w:rsidR="00460E5E" w:rsidRPr="00FD016C" w:rsidRDefault="00C8329E" w:rsidP="005144E2">
      <w:pPr>
        <w:widowControl/>
        <w:tabs>
          <w:tab w:val="center" w:pos="4782"/>
          <w:tab w:val="right" w:pos="9564"/>
        </w:tabs>
        <w:jc w:val="both"/>
        <w:rPr>
          <w:rFonts w:ascii="Verdana" w:hAnsi="Verdana" w:cs="Arial"/>
          <w:sz w:val="20"/>
          <w:szCs w:val="20"/>
        </w:rPr>
      </w:pPr>
      <w:r w:rsidRPr="00FD016C">
        <w:rPr>
          <w:noProof/>
        </w:rPr>
        <w:drawing>
          <wp:inline distT="0" distB="0" distL="0" distR="0" wp14:anchorId="3D0B887D" wp14:editId="3E73D0E4">
            <wp:extent cx="3219450" cy="2486025"/>
            <wp:effectExtent l="0" t="0" r="0" b="9525"/>
            <wp:docPr id="7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p>
    <w:p w14:paraId="7E8A745B" w14:textId="683A7E63" w:rsidR="005A6310" w:rsidRPr="00FD016C" w:rsidRDefault="005A6310" w:rsidP="005144E2">
      <w:pPr>
        <w:widowControl/>
        <w:tabs>
          <w:tab w:val="center" w:pos="4782"/>
          <w:tab w:val="right" w:pos="9564"/>
        </w:tabs>
        <w:jc w:val="both"/>
        <w:rPr>
          <w:rFonts w:ascii="Verdana" w:hAnsi="Verdana" w:cs="Arial"/>
          <w:sz w:val="20"/>
          <w:szCs w:val="20"/>
        </w:rPr>
      </w:pPr>
    </w:p>
    <w:p w14:paraId="32A36A4A" w14:textId="77777777" w:rsidR="009F4079" w:rsidRPr="00FD016C" w:rsidRDefault="009F4079" w:rsidP="005144E2">
      <w:pPr>
        <w:widowControl/>
        <w:tabs>
          <w:tab w:val="center" w:pos="4782"/>
          <w:tab w:val="right" w:pos="9564"/>
        </w:tabs>
        <w:rPr>
          <w:rFonts w:ascii="Verdana" w:hAnsi="Verdana" w:cs="Arial"/>
          <w:b/>
          <w:sz w:val="20"/>
          <w:szCs w:val="20"/>
        </w:rPr>
      </w:pPr>
    </w:p>
    <w:p w14:paraId="4AB72D6B" w14:textId="3C66FD01" w:rsidR="003F4719" w:rsidRPr="00FD016C" w:rsidRDefault="003F4719" w:rsidP="005144E2">
      <w:pPr>
        <w:widowControl/>
        <w:tabs>
          <w:tab w:val="center" w:pos="4782"/>
          <w:tab w:val="right" w:pos="9564"/>
        </w:tabs>
        <w:rPr>
          <w:rFonts w:ascii="Verdana" w:hAnsi="Verdana" w:cs="Arial"/>
          <w:b/>
          <w:color w:val="0070C0"/>
        </w:rPr>
      </w:pPr>
      <w:r w:rsidRPr="00FD016C">
        <w:rPr>
          <w:rFonts w:ascii="Verdana" w:hAnsi="Verdana" w:cs="Arial"/>
          <w:b/>
          <w:color w:val="0070C0"/>
        </w:rPr>
        <w:t>3</w:t>
      </w:r>
      <w:r w:rsidR="0058585B" w:rsidRPr="00FD016C">
        <w:rPr>
          <w:rFonts w:ascii="Verdana" w:hAnsi="Verdana" w:cs="Arial"/>
          <w:b/>
          <w:color w:val="0070C0"/>
        </w:rPr>
        <w:t>8</w:t>
      </w:r>
      <w:r w:rsidRPr="00FD016C">
        <w:rPr>
          <w:rFonts w:ascii="Verdana" w:hAnsi="Verdana" w:cs="Arial"/>
          <w:b/>
          <w:color w:val="0070C0"/>
        </w:rPr>
        <w:t>.3 – Compromissos socioambientais</w:t>
      </w:r>
    </w:p>
    <w:p w14:paraId="7056430D" w14:textId="77777777" w:rsidR="003F4719" w:rsidRPr="00FD016C" w:rsidRDefault="003F4719" w:rsidP="005144E2">
      <w:pPr>
        <w:widowControl/>
        <w:jc w:val="both"/>
        <w:rPr>
          <w:rFonts w:ascii="Verdana" w:hAnsi="Verdana" w:cs="Arial"/>
          <w:sz w:val="20"/>
          <w:szCs w:val="20"/>
        </w:rPr>
      </w:pPr>
    </w:p>
    <w:p w14:paraId="38573A1E" w14:textId="1DBC1BCE" w:rsidR="00D05990"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Termos de compromissos assumidos com os Municípios, nos quais a ELETRONUCLEAR se compromete a celebrar convênios específicos de portes socioambientais, vinculados ao empreendimento Angra 3, visando à execução dos programas e projetos em consonância com as condicionantes </w:t>
      </w:r>
      <w:r w:rsidR="00C17C30" w:rsidRPr="00FD016C">
        <w:rPr>
          <w:rFonts w:ascii="Verdana" w:hAnsi="Verdana" w:cs="Arial"/>
          <w:sz w:val="20"/>
          <w:szCs w:val="20"/>
        </w:rPr>
        <w:t xml:space="preserve">estabelecidas pelo Instituto Brasileiro do Meio Ambiente e dos Recursos Naturais Renováveis </w:t>
      </w:r>
      <w:r w:rsidR="002426D1" w:rsidRPr="00FD016C">
        <w:rPr>
          <w:rFonts w:ascii="Verdana" w:hAnsi="Verdana" w:cs="Arial"/>
          <w:sz w:val="20"/>
          <w:szCs w:val="20"/>
        </w:rPr>
        <w:t>–</w:t>
      </w:r>
      <w:r w:rsidR="00C17C30" w:rsidRPr="00FD016C">
        <w:rPr>
          <w:rFonts w:ascii="Verdana" w:hAnsi="Verdana" w:cs="Arial"/>
          <w:sz w:val="20"/>
          <w:szCs w:val="20"/>
        </w:rPr>
        <w:t xml:space="preserve"> I</w:t>
      </w:r>
      <w:r w:rsidR="005064DD" w:rsidRPr="00FD016C">
        <w:rPr>
          <w:rFonts w:ascii="Verdana" w:hAnsi="Verdana" w:cs="Arial"/>
          <w:sz w:val="20"/>
          <w:szCs w:val="20"/>
        </w:rPr>
        <w:t>bama</w:t>
      </w:r>
      <w:r w:rsidR="00C209FF" w:rsidRPr="00FD016C">
        <w:rPr>
          <w:rFonts w:ascii="Verdana" w:hAnsi="Verdana" w:cs="Arial"/>
          <w:sz w:val="20"/>
          <w:szCs w:val="20"/>
        </w:rPr>
        <w:t xml:space="preserve"> </w:t>
      </w:r>
      <w:r w:rsidRPr="00FD016C">
        <w:rPr>
          <w:rFonts w:ascii="Verdana" w:hAnsi="Verdana" w:cs="Arial"/>
          <w:sz w:val="20"/>
          <w:szCs w:val="20"/>
        </w:rPr>
        <w:t>conforme quadro demonstrativo a seguir:</w:t>
      </w:r>
    </w:p>
    <w:p w14:paraId="16FD4DFF" w14:textId="77777777" w:rsidR="0004669E" w:rsidRPr="00FD016C" w:rsidRDefault="0004669E" w:rsidP="005144E2">
      <w:pPr>
        <w:widowControl/>
        <w:jc w:val="both"/>
        <w:rPr>
          <w:rFonts w:ascii="Verdana" w:hAnsi="Verdana" w:cs="Arial"/>
          <w:sz w:val="20"/>
          <w:szCs w:val="20"/>
        </w:rPr>
      </w:pPr>
    </w:p>
    <w:p w14:paraId="14D5AC2D" w14:textId="5DCF7EFB" w:rsidR="002C452C" w:rsidRPr="00FD016C" w:rsidRDefault="00824EC0" w:rsidP="005144E2">
      <w:pPr>
        <w:widowControl/>
        <w:jc w:val="both"/>
        <w:rPr>
          <w:rFonts w:ascii="Verdana" w:hAnsi="Verdana" w:cs="Arial"/>
          <w:sz w:val="20"/>
          <w:szCs w:val="20"/>
        </w:rPr>
      </w:pPr>
      <w:r w:rsidRPr="00FD016C">
        <w:rPr>
          <w:noProof/>
        </w:rPr>
        <w:drawing>
          <wp:inline distT="0" distB="0" distL="0" distR="0" wp14:anchorId="45AAC1DC" wp14:editId="04CD94BB">
            <wp:extent cx="3819525" cy="2486025"/>
            <wp:effectExtent l="0" t="0" r="9525" b="9525"/>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19525" cy="2486025"/>
                    </a:xfrm>
                    <a:prstGeom prst="rect">
                      <a:avLst/>
                    </a:prstGeom>
                    <a:noFill/>
                    <a:ln>
                      <a:noFill/>
                    </a:ln>
                  </pic:spPr>
                </pic:pic>
              </a:graphicData>
            </a:graphic>
          </wp:inline>
        </w:drawing>
      </w:r>
    </w:p>
    <w:p w14:paraId="0F2753D3" w14:textId="326138E8" w:rsidR="00817C81" w:rsidRPr="00FD016C" w:rsidRDefault="00817C81" w:rsidP="005144E2">
      <w:pPr>
        <w:widowControl/>
        <w:jc w:val="both"/>
        <w:rPr>
          <w:rFonts w:ascii="Verdana" w:hAnsi="Verdana" w:cs="Arial"/>
          <w:sz w:val="20"/>
          <w:szCs w:val="20"/>
        </w:rPr>
      </w:pPr>
    </w:p>
    <w:p w14:paraId="68BB4A06" w14:textId="19F441EF" w:rsidR="00A227C7" w:rsidRPr="00FD016C" w:rsidRDefault="00A227C7" w:rsidP="005144E2">
      <w:pPr>
        <w:widowControl/>
        <w:jc w:val="both"/>
        <w:rPr>
          <w:rFonts w:ascii="Verdana" w:hAnsi="Verdana" w:cs="Arial"/>
          <w:noProof/>
          <w:sz w:val="20"/>
          <w:szCs w:val="20"/>
        </w:rPr>
      </w:pPr>
    </w:p>
    <w:p w14:paraId="0EA5F0AE" w14:textId="77777777" w:rsidR="0004669E" w:rsidRPr="00FD016C" w:rsidRDefault="0004669E" w:rsidP="005144E2">
      <w:pPr>
        <w:widowControl/>
        <w:jc w:val="both"/>
        <w:rPr>
          <w:rFonts w:ascii="Verdana" w:hAnsi="Verdana" w:cs="Arial"/>
          <w:noProof/>
          <w:sz w:val="20"/>
          <w:szCs w:val="20"/>
        </w:rPr>
      </w:pPr>
    </w:p>
    <w:p w14:paraId="60424C27" w14:textId="4644D166" w:rsidR="003F4719" w:rsidRPr="00FD016C" w:rsidRDefault="00983AA5" w:rsidP="005144E2">
      <w:pPr>
        <w:widowControl/>
        <w:tabs>
          <w:tab w:val="left" w:pos="360"/>
        </w:tabs>
        <w:jc w:val="both"/>
        <w:rPr>
          <w:rFonts w:ascii="Verdana" w:hAnsi="Verdana" w:cs="Arial"/>
          <w:b/>
          <w:color w:val="0070C0"/>
        </w:rPr>
      </w:pPr>
      <w:r w:rsidRPr="00FD016C">
        <w:rPr>
          <w:rFonts w:ascii="Verdana" w:hAnsi="Verdana" w:cs="Arial"/>
          <w:b/>
          <w:color w:val="0070C0"/>
        </w:rPr>
        <w:lastRenderedPageBreak/>
        <w:t>3</w:t>
      </w:r>
      <w:r w:rsidR="0058585B" w:rsidRPr="00FD016C">
        <w:rPr>
          <w:rFonts w:ascii="Verdana" w:hAnsi="Verdana" w:cs="Arial"/>
          <w:b/>
          <w:color w:val="0070C0"/>
        </w:rPr>
        <w:t>8</w:t>
      </w:r>
      <w:r w:rsidR="003F4719" w:rsidRPr="00FD016C">
        <w:rPr>
          <w:rFonts w:ascii="Verdana" w:hAnsi="Verdana" w:cs="Arial"/>
          <w:b/>
          <w:color w:val="0070C0"/>
        </w:rPr>
        <w:t>.4 – Aquisições de bens e serviços</w:t>
      </w:r>
    </w:p>
    <w:p w14:paraId="6A706FCC" w14:textId="77777777" w:rsidR="003F4719" w:rsidRPr="00FD016C" w:rsidRDefault="003F4719" w:rsidP="005144E2">
      <w:pPr>
        <w:widowControl/>
        <w:jc w:val="both"/>
        <w:rPr>
          <w:rFonts w:ascii="Verdana" w:hAnsi="Verdana" w:cs="Arial"/>
          <w:sz w:val="20"/>
          <w:szCs w:val="20"/>
        </w:rPr>
      </w:pPr>
    </w:p>
    <w:p w14:paraId="767DDA12" w14:textId="7CC5ADAB" w:rsidR="003F4719" w:rsidRPr="00FD016C" w:rsidRDefault="003F4719" w:rsidP="005144E2">
      <w:pPr>
        <w:widowControl/>
        <w:jc w:val="both"/>
        <w:rPr>
          <w:rFonts w:ascii="Verdana" w:hAnsi="Verdana" w:cs="Arial"/>
          <w:sz w:val="20"/>
          <w:szCs w:val="20"/>
        </w:rPr>
      </w:pPr>
      <w:r w:rsidRPr="00FD016C">
        <w:rPr>
          <w:rFonts w:ascii="Verdana" w:hAnsi="Verdana" w:cs="Arial"/>
          <w:sz w:val="20"/>
          <w:szCs w:val="20"/>
        </w:rPr>
        <w:t xml:space="preserve">Contratos assinados com fornecedores diversos para aquisição de bens e serviços das </w:t>
      </w:r>
      <w:r w:rsidR="00025E68" w:rsidRPr="00FD016C">
        <w:rPr>
          <w:rFonts w:ascii="Verdana" w:hAnsi="Verdana" w:cs="Arial"/>
          <w:sz w:val="20"/>
          <w:szCs w:val="20"/>
        </w:rPr>
        <w:t>U</w:t>
      </w:r>
      <w:r w:rsidRPr="00FD016C">
        <w:rPr>
          <w:rFonts w:ascii="Verdana" w:hAnsi="Verdana" w:cs="Arial"/>
          <w:sz w:val="20"/>
          <w:szCs w:val="20"/>
        </w:rPr>
        <w:t xml:space="preserve">sinas Angra 1, Angra 2 e Angra 3, necessários à garantia de performance operacional desses ativos conforme quadro </w:t>
      </w:r>
      <w:r w:rsidR="00C17C30" w:rsidRPr="00FD016C">
        <w:rPr>
          <w:rFonts w:ascii="Verdana" w:hAnsi="Verdana" w:cs="Arial"/>
          <w:sz w:val="20"/>
          <w:szCs w:val="20"/>
        </w:rPr>
        <w:t>demonstrativo</w:t>
      </w:r>
      <w:r w:rsidRPr="00FD016C">
        <w:rPr>
          <w:rFonts w:ascii="Verdana" w:hAnsi="Verdana" w:cs="Arial"/>
          <w:sz w:val="20"/>
          <w:szCs w:val="20"/>
        </w:rPr>
        <w:t xml:space="preserve"> a seguir:</w:t>
      </w:r>
    </w:p>
    <w:p w14:paraId="5B31D184" w14:textId="77777777" w:rsidR="00BE297D" w:rsidRPr="00FD016C" w:rsidRDefault="00BE297D" w:rsidP="005144E2">
      <w:pPr>
        <w:widowControl/>
        <w:jc w:val="both"/>
        <w:rPr>
          <w:rFonts w:ascii="Verdana" w:hAnsi="Verdana" w:cs="Arial"/>
          <w:b/>
          <w:sz w:val="20"/>
          <w:szCs w:val="20"/>
        </w:rPr>
      </w:pPr>
    </w:p>
    <w:p w14:paraId="213F8DE5" w14:textId="4542B988" w:rsidR="00BE297D" w:rsidRPr="00FD016C" w:rsidRDefault="00D42764" w:rsidP="005144E2">
      <w:pPr>
        <w:widowControl/>
        <w:jc w:val="both"/>
        <w:rPr>
          <w:rFonts w:ascii="Verdana" w:hAnsi="Verdana" w:cs="Arial"/>
          <w:b/>
          <w:sz w:val="20"/>
          <w:szCs w:val="20"/>
        </w:rPr>
      </w:pPr>
      <w:r w:rsidRPr="00FD016C">
        <w:rPr>
          <w:noProof/>
        </w:rPr>
        <w:drawing>
          <wp:inline distT="0" distB="0" distL="0" distR="0" wp14:anchorId="31D5CF7B" wp14:editId="5310C42C">
            <wp:extent cx="3219450" cy="24860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19450" cy="2486025"/>
                    </a:xfrm>
                    <a:prstGeom prst="rect">
                      <a:avLst/>
                    </a:prstGeom>
                    <a:noFill/>
                    <a:ln>
                      <a:noFill/>
                    </a:ln>
                  </pic:spPr>
                </pic:pic>
              </a:graphicData>
            </a:graphic>
          </wp:inline>
        </w:drawing>
      </w:r>
    </w:p>
    <w:p w14:paraId="1E3354F9" w14:textId="7BFFF5F0" w:rsidR="00BE297D" w:rsidRPr="00FD016C" w:rsidRDefault="00BE297D" w:rsidP="005144E2">
      <w:pPr>
        <w:widowControl/>
        <w:jc w:val="both"/>
        <w:rPr>
          <w:rFonts w:ascii="Verdana" w:hAnsi="Verdana" w:cs="Arial"/>
          <w:b/>
          <w:sz w:val="20"/>
          <w:szCs w:val="20"/>
        </w:rPr>
      </w:pPr>
    </w:p>
    <w:p w14:paraId="258AEAFB" w14:textId="3929328C" w:rsidR="00803F30" w:rsidRPr="00FD016C" w:rsidRDefault="00803F30" w:rsidP="005144E2">
      <w:pPr>
        <w:widowControl/>
        <w:jc w:val="both"/>
        <w:rPr>
          <w:rFonts w:ascii="Verdana" w:hAnsi="Verdana" w:cs="Arial"/>
          <w:b/>
          <w:sz w:val="20"/>
          <w:szCs w:val="20"/>
        </w:rPr>
      </w:pPr>
    </w:p>
    <w:p w14:paraId="7C84F122" w14:textId="77777777" w:rsidR="00803F30" w:rsidRPr="00FD016C" w:rsidRDefault="00803F30" w:rsidP="005144E2">
      <w:pPr>
        <w:widowControl/>
        <w:jc w:val="both"/>
        <w:rPr>
          <w:rFonts w:ascii="Verdana" w:hAnsi="Verdana" w:cs="Arial"/>
          <w:b/>
          <w:sz w:val="20"/>
          <w:szCs w:val="20"/>
        </w:rPr>
      </w:pPr>
    </w:p>
    <w:p w14:paraId="742183A8" w14:textId="2A3EB713" w:rsidR="002636AA" w:rsidRPr="00FD016C" w:rsidRDefault="007A0988" w:rsidP="005144E2">
      <w:pPr>
        <w:widowControl/>
        <w:jc w:val="both"/>
        <w:rPr>
          <w:rFonts w:ascii="Verdana" w:hAnsi="Verdana" w:cs="Arial"/>
          <w:b/>
          <w:sz w:val="26"/>
          <w:szCs w:val="26"/>
        </w:rPr>
      </w:pPr>
      <w:r w:rsidRPr="00FD016C">
        <w:rPr>
          <w:rFonts w:ascii="Verdana" w:hAnsi="Verdana" w:cs="Arial"/>
          <w:b/>
          <w:color w:val="0070C0"/>
          <w:sz w:val="26"/>
          <w:szCs w:val="26"/>
        </w:rPr>
        <w:t>3</w:t>
      </w:r>
      <w:r w:rsidR="0058585B" w:rsidRPr="00FD016C">
        <w:rPr>
          <w:rFonts w:ascii="Verdana" w:hAnsi="Verdana" w:cs="Arial"/>
          <w:b/>
          <w:color w:val="0070C0"/>
          <w:sz w:val="26"/>
          <w:szCs w:val="26"/>
        </w:rPr>
        <w:t>9</w:t>
      </w:r>
      <w:r w:rsidRPr="00FD016C">
        <w:rPr>
          <w:rFonts w:ascii="Verdana" w:hAnsi="Verdana" w:cs="Arial"/>
          <w:b/>
          <w:color w:val="0070C0"/>
          <w:sz w:val="26"/>
          <w:szCs w:val="26"/>
        </w:rPr>
        <w:t xml:space="preserve"> – EVENTOS SUBSEQUENTES</w:t>
      </w:r>
    </w:p>
    <w:p w14:paraId="69E17210" w14:textId="77777777" w:rsidR="00552A75" w:rsidRPr="00FD016C" w:rsidRDefault="00552A75" w:rsidP="00EC54A3">
      <w:pPr>
        <w:widowControl/>
        <w:tabs>
          <w:tab w:val="left" w:pos="360"/>
        </w:tabs>
        <w:jc w:val="both"/>
        <w:rPr>
          <w:rFonts w:ascii="Arial" w:hAnsi="Arial" w:cs="Arial"/>
          <w:color w:val="000000" w:themeColor="text1"/>
          <w:sz w:val="20"/>
          <w:szCs w:val="20"/>
        </w:rPr>
      </w:pPr>
    </w:p>
    <w:p w14:paraId="30E7B33A" w14:textId="77777777" w:rsidR="000011CF" w:rsidRPr="003B4840" w:rsidRDefault="000011CF" w:rsidP="000011CF">
      <w:pPr>
        <w:pStyle w:val="NormalWeb"/>
        <w:rPr>
          <w:rFonts w:ascii="Verdana" w:hAnsi="Verdana" w:cs="Arial"/>
          <w:b/>
          <w:color w:val="0070C0"/>
          <w:sz w:val="20"/>
        </w:rPr>
      </w:pPr>
      <w:r w:rsidRPr="003B4840">
        <w:rPr>
          <w:rFonts w:ascii="Verdana" w:hAnsi="Verdana" w:cs="Arial"/>
          <w:b/>
          <w:color w:val="0070C0"/>
          <w:sz w:val="20"/>
        </w:rPr>
        <w:t>Desestatização da Eletrobras</w:t>
      </w:r>
    </w:p>
    <w:p w14:paraId="43D38459"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Em fevereiro de 2021, foi editada a Medida Provisória nº 1.031/2021, que possibilitou o início dos estudos da modelagem da desestatização da Eletrobras, pelo BNDES, e trouxe algumas modificações em relação ao texto do Projeto de Lei de desestatização da Eletrobras nº 5.877/2019.</w:t>
      </w:r>
    </w:p>
    <w:p w14:paraId="248920BA"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Em abril de 2021, foi editado o Decreto 10.670/2021, que dispõe sobre a qualificação da Eletrobras no âmbito do Programa de Parcerias de Investimentos – PPI e a sua inclusão no Programa Nacional de Desestatização – PND, para início dos estudos necessários à estruturação do processo de capitalização da Companhia.</w:t>
      </w:r>
    </w:p>
    <w:p w14:paraId="3BB9439B"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O Conselho do Programa de Parcerias de Investimentos – CPPI, aprovou a Resolução nº 176, de 27 de abril de 2021, que atribuiu à Eletrobras a emissão e oferta das ações, após a conversão em lei da Medida Provisória nº 1.031/2021. O BNDES é o responsável pela execução e acompanhamento do processo de capitalização até o seu encerramento, devendo prestar apoio à Eletrobras no que for necessário.</w:t>
      </w:r>
    </w:p>
    <w:p w14:paraId="4D636873"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Em 13 de julho de 2021, foi publicada no Diário Oficial da União a Lei 14.182, decorrente do Projeto de Lei de Conversão PLV 7/2021 e da Medida Provisória 1.031, que trata da desestatização da Eletrobras.</w:t>
      </w:r>
    </w:p>
    <w:p w14:paraId="79AAE721"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O modelo de desestatização prevê que o processo se dará pelo aumento do capital social, por meio de subscrição pública de ações ordinárias com renúncia do direito de subscrição pela União </w:t>
      </w:r>
      <w:r w:rsidRPr="003A0677">
        <w:rPr>
          <w:rFonts w:ascii="Verdana" w:hAnsi="Verdana" w:cs="Arial"/>
          <w:color w:val="000000"/>
          <w:sz w:val="20"/>
        </w:rPr>
        <w:lastRenderedPageBreak/>
        <w:t>e prevê a alteração do estatuto social para vedar que qualquer acionista ou grupo de acionistas exerça votos em número superior a 10% da quantidade de ações em que se dividir o capital votante da Eletrobras.</w:t>
      </w:r>
    </w:p>
    <w:p w14:paraId="2C71D7A6" w14:textId="2027486A"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A Lei 14.182/2021 condicionou a desestatização da Eletrobras à reestruturação societária para manter sob o controle, direto ou indireto da União, empresas, instalações e participações, detidas ou gerenciadas pela Eletrobras, especificamente </w:t>
      </w:r>
      <w:r w:rsidR="003B4840">
        <w:rPr>
          <w:rFonts w:ascii="Verdana" w:hAnsi="Verdana" w:cs="Arial"/>
          <w:color w:val="000000"/>
          <w:sz w:val="20"/>
        </w:rPr>
        <w:t>ELETRONUCLEAR</w:t>
      </w:r>
      <w:r w:rsidRPr="003A0677">
        <w:rPr>
          <w:rFonts w:ascii="Verdana" w:hAnsi="Verdana" w:cs="Arial"/>
          <w:color w:val="000000"/>
          <w:sz w:val="20"/>
        </w:rPr>
        <w:t xml:space="preserve"> e Itaipu Binacional.</w:t>
      </w:r>
    </w:p>
    <w:p w14:paraId="266ABC1F" w14:textId="2DC5AF46"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A transferência do controle da </w:t>
      </w:r>
      <w:r w:rsidR="003B4840">
        <w:rPr>
          <w:rFonts w:ascii="Verdana" w:hAnsi="Verdana" w:cs="Arial"/>
          <w:color w:val="000000"/>
          <w:sz w:val="20"/>
        </w:rPr>
        <w:t>ELETRONUCLEAR</w:t>
      </w:r>
      <w:r w:rsidRPr="003A0677">
        <w:rPr>
          <w:rFonts w:ascii="Verdana" w:hAnsi="Verdana" w:cs="Arial"/>
          <w:color w:val="000000"/>
          <w:sz w:val="20"/>
        </w:rPr>
        <w:t xml:space="preserve"> está condicionada aos trâmites do processo de desestatização da companhia, nos termos da Lei nº 14.182/2021 e da Resolução nº 203, do CPPI, de outubro de 2021.</w:t>
      </w:r>
    </w:p>
    <w:p w14:paraId="67BFA94E"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Em setembro/2021, foi editado o decreto 10.791, que criou a Empresa Brasileira de Participações em Energia Nuclear e Binacional S.A. – </w:t>
      </w:r>
      <w:proofErr w:type="spellStart"/>
      <w:r w:rsidRPr="003A0677">
        <w:rPr>
          <w:rFonts w:ascii="Verdana" w:hAnsi="Verdana" w:cs="Arial"/>
          <w:color w:val="000000"/>
          <w:sz w:val="20"/>
        </w:rPr>
        <w:t>ENBpar</w:t>
      </w:r>
      <w:proofErr w:type="spellEnd"/>
      <w:r w:rsidRPr="003A0677">
        <w:rPr>
          <w:rFonts w:ascii="Verdana" w:hAnsi="Verdana" w:cs="Arial"/>
          <w:color w:val="000000"/>
          <w:sz w:val="20"/>
        </w:rPr>
        <w:t>, com objetivo de receber os ativos, os programas e contratos que não poderão ser mantidos na Eletrobras após a desestatização.</w:t>
      </w:r>
    </w:p>
    <w:p w14:paraId="3ECF1072" w14:textId="77777777"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Em outubro de 2021, o CPPI aprovou a Resolução nº 203/2021, que trata da modelagem de desestatização da Eletrobras. A referida resolução detalha os atos de reestruturação societária da Eletrobras a ser realizada para o processo de desestatização.</w:t>
      </w:r>
    </w:p>
    <w:p w14:paraId="28B6A99A" w14:textId="4A572CFF"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A resolução define a forma da transferência do controle societário detido pela Eletrobras na </w:t>
      </w:r>
      <w:r w:rsidR="003B4840">
        <w:rPr>
          <w:rFonts w:ascii="Verdana" w:hAnsi="Verdana" w:cs="Arial"/>
          <w:color w:val="000000"/>
          <w:sz w:val="20"/>
        </w:rPr>
        <w:t>ELETRONUCLEAR</w:t>
      </w:r>
      <w:r w:rsidRPr="003A0677">
        <w:rPr>
          <w:rFonts w:ascii="Verdana" w:hAnsi="Verdana" w:cs="Arial"/>
          <w:color w:val="000000"/>
          <w:sz w:val="20"/>
        </w:rPr>
        <w:t xml:space="preserve"> para a </w:t>
      </w:r>
      <w:proofErr w:type="spellStart"/>
      <w:r w:rsidRPr="003A0677">
        <w:rPr>
          <w:rFonts w:ascii="Verdana" w:hAnsi="Verdana" w:cs="Arial"/>
          <w:color w:val="000000"/>
          <w:sz w:val="20"/>
        </w:rPr>
        <w:t>ENBpar</w:t>
      </w:r>
      <w:proofErr w:type="spellEnd"/>
      <w:r w:rsidRPr="003A0677">
        <w:rPr>
          <w:rFonts w:ascii="Verdana" w:hAnsi="Verdana" w:cs="Arial"/>
          <w:color w:val="000000"/>
          <w:sz w:val="20"/>
        </w:rPr>
        <w:t xml:space="preserve"> que será realizado mediante:</w:t>
      </w:r>
    </w:p>
    <w:p w14:paraId="029537AA" w14:textId="6CCB5A96" w:rsidR="000011CF" w:rsidRPr="003A0677" w:rsidRDefault="000011CF" w:rsidP="000011CF">
      <w:pPr>
        <w:pStyle w:val="NormalWeb"/>
        <w:numPr>
          <w:ilvl w:val="0"/>
          <w:numId w:val="48"/>
        </w:numPr>
        <w:spacing w:before="240" w:beforeAutospacing="0"/>
        <w:ind w:left="454"/>
        <w:jc w:val="both"/>
        <w:rPr>
          <w:rFonts w:ascii="Verdana" w:hAnsi="Verdana" w:cs="Arial"/>
          <w:color w:val="000000"/>
          <w:sz w:val="20"/>
        </w:rPr>
      </w:pPr>
      <w:r w:rsidRPr="003A0677">
        <w:rPr>
          <w:rFonts w:ascii="Verdana" w:hAnsi="Verdana" w:cs="Arial"/>
          <w:color w:val="000000"/>
          <w:sz w:val="20"/>
        </w:rPr>
        <w:t xml:space="preserve">Emissão, pela </w:t>
      </w:r>
      <w:r w:rsidR="003B4840">
        <w:rPr>
          <w:rFonts w:ascii="Verdana" w:hAnsi="Verdana" w:cs="Arial"/>
          <w:color w:val="000000"/>
          <w:sz w:val="20"/>
        </w:rPr>
        <w:t>ELETRONUCLEAR</w:t>
      </w:r>
      <w:r w:rsidRPr="003A0677">
        <w:rPr>
          <w:rFonts w:ascii="Verdana" w:hAnsi="Verdana" w:cs="Arial"/>
          <w:color w:val="000000"/>
          <w:sz w:val="20"/>
        </w:rPr>
        <w:t>, de 313.956.387.006 (trezentos e treze bilhões, novecentos e cinquenta e seis milhões, trezentas e oitenta e sete mil e seis) novas ações ordinárias, no valor total de R</w:t>
      </w:r>
      <w:r w:rsidR="00CA5345">
        <w:rPr>
          <w:rFonts w:ascii="Verdana" w:hAnsi="Verdana" w:cs="Arial"/>
          <w:color w:val="000000"/>
          <w:sz w:val="20"/>
        </w:rPr>
        <w:t>$ 7.550.219</w:t>
      </w:r>
      <w:r w:rsidRPr="003A0677">
        <w:rPr>
          <w:rFonts w:ascii="Verdana" w:hAnsi="Verdana" w:cs="Arial"/>
          <w:color w:val="000000"/>
          <w:sz w:val="20"/>
        </w:rPr>
        <w:t>, e 87.911.226.348 (oitenta e sete bilhões, novecentos e onze milhões, duzentos e vinte e seis mil trezentos e quarenta e oito) novas ações preferenciais, no valor total de R$2.114.144 sendo que do valor total da emissão, R$ 2.631.683 serão destinados à formação de reserva de capital a ser utilizada para o pagamento da totalidade dos dividendos prioritários acumulados das ações preferenciais de emissão da E</w:t>
      </w:r>
      <w:r w:rsidR="003B4840">
        <w:rPr>
          <w:rFonts w:ascii="Verdana" w:hAnsi="Verdana" w:cs="Arial"/>
          <w:color w:val="000000"/>
          <w:sz w:val="20"/>
        </w:rPr>
        <w:t>LETRONUCLEAR</w:t>
      </w:r>
      <w:r w:rsidRPr="003A0677">
        <w:rPr>
          <w:rFonts w:ascii="Verdana" w:hAnsi="Verdana" w:cs="Arial"/>
          <w:color w:val="000000"/>
          <w:sz w:val="20"/>
        </w:rPr>
        <w:t>;</w:t>
      </w:r>
    </w:p>
    <w:p w14:paraId="31852982" w14:textId="4C09D286" w:rsidR="000011CF" w:rsidRPr="003A0677" w:rsidRDefault="000011CF" w:rsidP="000011CF">
      <w:pPr>
        <w:pStyle w:val="NormalWeb"/>
        <w:numPr>
          <w:ilvl w:val="0"/>
          <w:numId w:val="48"/>
        </w:numPr>
        <w:spacing w:before="240" w:beforeAutospacing="0"/>
        <w:ind w:left="454"/>
        <w:jc w:val="both"/>
        <w:rPr>
          <w:rFonts w:ascii="Verdana" w:hAnsi="Verdana" w:cs="Arial"/>
          <w:color w:val="000000"/>
          <w:sz w:val="20"/>
        </w:rPr>
      </w:pPr>
      <w:r w:rsidRPr="003A0677">
        <w:rPr>
          <w:rFonts w:ascii="Verdana" w:hAnsi="Verdana" w:cs="Arial"/>
          <w:color w:val="000000"/>
          <w:sz w:val="20"/>
        </w:rPr>
        <w:t xml:space="preserve">subscrição, pela </w:t>
      </w:r>
      <w:r w:rsidR="003B4840">
        <w:rPr>
          <w:rFonts w:ascii="Verdana" w:hAnsi="Verdana" w:cs="Arial"/>
          <w:color w:val="000000"/>
          <w:sz w:val="20"/>
        </w:rPr>
        <w:t>Eletrobras</w:t>
      </w:r>
      <w:r w:rsidRPr="003A0677">
        <w:rPr>
          <w:rFonts w:ascii="Verdana" w:hAnsi="Verdana" w:cs="Arial"/>
          <w:color w:val="000000"/>
          <w:sz w:val="20"/>
        </w:rPr>
        <w:t>, de 168.267.426.817 (cento e sessenta e oito bilhões, duzentos e sessenta e sete milhões, quatrocentas e vinte e seis mil oitocentas e dezessete) ações ordinárias e 87.869.086.983 (oitenta e sete bilhões, oitocentos e sessenta e nove milhões, oitenta e seis mil novecentas e oitenta e três) ações preferenciais dentre aquelas referidas no inciso IV do caput,</w:t>
      </w:r>
      <w:r w:rsidR="00D74234">
        <w:rPr>
          <w:rFonts w:ascii="Verdana" w:hAnsi="Verdana" w:cs="Arial"/>
          <w:color w:val="000000"/>
          <w:sz w:val="20"/>
        </w:rPr>
        <w:t xml:space="preserve"> no valor total de R$ 6.159.730</w:t>
      </w:r>
      <w:r w:rsidRPr="003A0677">
        <w:rPr>
          <w:rFonts w:ascii="Verdana" w:hAnsi="Verdana" w:cs="Arial"/>
          <w:color w:val="000000"/>
          <w:sz w:val="20"/>
        </w:rPr>
        <w:t>, devendo a respectiva integralização ocorrer na data de liquidação da Oferta Pública Global, sendo:</w:t>
      </w:r>
    </w:p>
    <w:p w14:paraId="5C963545" w14:textId="3E5F639C" w:rsidR="000011CF" w:rsidRPr="003A0677" w:rsidRDefault="00CA5345" w:rsidP="000011CF">
      <w:pPr>
        <w:pStyle w:val="NormalWeb"/>
        <w:ind w:left="850"/>
        <w:jc w:val="both"/>
        <w:rPr>
          <w:rFonts w:ascii="Verdana" w:hAnsi="Verdana" w:cs="Arial"/>
          <w:color w:val="000000"/>
          <w:sz w:val="20"/>
        </w:rPr>
      </w:pPr>
      <w:r>
        <w:rPr>
          <w:rFonts w:ascii="Verdana" w:hAnsi="Verdana" w:cs="Arial"/>
          <w:color w:val="000000"/>
          <w:sz w:val="20"/>
        </w:rPr>
        <w:t>a) R$ 2.626.438</w:t>
      </w:r>
      <w:r w:rsidR="000011CF" w:rsidRPr="003A0677">
        <w:rPr>
          <w:rFonts w:ascii="Verdana" w:hAnsi="Verdana" w:cs="Arial"/>
          <w:color w:val="000000"/>
          <w:sz w:val="20"/>
        </w:rPr>
        <w:t xml:space="preserve">, utilizando-se prioritariamente os créditos relativos aos dividendos prioritários acumulados contra a </w:t>
      </w:r>
      <w:r w:rsidR="003B4840">
        <w:rPr>
          <w:rFonts w:ascii="Verdana" w:hAnsi="Verdana" w:cs="Arial"/>
          <w:color w:val="000000"/>
          <w:sz w:val="20"/>
        </w:rPr>
        <w:t>ELETRONUCLEAR</w:t>
      </w:r>
      <w:r w:rsidR="000011CF" w:rsidRPr="003A0677">
        <w:rPr>
          <w:rFonts w:ascii="Verdana" w:hAnsi="Verdana" w:cs="Arial"/>
          <w:color w:val="000000"/>
          <w:sz w:val="20"/>
        </w:rPr>
        <w:t>;</w:t>
      </w:r>
    </w:p>
    <w:p w14:paraId="09868F22" w14:textId="39EFF6B1" w:rsidR="000011CF" w:rsidRPr="003A0677" w:rsidRDefault="00CA5345" w:rsidP="000011CF">
      <w:pPr>
        <w:pStyle w:val="NormalWeb"/>
        <w:ind w:left="850"/>
        <w:jc w:val="both"/>
        <w:rPr>
          <w:rFonts w:ascii="Verdana" w:hAnsi="Verdana" w:cs="Arial"/>
          <w:color w:val="000000"/>
          <w:sz w:val="20"/>
        </w:rPr>
      </w:pPr>
      <w:r>
        <w:rPr>
          <w:rFonts w:ascii="Verdana" w:hAnsi="Verdana" w:cs="Arial"/>
          <w:color w:val="000000"/>
          <w:sz w:val="20"/>
        </w:rPr>
        <w:t>b) R$ 3.529.308</w:t>
      </w:r>
      <w:bookmarkStart w:id="10" w:name="_GoBack"/>
      <w:bookmarkEnd w:id="10"/>
      <w:r w:rsidR="000011CF" w:rsidRPr="003A0677">
        <w:rPr>
          <w:rFonts w:ascii="Verdana" w:hAnsi="Verdana" w:cs="Arial"/>
          <w:color w:val="000000"/>
          <w:sz w:val="20"/>
        </w:rPr>
        <w:t xml:space="preserve"> prioritariamente mediante a capitalização de adiantamentos para futuro aumento de capital realizados pela E</w:t>
      </w:r>
      <w:r w:rsidR="003B4840">
        <w:rPr>
          <w:rFonts w:ascii="Verdana" w:hAnsi="Verdana" w:cs="Arial"/>
          <w:color w:val="000000"/>
          <w:sz w:val="20"/>
        </w:rPr>
        <w:t>letrobras</w:t>
      </w:r>
      <w:r w:rsidR="000011CF" w:rsidRPr="003A0677">
        <w:rPr>
          <w:rFonts w:ascii="Verdana" w:hAnsi="Verdana" w:cs="Arial"/>
          <w:color w:val="000000"/>
          <w:sz w:val="20"/>
        </w:rPr>
        <w:t xml:space="preserve"> na </w:t>
      </w:r>
      <w:r w:rsidR="003B4840">
        <w:rPr>
          <w:rFonts w:ascii="Verdana" w:hAnsi="Verdana" w:cs="Arial"/>
          <w:color w:val="000000"/>
          <w:sz w:val="20"/>
        </w:rPr>
        <w:t>ELETRONUCLEAR</w:t>
      </w:r>
      <w:r w:rsidR="000011CF" w:rsidRPr="003A0677">
        <w:rPr>
          <w:rFonts w:ascii="Verdana" w:hAnsi="Verdana" w:cs="Arial"/>
          <w:color w:val="000000"/>
          <w:sz w:val="20"/>
        </w:rPr>
        <w:t xml:space="preserve"> até janeiro de 2022.</w:t>
      </w:r>
    </w:p>
    <w:p w14:paraId="0A2DB085" w14:textId="2E00BA67" w:rsidR="000011CF" w:rsidRPr="003A0677" w:rsidRDefault="000011CF" w:rsidP="000011CF">
      <w:pPr>
        <w:pStyle w:val="NormalWeb"/>
        <w:numPr>
          <w:ilvl w:val="0"/>
          <w:numId w:val="49"/>
        </w:numPr>
        <w:spacing w:before="240" w:beforeAutospacing="0"/>
        <w:ind w:left="454"/>
        <w:jc w:val="both"/>
        <w:rPr>
          <w:rFonts w:ascii="Verdana" w:hAnsi="Verdana" w:cs="Arial"/>
          <w:color w:val="000000"/>
          <w:sz w:val="20"/>
        </w:rPr>
      </w:pPr>
      <w:proofErr w:type="gramStart"/>
      <w:r w:rsidRPr="003A0677">
        <w:rPr>
          <w:rFonts w:ascii="Verdana" w:hAnsi="Verdana" w:cs="Arial"/>
          <w:color w:val="000000"/>
          <w:sz w:val="20"/>
        </w:rPr>
        <w:t>cessão</w:t>
      </w:r>
      <w:proofErr w:type="gramEnd"/>
      <w:r w:rsidRPr="003A0677">
        <w:rPr>
          <w:rFonts w:ascii="Verdana" w:hAnsi="Verdana" w:cs="Arial"/>
          <w:color w:val="000000"/>
          <w:sz w:val="20"/>
        </w:rPr>
        <w:t>, pela E</w:t>
      </w:r>
      <w:r w:rsidR="003B4840">
        <w:rPr>
          <w:rFonts w:ascii="Verdana" w:hAnsi="Verdana" w:cs="Arial"/>
          <w:color w:val="000000"/>
          <w:sz w:val="20"/>
        </w:rPr>
        <w:t>letrobras</w:t>
      </w:r>
      <w:r w:rsidRPr="003A0677">
        <w:rPr>
          <w:rFonts w:ascii="Verdana" w:hAnsi="Verdana" w:cs="Arial"/>
          <w:color w:val="000000"/>
          <w:sz w:val="20"/>
        </w:rPr>
        <w:t xml:space="preserve"> à </w:t>
      </w:r>
      <w:proofErr w:type="spellStart"/>
      <w:r w:rsidRPr="003A0677">
        <w:rPr>
          <w:rFonts w:ascii="Verdana" w:hAnsi="Verdana" w:cs="Arial"/>
          <w:color w:val="000000"/>
          <w:sz w:val="20"/>
        </w:rPr>
        <w:t>ENBPar</w:t>
      </w:r>
      <w:proofErr w:type="spellEnd"/>
      <w:r w:rsidRPr="003A0677">
        <w:rPr>
          <w:rFonts w:ascii="Verdana" w:hAnsi="Verdana" w:cs="Arial"/>
          <w:color w:val="000000"/>
          <w:sz w:val="20"/>
        </w:rPr>
        <w:t>, a título gratuito, do direito de preferência de subscrição de parte das ações emitidas conforme inciso IV do caput, em vo</w:t>
      </w:r>
      <w:r w:rsidR="00CA5345">
        <w:rPr>
          <w:rFonts w:ascii="Verdana" w:hAnsi="Verdana" w:cs="Arial"/>
          <w:color w:val="000000"/>
          <w:sz w:val="20"/>
        </w:rPr>
        <w:t>lume equivalente a R$ 3.500.000</w:t>
      </w:r>
      <w:r w:rsidRPr="003A0677">
        <w:rPr>
          <w:rFonts w:ascii="Verdana" w:hAnsi="Verdana" w:cs="Arial"/>
          <w:color w:val="000000"/>
          <w:sz w:val="20"/>
        </w:rPr>
        <w:t>, correspondente a 145.538.468.345 (cento e</w:t>
      </w:r>
      <w:r w:rsidR="003B4840">
        <w:rPr>
          <w:rFonts w:ascii="Verdana" w:hAnsi="Verdana" w:cs="Arial"/>
          <w:color w:val="000000"/>
          <w:sz w:val="20"/>
        </w:rPr>
        <w:t xml:space="preserve"> </w:t>
      </w:r>
      <w:r w:rsidRPr="003A0677">
        <w:rPr>
          <w:rFonts w:ascii="Verdana" w:hAnsi="Verdana" w:cs="Arial"/>
          <w:color w:val="000000"/>
          <w:sz w:val="20"/>
        </w:rPr>
        <w:t>quarenta e cinco bilhões, quinhentos e trinta e oito milhões, quatrocentas e sessenta e oito mil trezentas e quarenta e cinco) ações ordinárias;</w:t>
      </w:r>
    </w:p>
    <w:p w14:paraId="15D99564" w14:textId="77777777" w:rsidR="000011CF" w:rsidRPr="003A0677" w:rsidRDefault="000011CF" w:rsidP="000011CF">
      <w:pPr>
        <w:pStyle w:val="NormalWeb"/>
        <w:numPr>
          <w:ilvl w:val="0"/>
          <w:numId w:val="49"/>
        </w:numPr>
        <w:spacing w:before="240" w:beforeAutospacing="0"/>
        <w:ind w:left="454"/>
        <w:jc w:val="both"/>
        <w:rPr>
          <w:rFonts w:ascii="Verdana" w:hAnsi="Verdana" w:cs="Arial"/>
          <w:color w:val="000000"/>
          <w:sz w:val="20"/>
        </w:rPr>
      </w:pPr>
      <w:proofErr w:type="gramStart"/>
      <w:r w:rsidRPr="003A0677">
        <w:rPr>
          <w:rFonts w:ascii="Verdana" w:hAnsi="Verdana" w:cs="Arial"/>
          <w:color w:val="000000"/>
          <w:sz w:val="20"/>
        </w:rPr>
        <w:lastRenderedPageBreak/>
        <w:t>exercício</w:t>
      </w:r>
      <w:proofErr w:type="gramEnd"/>
      <w:r w:rsidRPr="003A0677">
        <w:rPr>
          <w:rFonts w:ascii="Verdana" w:hAnsi="Verdana" w:cs="Arial"/>
          <w:color w:val="000000"/>
          <w:sz w:val="20"/>
        </w:rPr>
        <w:t xml:space="preserve">, pela </w:t>
      </w:r>
      <w:proofErr w:type="spellStart"/>
      <w:r w:rsidRPr="003A0677">
        <w:rPr>
          <w:rFonts w:ascii="Verdana" w:hAnsi="Verdana" w:cs="Arial"/>
          <w:color w:val="000000"/>
          <w:sz w:val="20"/>
        </w:rPr>
        <w:t>ENBPar</w:t>
      </w:r>
      <w:proofErr w:type="spellEnd"/>
      <w:r w:rsidRPr="003A0677">
        <w:rPr>
          <w:rFonts w:ascii="Verdana" w:hAnsi="Verdana" w:cs="Arial"/>
          <w:color w:val="000000"/>
          <w:sz w:val="20"/>
        </w:rPr>
        <w:t>, do direito de preferência a ela cedido, devendo a integralização ocorrer na data da liquidação da Oferta Pública Global;</w:t>
      </w:r>
    </w:p>
    <w:p w14:paraId="5744E436" w14:textId="70E85D32" w:rsidR="000011CF" w:rsidRPr="003A0677" w:rsidRDefault="000011CF" w:rsidP="000011CF">
      <w:pPr>
        <w:pStyle w:val="NormalWeb"/>
        <w:numPr>
          <w:ilvl w:val="0"/>
          <w:numId w:val="49"/>
        </w:numPr>
        <w:spacing w:before="240" w:beforeAutospacing="0"/>
        <w:ind w:left="454"/>
        <w:jc w:val="both"/>
        <w:rPr>
          <w:rFonts w:ascii="Verdana" w:hAnsi="Verdana" w:cs="Arial"/>
          <w:color w:val="000000"/>
          <w:sz w:val="20"/>
        </w:rPr>
      </w:pPr>
      <w:proofErr w:type="gramStart"/>
      <w:r w:rsidRPr="003A0677">
        <w:rPr>
          <w:rFonts w:ascii="Verdana" w:hAnsi="Verdana" w:cs="Arial"/>
          <w:color w:val="000000"/>
          <w:sz w:val="20"/>
        </w:rPr>
        <w:t>declaração</w:t>
      </w:r>
      <w:proofErr w:type="gramEnd"/>
      <w:r w:rsidRPr="003A0677">
        <w:rPr>
          <w:rFonts w:ascii="Verdana" w:hAnsi="Verdana" w:cs="Arial"/>
          <w:color w:val="000000"/>
          <w:sz w:val="20"/>
        </w:rPr>
        <w:t>, pela</w:t>
      </w:r>
      <w:r w:rsidR="00E401F7">
        <w:rPr>
          <w:rFonts w:ascii="Verdana" w:hAnsi="Verdana" w:cs="Arial"/>
          <w:color w:val="000000"/>
          <w:sz w:val="20"/>
        </w:rPr>
        <w:t xml:space="preserve"> ELETRONUCLEAR</w:t>
      </w:r>
      <w:r w:rsidRPr="003A0677">
        <w:rPr>
          <w:rFonts w:ascii="Verdana" w:hAnsi="Verdana" w:cs="Arial"/>
          <w:color w:val="000000"/>
          <w:sz w:val="20"/>
        </w:rPr>
        <w:t>, da totalidade dos dividendos mínimos atribuídos às ações preferenciais, a serem pagos à conta de reserva de capital, acumulados até a realização da alteração estatutária prevista nesta modelagem, atualizados pela taxa SELIC desde a data do encerramento do exercício ao qual os dividendos em questão se referem;</w:t>
      </w:r>
    </w:p>
    <w:p w14:paraId="08F3BF04" w14:textId="68A6814D" w:rsidR="000011CF" w:rsidRPr="003A0677" w:rsidRDefault="000011CF" w:rsidP="000011CF">
      <w:pPr>
        <w:pStyle w:val="NormalWeb"/>
        <w:numPr>
          <w:ilvl w:val="0"/>
          <w:numId w:val="49"/>
        </w:numPr>
        <w:spacing w:before="240" w:beforeAutospacing="0"/>
        <w:ind w:left="454"/>
        <w:jc w:val="both"/>
        <w:rPr>
          <w:rFonts w:ascii="Verdana" w:hAnsi="Verdana" w:cs="Arial"/>
          <w:color w:val="000000"/>
          <w:sz w:val="20"/>
        </w:rPr>
      </w:pPr>
      <w:proofErr w:type="gramStart"/>
      <w:r w:rsidRPr="003A0677">
        <w:rPr>
          <w:rFonts w:ascii="Verdana" w:hAnsi="Verdana" w:cs="Arial"/>
          <w:color w:val="000000"/>
          <w:sz w:val="20"/>
        </w:rPr>
        <w:t>modificação</w:t>
      </w:r>
      <w:proofErr w:type="gramEnd"/>
      <w:r w:rsidRPr="003A0677">
        <w:rPr>
          <w:rFonts w:ascii="Verdana" w:hAnsi="Verdana" w:cs="Arial"/>
          <w:color w:val="000000"/>
          <w:sz w:val="20"/>
        </w:rPr>
        <w:t xml:space="preserve"> dos direitos das ações preferenciais de emissão da </w:t>
      </w:r>
      <w:r w:rsidR="00E401F7">
        <w:rPr>
          <w:rFonts w:ascii="Verdana" w:hAnsi="Verdana" w:cs="Arial"/>
          <w:color w:val="000000"/>
          <w:sz w:val="20"/>
        </w:rPr>
        <w:t>ELETRONUCLEAR</w:t>
      </w:r>
      <w:r w:rsidRPr="003A0677">
        <w:rPr>
          <w:rFonts w:ascii="Verdana" w:hAnsi="Verdana" w:cs="Arial"/>
          <w:color w:val="000000"/>
          <w:sz w:val="20"/>
        </w:rPr>
        <w:t>, extinguindo o direito a dividendos mínimos cumulativos e passando a conferir prioridade no reembolso de capital;</w:t>
      </w:r>
    </w:p>
    <w:p w14:paraId="09F3B64D" w14:textId="6BADF9A8" w:rsidR="000011CF" w:rsidRPr="003A0677" w:rsidRDefault="000011CF" w:rsidP="000011CF">
      <w:pPr>
        <w:pStyle w:val="NormalWeb"/>
        <w:numPr>
          <w:ilvl w:val="0"/>
          <w:numId w:val="49"/>
        </w:numPr>
        <w:spacing w:before="240" w:beforeAutospacing="0"/>
        <w:ind w:left="454"/>
        <w:jc w:val="both"/>
        <w:rPr>
          <w:rFonts w:ascii="Verdana" w:hAnsi="Verdana" w:cs="Arial"/>
          <w:color w:val="000000"/>
          <w:sz w:val="20"/>
        </w:rPr>
      </w:pPr>
      <w:proofErr w:type="gramStart"/>
      <w:r w:rsidRPr="003A0677">
        <w:rPr>
          <w:rFonts w:ascii="Verdana" w:hAnsi="Verdana" w:cs="Arial"/>
          <w:color w:val="000000"/>
          <w:sz w:val="20"/>
        </w:rPr>
        <w:t>aprovação</w:t>
      </w:r>
      <w:proofErr w:type="gramEnd"/>
      <w:r w:rsidRPr="003A0677">
        <w:rPr>
          <w:rFonts w:ascii="Verdana" w:hAnsi="Verdana" w:cs="Arial"/>
          <w:color w:val="000000"/>
          <w:sz w:val="20"/>
        </w:rPr>
        <w:t xml:space="preserve">, pela Assembleia Geral da </w:t>
      </w:r>
      <w:r w:rsidR="003162BE">
        <w:rPr>
          <w:rFonts w:ascii="Verdana" w:hAnsi="Verdana" w:cs="Arial"/>
          <w:color w:val="000000"/>
          <w:sz w:val="20"/>
        </w:rPr>
        <w:t>ELETRONUCLEAR</w:t>
      </w:r>
      <w:r w:rsidRPr="003A0677">
        <w:rPr>
          <w:rFonts w:ascii="Verdana" w:hAnsi="Verdana" w:cs="Arial"/>
          <w:color w:val="000000"/>
          <w:sz w:val="20"/>
        </w:rPr>
        <w:t>, e adesão pela Eletrobras no programa de conversão facultativa de ações ordinárias de sua emissão em ações preferenciais, à razão de 1:1, respeitado o limite previsto no §2º do art. 15 da Lei nº 6.404, de 1976, já considerando para este fim a efetivação da subscrição das ações ordinárias a serem emitidas neste processo de restruturação; e</w:t>
      </w:r>
    </w:p>
    <w:p w14:paraId="65A56423" w14:textId="1D300ADD" w:rsidR="000011CF" w:rsidRPr="003A0677" w:rsidRDefault="003162BE" w:rsidP="000011CF">
      <w:pPr>
        <w:pStyle w:val="NormalWeb"/>
        <w:numPr>
          <w:ilvl w:val="0"/>
          <w:numId w:val="49"/>
        </w:numPr>
        <w:spacing w:before="240" w:beforeAutospacing="0"/>
        <w:ind w:left="454"/>
        <w:jc w:val="both"/>
        <w:rPr>
          <w:rFonts w:ascii="Verdana" w:hAnsi="Verdana" w:cs="Arial"/>
          <w:color w:val="000000"/>
          <w:sz w:val="20"/>
        </w:rPr>
      </w:pPr>
      <w:proofErr w:type="gramStart"/>
      <w:r>
        <w:rPr>
          <w:rFonts w:ascii="Verdana" w:hAnsi="Verdana" w:cs="Arial"/>
          <w:color w:val="000000"/>
          <w:sz w:val="20"/>
        </w:rPr>
        <w:t>celebração</w:t>
      </w:r>
      <w:proofErr w:type="gramEnd"/>
      <w:r>
        <w:rPr>
          <w:rFonts w:ascii="Verdana" w:hAnsi="Verdana" w:cs="Arial"/>
          <w:color w:val="000000"/>
          <w:sz w:val="20"/>
        </w:rPr>
        <w:t>, entre a Eletrobras</w:t>
      </w:r>
      <w:r w:rsidR="000011CF" w:rsidRPr="003A0677">
        <w:rPr>
          <w:rFonts w:ascii="Verdana" w:hAnsi="Verdana" w:cs="Arial"/>
          <w:color w:val="000000"/>
          <w:sz w:val="20"/>
        </w:rPr>
        <w:t xml:space="preserve"> e a </w:t>
      </w:r>
      <w:proofErr w:type="spellStart"/>
      <w:r w:rsidR="000011CF" w:rsidRPr="003A0677">
        <w:rPr>
          <w:rFonts w:ascii="Verdana" w:hAnsi="Verdana" w:cs="Arial"/>
          <w:color w:val="000000"/>
          <w:sz w:val="20"/>
        </w:rPr>
        <w:t>ENBPar</w:t>
      </w:r>
      <w:proofErr w:type="spellEnd"/>
      <w:r w:rsidR="000011CF" w:rsidRPr="003A0677">
        <w:rPr>
          <w:rFonts w:ascii="Verdana" w:hAnsi="Verdana" w:cs="Arial"/>
          <w:color w:val="000000"/>
          <w:sz w:val="20"/>
        </w:rPr>
        <w:t>, de acordo de investimentos prevendo, no mínimo as obrigações das partes de participarem na captação dos novos financiamentos para Angra 3 considerando as respectivas participações no capital social e composição de comissão especial de licitação para a Usina Termonuclear Angra 3.</w:t>
      </w:r>
    </w:p>
    <w:p w14:paraId="14FF8D73" w14:textId="60392B8B" w:rsidR="000011CF" w:rsidRPr="003A0677" w:rsidRDefault="000011CF" w:rsidP="000011CF">
      <w:pPr>
        <w:pStyle w:val="NormalWeb"/>
        <w:jc w:val="both"/>
        <w:rPr>
          <w:rFonts w:ascii="Verdana" w:hAnsi="Verdana" w:cs="Arial"/>
          <w:color w:val="000000"/>
          <w:sz w:val="20"/>
        </w:rPr>
      </w:pPr>
      <w:r w:rsidRPr="003A0677">
        <w:rPr>
          <w:rFonts w:ascii="Verdana" w:hAnsi="Verdana" w:cs="Arial"/>
          <w:color w:val="000000"/>
          <w:sz w:val="20"/>
        </w:rPr>
        <w:t xml:space="preserve">Está previsto ainda no escopo dos procedimentos previstos na Resolução CPPI nº 203 o aporte de R$ 1.417.464 pela Eletrobras na ELETRONUCLEAR por meio de novos adiantamentos para futuro aumento de capital entre outubro de 2021 e janeiro de 2022, para posterior integralização de capital. Está previsto ainda a celebração de um acordo de acionistas entre </w:t>
      </w:r>
      <w:r w:rsidR="003162BE">
        <w:rPr>
          <w:rFonts w:ascii="Verdana" w:hAnsi="Verdana" w:cs="Arial"/>
          <w:color w:val="000000"/>
          <w:sz w:val="20"/>
        </w:rPr>
        <w:t>Eletrobras</w:t>
      </w:r>
      <w:r w:rsidRPr="003A0677">
        <w:rPr>
          <w:rFonts w:ascii="Verdana" w:hAnsi="Verdana" w:cs="Arial"/>
          <w:color w:val="000000"/>
          <w:sz w:val="20"/>
        </w:rPr>
        <w:t xml:space="preserve"> e </w:t>
      </w:r>
      <w:proofErr w:type="spellStart"/>
      <w:proofErr w:type="gramStart"/>
      <w:r w:rsidRPr="003A0677">
        <w:rPr>
          <w:rFonts w:ascii="Verdana" w:hAnsi="Verdana" w:cs="Arial"/>
          <w:color w:val="000000"/>
          <w:sz w:val="20"/>
        </w:rPr>
        <w:t>ENBPar</w:t>
      </w:r>
      <w:proofErr w:type="spellEnd"/>
      <w:r w:rsidR="00FA4CD8">
        <w:rPr>
          <w:rFonts w:ascii="Verdana" w:hAnsi="Verdana" w:cs="Arial"/>
          <w:color w:val="000000"/>
          <w:sz w:val="20"/>
        </w:rPr>
        <w:t xml:space="preserve"> </w:t>
      </w:r>
      <w:r w:rsidRPr="003A0677">
        <w:rPr>
          <w:rFonts w:ascii="Verdana" w:hAnsi="Verdana" w:cs="Arial"/>
          <w:color w:val="000000"/>
          <w:sz w:val="20"/>
        </w:rPr>
        <w:t xml:space="preserve"> para</w:t>
      </w:r>
      <w:proofErr w:type="gramEnd"/>
      <w:r w:rsidRPr="003A0677">
        <w:rPr>
          <w:rFonts w:ascii="Verdana" w:hAnsi="Verdana" w:cs="Arial"/>
          <w:color w:val="000000"/>
          <w:sz w:val="20"/>
        </w:rPr>
        <w:t xml:space="preserve"> regular a governança da ELETRONUCLEAR.</w:t>
      </w:r>
    </w:p>
    <w:p w14:paraId="0E31C3D6" w14:textId="395F7ABD" w:rsidR="00FA4CD8" w:rsidRDefault="000011CF" w:rsidP="00FA4CD8">
      <w:pPr>
        <w:pStyle w:val="NormalWeb"/>
        <w:jc w:val="both"/>
        <w:rPr>
          <w:rFonts w:ascii="Verdana" w:hAnsi="Verdana" w:cs="Arial"/>
          <w:color w:val="000000"/>
          <w:sz w:val="20"/>
        </w:rPr>
      </w:pPr>
      <w:r w:rsidRPr="003A0677">
        <w:rPr>
          <w:rFonts w:ascii="Verdana" w:hAnsi="Verdana" w:cs="Arial"/>
          <w:color w:val="000000"/>
          <w:sz w:val="20"/>
        </w:rPr>
        <w:t xml:space="preserve">A Resolução CPPI nº 203 definiu ainda, no inciso XVI do artigo 11º a transferência, pela Eletrobras para a ELETRONUCLEAR da titularidade das cotas do Fundo de </w:t>
      </w:r>
      <w:proofErr w:type="spellStart"/>
      <w:r w:rsidRPr="003A0677">
        <w:rPr>
          <w:rFonts w:ascii="Verdana" w:hAnsi="Verdana" w:cs="Arial"/>
          <w:color w:val="000000"/>
          <w:sz w:val="20"/>
        </w:rPr>
        <w:t>Descomissionamento</w:t>
      </w:r>
      <w:proofErr w:type="spellEnd"/>
      <w:r w:rsidRPr="003A0677">
        <w:rPr>
          <w:rFonts w:ascii="Verdana" w:hAnsi="Verdana" w:cs="Arial"/>
          <w:color w:val="000000"/>
          <w:sz w:val="20"/>
        </w:rPr>
        <w:t xml:space="preserve"> das usinas nucleares, previsto na Resolução nº 8, de 17 de setembro de 2002, do Conselho Nacional de Política Econômica - CNPE, com a compensação das obrigações de transferência dos recursos associados entre as empresas.</w:t>
      </w:r>
    </w:p>
    <w:p w14:paraId="101A639F" w14:textId="32D771B4" w:rsidR="000011CF" w:rsidRDefault="000011CF" w:rsidP="00FA4CD8">
      <w:pPr>
        <w:pStyle w:val="NormalWeb"/>
        <w:rPr>
          <w:rFonts w:ascii="Verdana" w:hAnsi="Verdana" w:cs="Arial"/>
          <w:b/>
          <w:color w:val="0070C0"/>
          <w:sz w:val="20"/>
        </w:rPr>
      </w:pPr>
      <w:r w:rsidRPr="00FA4CD8">
        <w:rPr>
          <w:rFonts w:ascii="Verdana" w:hAnsi="Verdana" w:cs="Arial"/>
          <w:b/>
          <w:color w:val="0070C0"/>
          <w:sz w:val="20"/>
        </w:rPr>
        <w:t>Outros Eventos Subsequentes</w:t>
      </w:r>
    </w:p>
    <w:p w14:paraId="5F6C7864" w14:textId="043B473D" w:rsidR="000011CF" w:rsidRPr="003A0677" w:rsidRDefault="00C66DC3" w:rsidP="000011CF">
      <w:pPr>
        <w:pStyle w:val="NormalWeb"/>
        <w:jc w:val="both"/>
        <w:rPr>
          <w:rFonts w:ascii="Verdana" w:hAnsi="Verdana" w:cs="Arial"/>
          <w:color w:val="000000"/>
          <w:sz w:val="20"/>
        </w:rPr>
      </w:pPr>
      <w:r>
        <w:rPr>
          <w:rFonts w:ascii="Verdana" w:hAnsi="Verdana" w:cs="Arial"/>
          <w:color w:val="000000"/>
          <w:sz w:val="20"/>
        </w:rPr>
        <w:t>E</w:t>
      </w:r>
      <w:r w:rsidR="000011CF" w:rsidRPr="003A0677">
        <w:rPr>
          <w:rFonts w:ascii="Verdana" w:hAnsi="Verdana" w:cs="Arial"/>
          <w:color w:val="000000"/>
          <w:sz w:val="20"/>
        </w:rPr>
        <w:t>m 06 de outubro de 2021, ocorreu o desembolso da quinta tranche do Contrato nº ECF 3387/20 no valor de R$ 300.000 e em 11 de novembro ocorreu o desembolso da sexta tranche no montante de R$ 265.000. Os recursos das duas liberações têm como finalidade o cumprimento de obrigações referentes ao empreendimento de Angra 3 por parte da companhia. Em 31 de outubro de 2021, foi registrada mais uma variação monetária, no valor de R$ 1.839, referente à atualização pela Selic ao longo do mês de Outubro da primeira liberação do Contrato de AFAC nº ECF-3387/20, no valor de R$ 371.000, ocorrida em 26 de agosto de 2020.</w:t>
      </w:r>
    </w:p>
    <w:p w14:paraId="7B9A6D05" w14:textId="0664FF3B" w:rsidR="00541400" w:rsidRPr="00AD3E07" w:rsidRDefault="000011CF" w:rsidP="00AD3E07">
      <w:pPr>
        <w:pStyle w:val="NormalWeb"/>
        <w:jc w:val="both"/>
        <w:rPr>
          <w:rFonts w:ascii="Verdana" w:hAnsi="Verdana" w:cs="Arial"/>
          <w:color w:val="000000"/>
          <w:sz w:val="20"/>
        </w:rPr>
      </w:pPr>
      <w:r w:rsidRPr="003A0677">
        <w:rPr>
          <w:rFonts w:ascii="Verdana" w:hAnsi="Verdana" w:cs="Arial"/>
          <w:color w:val="000000"/>
          <w:sz w:val="20"/>
        </w:rPr>
        <w:t xml:space="preserve">Em 22 de outubro de 2021, foi publicado no DOU a Resolução CNPE nº 23, de 20 de outubro de 2021, que estabeleceu as diretrizes gerais para a definição do preço de energia da Usinas de Angra 3, a ser calculada pelo BNDES, considerando a viabilidade econômico-financeira do projeto no prazo do Contrato de Comercialização de Energia da planta assim como sua </w:t>
      </w:r>
      <w:proofErr w:type="spellStart"/>
      <w:r w:rsidRPr="003A0677">
        <w:rPr>
          <w:rFonts w:ascii="Verdana" w:hAnsi="Verdana" w:cs="Arial"/>
          <w:color w:val="000000"/>
          <w:sz w:val="20"/>
        </w:rPr>
        <w:t>financiabilidade</w:t>
      </w:r>
      <w:proofErr w:type="spellEnd"/>
      <w:r w:rsidRPr="003A0677">
        <w:rPr>
          <w:rFonts w:ascii="Verdana" w:hAnsi="Verdana" w:cs="Arial"/>
          <w:color w:val="000000"/>
          <w:sz w:val="20"/>
        </w:rPr>
        <w:t xml:space="preserve"> em condições de mercado. A Resolução ratifica que o preço da energia elétrica produzida por Angra 3 será o resultante dos estudos do BNDES, e considerará a viabilidade econômico-financeira do empreendimento tendo em vista o custo de capital próprio de 8,88% ao ano, em termos reais, os investimentos necessários para conclusão do empreendimento e o pagamento das dívidas novas e pr</w:t>
      </w:r>
      <w:r w:rsidR="003162BE">
        <w:rPr>
          <w:rFonts w:ascii="Verdana" w:hAnsi="Verdana" w:cs="Arial"/>
          <w:color w:val="000000"/>
          <w:sz w:val="20"/>
        </w:rPr>
        <w:t>e</w:t>
      </w:r>
      <w:r w:rsidRPr="003A0677">
        <w:rPr>
          <w:rFonts w:ascii="Verdana" w:hAnsi="Verdana" w:cs="Arial"/>
          <w:color w:val="000000"/>
          <w:sz w:val="20"/>
        </w:rPr>
        <w:t xml:space="preserve">existentes. Além disso, a resolução confirma que as reduções </w:t>
      </w:r>
      <w:r w:rsidRPr="003A0677">
        <w:rPr>
          <w:rFonts w:ascii="Verdana" w:hAnsi="Verdana" w:cs="Arial"/>
          <w:color w:val="000000"/>
          <w:sz w:val="20"/>
        </w:rPr>
        <w:lastRenderedPageBreak/>
        <w:t xml:space="preserve">de custos decorrentes da existência de competição em contratações de fornecedores para conclusão do empreendimento deverão ser incorporadas de forma a reduzir o preço da energia elétrica de Angra 3. Também foi estabelecido que a Empresa de Pesquisa Energética - EPE será </w:t>
      </w:r>
      <w:r w:rsidRPr="00AD3E07">
        <w:rPr>
          <w:rFonts w:ascii="Verdana" w:hAnsi="Verdana" w:cs="Arial"/>
          <w:color w:val="000000"/>
          <w:sz w:val="20"/>
        </w:rPr>
        <w:t>ouvida em relação ao impacto ao consumidor previamente à aprovação do preço.</w:t>
      </w:r>
    </w:p>
    <w:p w14:paraId="378CB5DC" w14:textId="384AC60D" w:rsidR="003C4818" w:rsidRPr="003162BE" w:rsidRDefault="003C4818" w:rsidP="003162BE">
      <w:pPr>
        <w:widowControl/>
        <w:tabs>
          <w:tab w:val="center" w:pos="4782"/>
          <w:tab w:val="right" w:pos="9564"/>
        </w:tabs>
        <w:rPr>
          <w:rFonts w:ascii="Verdana" w:hAnsi="Verdana" w:cs="Arial"/>
          <w:sz w:val="20"/>
          <w:szCs w:val="20"/>
        </w:rPr>
      </w:pPr>
    </w:p>
    <w:p w14:paraId="279CBAB7" w14:textId="77777777" w:rsidR="00DF1B79" w:rsidRPr="003162BE" w:rsidRDefault="00DF1B79" w:rsidP="003162BE">
      <w:pPr>
        <w:widowControl/>
        <w:tabs>
          <w:tab w:val="center" w:pos="4782"/>
          <w:tab w:val="right" w:pos="9564"/>
        </w:tabs>
        <w:rPr>
          <w:rFonts w:ascii="Verdana" w:hAnsi="Verdana" w:cs="Arial"/>
          <w:sz w:val="20"/>
          <w:szCs w:val="20"/>
        </w:rPr>
      </w:pPr>
    </w:p>
    <w:p w14:paraId="259320BC" w14:textId="77777777" w:rsidR="003162BE" w:rsidRPr="003162BE" w:rsidRDefault="003162BE" w:rsidP="003162BE">
      <w:pPr>
        <w:widowControl/>
        <w:tabs>
          <w:tab w:val="center" w:pos="4782"/>
          <w:tab w:val="right" w:pos="9564"/>
        </w:tabs>
        <w:rPr>
          <w:rFonts w:ascii="Verdana" w:hAnsi="Verdana" w:cs="Arial"/>
          <w:sz w:val="20"/>
          <w:szCs w:val="20"/>
        </w:rPr>
      </w:pPr>
    </w:p>
    <w:p w14:paraId="3B24B141" w14:textId="77777777" w:rsidR="003162BE" w:rsidRPr="003162BE" w:rsidRDefault="003162BE" w:rsidP="003162BE">
      <w:pPr>
        <w:widowControl/>
        <w:tabs>
          <w:tab w:val="center" w:pos="4782"/>
          <w:tab w:val="right" w:pos="9564"/>
        </w:tabs>
        <w:rPr>
          <w:rFonts w:ascii="Verdana" w:hAnsi="Verdana" w:cs="Arial"/>
          <w:sz w:val="20"/>
          <w:szCs w:val="20"/>
        </w:rPr>
      </w:pPr>
    </w:p>
    <w:p w14:paraId="2C298E1E" w14:textId="77777777" w:rsidR="003C4818" w:rsidRPr="00FD016C" w:rsidRDefault="003C4818" w:rsidP="003162BE">
      <w:pPr>
        <w:widowControl/>
        <w:tabs>
          <w:tab w:val="center" w:pos="4782"/>
          <w:tab w:val="right" w:pos="9564"/>
        </w:tabs>
        <w:rPr>
          <w:rFonts w:ascii="Verdana" w:hAnsi="Verdana" w:cs="Arial"/>
          <w:sz w:val="20"/>
          <w:szCs w:val="20"/>
        </w:rPr>
      </w:pPr>
      <w:r w:rsidRPr="00FD016C">
        <w:rPr>
          <w:rFonts w:ascii="Verdana" w:hAnsi="Verdana" w:cs="Arial"/>
          <w:sz w:val="20"/>
          <w:szCs w:val="20"/>
        </w:rPr>
        <w:t>EDVALDO LUÍS RISSO </w:t>
      </w:r>
    </w:p>
    <w:p w14:paraId="513DDC87" w14:textId="77777777" w:rsidR="003C4818" w:rsidRPr="00FD016C" w:rsidRDefault="003C4818" w:rsidP="003162BE">
      <w:pPr>
        <w:widowControl/>
        <w:tabs>
          <w:tab w:val="center" w:pos="4782"/>
          <w:tab w:val="right" w:pos="9564"/>
        </w:tabs>
        <w:rPr>
          <w:rFonts w:ascii="Verdana" w:hAnsi="Verdana" w:cs="Arial"/>
          <w:sz w:val="20"/>
          <w:szCs w:val="20"/>
        </w:rPr>
      </w:pPr>
      <w:r w:rsidRPr="00FD016C">
        <w:rPr>
          <w:rFonts w:ascii="Verdana" w:hAnsi="Verdana" w:cs="Arial"/>
          <w:sz w:val="20"/>
          <w:szCs w:val="20"/>
        </w:rPr>
        <w:t xml:space="preserve">Diretor de Administração e Finanças </w:t>
      </w:r>
    </w:p>
    <w:p w14:paraId="4D4219C2" w14:textId="77777777" w:rsidR="003C4818" w:rsidRPr="00FD016C" w:rsidRDefault="003C4818" w:rsidP="003C4818">
      <w:pPr>
        <w:widowControl/>
        <w:tabs>
          <w:tab w:val="center" w:pos="4782"/>
          <w:tab w:val="right" w:pos="9564"/>
        </w:tabs>
        <w:rPr>
          <w:rFonts w:ascii="Verdana" w:hAnsi="Verdana" w:cs="Arial"/>
          <w:sz w:val="20"/>
          <w:szCs w:val="20"/>
        </w:rPr>
      </w:pPr>
      <w:r w:rsidRPr="00FD016C">
        <w:rPr>
          <w:rFonts w:ascii="Verdana" w:hAnsi="Verdana" w:cs="Arial"/>
          <w:sz w:val="20"/>
          <w:szCs w:val="20"/>
        </w:rPr>
        <w:t>CPF: 005.199.978-16</w:t>
      </w:r>
    </w:p>
    <w:p w14:paraId="7BE304D5" w14:textId="77777777" w:rsidR="003C4818" w:rsidRPr="003162BE" w:rsidRDefault="003C4818" w:rsidP="003C4818">
      <w:pPr>
        <w:widowControl/>
        <w:tabs>
          <w:tab w:val="center" w:pos="4782"/>
          <w:tab w:val="right" w:pos="9564"/>
        </w:tabs>
        <w:rPr>
          <w:rFonts w:ascii="Verdana" w:hAnsi="Verdana" w:cs="Arial"/>
          <w:sz w:val="20"/>
          <w:szCs w:val="20"/>
        </w:rPr>
      </w:pPr>
    </w:p>
    <w:p w14:paraId="4F3D6C05" w14:textId="1CCB0FF4" w:rsidR="003C4818" w:rsidRPr="003162BE" w:rsidRDefault="003C4818" w:rsidP="003C4818">
      <w:pPr>
        <w:widowControl/>
        <w:tabs>
          <w:tab w:val="center" w:pos="4782"/>
          <w:tab w:val="right" w:pos="9564"/>
        </w:tabs>
        <w:rPr>
          <w:rFonts w:ascii="Verdana" w:hAnsi="Verdana" w:cs="Arial"/>
          <w:sz w:val="20"/>
          <w:szCs w:val="20"/>
        </w:rPr>
      </w:pPr>
    </w:p>
    <w:p w14:paraId="352FB65E" w14:textId="77777777" w:rsidR="00DF1B79" w:rsidRPr="003162BE" w:rsidRDefault="00DF1B79" w:rsidP="003C4818">
      <w:pPr>
        <w:widowControl/>
        <w:tabs>
          <w:tab w:val="center" w:pos="4782"/>
          <w:tab w:val="right" w:pos="9564"/>
        </w:tabs>
        <w:rPr>
          <w:rFonts w:ascii="Verdana" w:hAnsi="Verdana" w:cs="Arial"/>
          <w:sz w:val="20"/>
          <w:szCs w:val="20"/>
        </w:rPr>
      </w:pPr>
    </w:p>
    <w:p w14:paraId="0265D369" w14:textId="77777777" w:rsidR="003C4818" w:rsidRPr="003162BE" w:rsidRDefault="003C4818" w:rsidP="003C4818">
      <w:pPr>
        <w:widowControl/>
        <w:tabs>
          <w:tab w:val="center" w:pos="4782"/>
          <w:tab w:val="right" w:pos="9564"/>
        </w:tabs>
        <w:rPr>
          <w:rFonts w:ascii="Verdana" w:hAnsi="Verdana" w:cs="Arial"/>
          <w:sz w:val="20"/>
          <w:szCs w:val="20"/>
        </w:rPr>
      </w:pPr>
    </w:p>
    <w:p w14:paraId="176C2396" w14:textId="77777777" w:rsidR="003C4818" w:rsidRPr="003162BE" w:rsidRDefault="003C4818" w:rsidP="009E3232">
      <w:pPr>
        <w:jc w:val="both"/>
        <w:rPr>
          <w:rFonts w:ascii="Verdana" w:hAnsi="Verdana" w:cs="Arial"/>
          <w:sz w:val="20"/>
          <w:szCs w:val="20"/>
        </w:rPr>
      </w:pPr>
    </w:p>
    <w:p w14:paraId="78A7A2BE" w14:textId="77777777" w:rsidR="00DD0151" w:rsidRPr="00FD016C" w:rsidRDefault="00DD0151" w:rsidP="00DD0151">
      <w:pPr>
        <w:widowControl/>
        <w:tabs>
          <w:tab w:val="center" w:pos="4782"/>
          <w:tab w:val="right" w:pos="9564"/>
        </w:tabs>
        <w:rPr>
          <w:rFonts w:ascii="Verdana" w:hAnsi="Verdana" w:cs="Arial"/>
          <w:sz w:val="20"/>
          <w:szCs w:val="20"/>
        </w:rPr>
      </w:pPr>
      <w:r w:rsidRPr="00FD016C">
        <w:rPr>
          <w:rFonts w:ascii="Verdana" w:hAnsi="Verdana" w:cs="Arial"/>
          <w:sz w:val="20"/>
          <w:szCs w:val="20"/>
        </w:rPr>
        <w:t>RONALDO NETO ALCÂNTARA</w:t>
      </w:r>
    </w:p>
    <w:p w14:paraId="14079016" w14:textId="64B8B759" w:rsidR="003C4818" w:rsidRPr="00FD016C" w:rsidRDefault="003C4818" w:rsidP="00DD0151">
      <w:pPr>
        <w:jc w:val="both"/>
        <w:rPr>
          <w:rFonts w:ascii="Verdana" w:hAnsi="Verdana" w:cs="Arial"/>
          <w:sz w:val="20"/>
          <w:szCs w:val="20"/>
        </w:rPr>
      </w:pPr>
      <w:r w:rsidRPr="00FD016C">
        <w:rPr>
          <w:rFonts w:ascii="Verdana" w:hAnsi="Verdana" w:cs="Arial"/>
          <w:sz w:val="20"/>
          <w:szCs w:val="20"/>
        </w:rPr>
        <w:t>Superintendente Financeiro</w:t>
      </w:r>
      <w:r w:rsidR="009E3232" w:rsidRPr="00FD016C">
        <w:rPr>
          <w:rFonts w:ascii="Verdana" w:hAnsi="Verdana" w:cs="Arial"/>
          <w:sz w:val="20"/>
          <w:szCs w:val="20"/>
        </w:rPr>
        <w:t xml:space="preserve"> </w:t>
      </w:r>
    </w:p>
    <w:p w14:paraId="478889AD" w14:textId="77777777" w:rsidR="00DD0151" w:rsidRPr="00FD016C" w:rsidRDefault="003C4818" w:rsidP="00DD0151">
      <w:pPr>
        <w:widowControl/>
        <w:tabs>
          <w:tab w:val="center" w:pos="4782"/>
          <w:tab w:val="right" w:pos="9564"/>
        </w:tabs>
        <w:rPr>
          <w:rFonts w:ascii="Verdana" w:hAnsi="Verdana" w:cs="Arial"/>
          <w:sz w:val="20"/>
          <w:szCs w:val="20"/>
        </w:rPr>
      </w:pPr>
      <w:r w:rsidRPr="00FD016C">
        <w:rPr>
          <w:rFonts w:ascii="Verdana" w:hAnsi="Verdana" w:cs="Arial"/>
          <w:sz w:val="20"/>
          <w:szCs w:val="20"/>
        </w:rPr>
        <w:t xml:space="preserve">CPF: </w:t>
      </w:r>
      <w:r w:rsidR="00DD0151" w:rsidRPr="00FD016C">
        <w:rPr>
          <w:rFonts w:ascii="Verdana" w:hAnsi="Verdana" w:cs="Arial"/>
          <w:sz w:val="20"/>
          <w:szCs w:val="20"/>
        </w:rPr>
        <w:t>085.658.417-74 – CRC: RJ – 086615/O-4</w:t>
      </w:r>
    </w:p>
    <w:p w14:paraId="5EFB5BB2" w14:textId="3D92E5D9" w:rsidR="00FF3746" w:rsidRPr="003162BE" w:rsidRDefault="00FF3746" w:rsidP="00FF3746">
      <w:pPr>
        <w:rPr>
          <w:rFonts w:ascii="Calibri" w:hAnsi="Calibri" w:cs="Calibri"/>
          <w:sz w:val="20"/>
          <w:szCs w:val="20"/>
          <w:lang w:eastAsia="en-US"/>
        </w:rPr>
      </w:pPr>
    </w:p>
    <w:p w14:paraId="5C458EC7" w14:textId="3054F63C" w:rsidR="003C4818" w:rsidRPr="003162BE" w:rsidRDefault="003C4818" w:rsidP="00803F30">
      <w:pPr>
        <w:jc w:val="both"/>
        <w:rPr>
          <w:rFonts w:ascii="Verdana" w:hAnsi="Verdana" w:cs="Arial"/>
          <w:sz w:val="20"/>
          <w:szCs w:val="20"/>
        </w:rPr>
      </w:pPr>
      <w:r w:rsidRPr="003162BE">
        <w:rPr>
          <w:rFonts w:ascii="Verdana" w:hAnsi="Verdana" w:cs="Arial"/>
          <w:sz w:val="20"/>
          <w:szCs w:val="20"/>
        </w:rPr>
        <w:t xml:space="preserve"> </w:t>
      </w:r>
    </w:p>
    <w:p w14:paraId="46772C0C" w14:textId="285AD7DA" w:rsidR="00DF1B79" w:rsidRPr="003162BE" w:rsidRDefault="00DF1B79" w:rsidP="00803F30">
      <w:pPr>
        <w:jc w:val="both"/>
        <w:rPr>
          <w:rFonts w:ascii="Verdana" w:hAnsi="Verdana" w:cs="Arial"/>
          <w:sz w:val="20"/>
          <w:szCs w:val="20"/>
        </w:rPr>
      </w:pPr>
    </w:p>
    <w:p w14:paraId="40178F7A" w14:textId="77777777" w:rsidR="00DF1B79" w:rsidRPr="003162BE" w:rsidRDefault="00DF1B79" w:rsidP="00803F30">
      <w:pPr>
        <w:jc w:val="both"/>
        <w:rPr>
          <w:rFonts w:ascii="Verdana" w:hAnsi="Verdana" w:cs="Arial"/>
          <w:sz w:val="20"/>
          <w:szCs w:val="20"/>
        </w:rPr>
      </w:pPr>
    </w:p>
    <w:p w14:paraId="00F56463" w14:textId="77777777" w:rsidR="003C4818" w:rsidRPr="003162BE" w:rsidRDefault="003C4818" w:rsidP="003C4818">
      <w:pPr>
        <w:widowControl/>
        <w:tabs>
          <w:tab w:val="center" w:pos="4782"/>
          <w:tab w:val="right" w:pos="9564"/>
        </w:tabs>
        <w:rPr>
          <w:rFonts w:ascii="Verdana" w:hAnsi="Verdana" w:cs="Arial"/>
          <w:sz w:val="20"/>
          <w:szCs w:val="20"/>
        </w:rPr>
      </w:pPr>
    </w:p>
    <w:p w14:paraId="6118DAF7" w14:textId="77777777" w:rsidR="003C4818" w:rsidRPr="00FD016C" w:rsidRDefault="003C4818" w:rsidP="003C4818">
      <w:pPr>
        <w:widowControl/>
        <w:tabs>
          <w:tab w:val="center" w:pos="4782"/>
          <w:tab w:val="right" w:pos="9564"/>
        </w:tabs>
        <w:rPr>
          <w:rFonts w:ascii="Verdana" w:hAnsi="Verdana" w:cs="Arial"/>
          <w:sz w:val="20"/>
          <w:szCs w:val="20"/>
        </w:rPr>
      </w:pPr>
      <w:r w:rsidRPr="00FD016C">
        <w:rPr>
          <w:rFonts w:ascii="Verdana" w:hAnsi="Verdana" w:cs="Arial"/>
          <w:sz w:val="20"/>
          <w:szCs w:val="20"/>
        </w:rPr>
        <w:t>BEATRIZ ALBINO DA SILVA</w:t>
      </w:r>
    </w:p>
    <w:p w14:paraId="11952DFF" w14:textId="77777777" w:rsidR="003C4818" w:rsidRPr="00FD016C" w:rsidRDefault="003C4818" w:rsidP="003C4818">
      <w:pPr>
        <w:widowControl/>
        <w:tabs>
          <w:tab w:val="center" w:pos="4782"/>
          <w:tab w:val="right" w:pos="9564"/>
        </w:tabs>
        <w:rPr>
          <w:rFonts w:ascii="Verdana" w:hAnsi="Verdana" w:cs="Arial"/>
          <w:sz w:val="20"/>
          <w:szCs w:val="20"/>
        </w:rPr>
      </w:pPr>
      <w:r w:rsidRPr="00FD016C">
        <w:rPr>
          <w:rFonts w:ascii="Verdana" w:hAnsi="Verdana" w:cs="Arial"/>
          <w:sz w:val="20"/>
          <w:szCs w:val="20"/>
        </w:rPr>
        <w:t>Chefe de Departamento de Contabilidade</w:t>
      </w:r>
    </w:p>
    <w:p w14:paraId="3995136A" w14:textId="33D3DD78" w:rsidR="00170BA8" w:rsidRPr="00DA6A26" w:rsidRDefault="003C4818" w:rsidP="003C4818">
      <w:pPr>
        <w:widowControl/>
        <w:tabs>
          <w:tab w:val="center" w:pos="4782"/>
          <w:tab w:val="right" w:pos="9564"/>
        </w:tabs>
        <w:rPr>
          <w:rFonts w:ascii="Verdana" w:hAnsi="Verdana" w:cs="Arial"/>
          <w:color w:val="212121"/>
        </w:rPr>
      </w:pPr>
      <w:r w:rsidRPr="00FD016C">
        <w:rPr>
          <w:rFonts w:ascii="Verdana" w:hAnsi="Verdana" w:cs="Arial"/>
          <w:sz w:val="20"/>
          <w:szCs w:val="20"/>
        </w:rPr>
        <w:t>CPF: 090.436.427-54 – CRC: RJ – 098430/O-2</w:t>
      </w:r>
    </w:p>
    <w:sectPr w:rsidR="00170BA8" w:rsidRPr="00DA6A26" w:rsidSect="00B97C3A">
      <w:headerReference w:type="default" r:id="rId74"/>
      <w:footerReference w:type="even" r:id="rId75"/>
      <w:footerReference w:type="default" r:id="rId76"/>
      <w:footerReference w:type="first" r:id="rId77"/>
      <w:pgSz w:w="11906" w:h="16838" w:code="9"/>
      <w:pgMar w:top="284" w:right="924" w:bottom="0" w:left="1418"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6702" w16cex:dateUtc="2021-11-10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4DE066" w16cid:durableId="25366702"/>
  <w16cid:commentId w16cid:paraId="73C4AA94" w16cid:durableId="2533F6F1"/>
  <w16cid:commentId w16cid:paraId="2A593021" w16cid:durableId="2533F6F4"/>
  <w16cid:commentId w16cid:paraId="4CC228C6" w16cid:durableId="2533F6F6"/>
  <w16cid:commentId w16cid:paraId="3E848991" w16cid:durableId="2533F702"/>
  <w16cid:commentId w16cid:paraId="43DFD4AA" w16cid:durableId="2533F703"/>
  <w16cid:commentId w16cid:paraId="7A3E41A8" w16cid:durableId="2533F704"/>
  <w16cid:commentId w16cid:paraId="079C7F52" w16cid:durableId="2533F70C"/>
  <w16cid:commentId w16cid:paraId="1DDDA1DE" w16cid:durableId="2533F714"/>
  <w16cid:commentId w16cid:paraId="7125A1E9" w16cid:durableId="2533F7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85DF" w14:textId="77777777" w:rsidR="00C224B3" w:rsidRDefault="00C224B3">
      <w:r>
        <w:separator/>
      </w:r>
    </w:p>
  </w:endnote>
  <w:endnote w:type="continuationSeparator" w:id="0">
    <w:p w14:paraId="1CA769EA" w14:textId="77777777" w:rsidR="00C224B3" w:rsidRDefault="00C224B3">
      <w:r>
        <w:continuationSeparator/>
      </w:r>
    </w:p>
  </w:endnote>
  <w:endnote w:type="continuationNotice" w:id="1">
    <w:p w14:paraId="05DAB9EF" w14:textId="77777777" w:rsidR="00C224B3" w:rsidRDefault="00C224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panose1 w:val="00000000000000000000"/>
    <w:charset w:val="02"/>
    <w:family w:val="auto"/>
    <w:notTrueType/>
    <w:pitch w:val="variable"/>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84A96" w14:textId="77777777" w:rsidR="00C224B3" w:rsidRDefault="00C224B3">
    <w:pPr>
      <w:pStyle w:val="Rodap"/>
    </w:pPr>
  </w:p>
  <w:p w14:paraId="63B247F0" w14:textId="77777777" w:rsidR="00C224B3" w:rsidRDefault="00C224B3" w:rsidP="00C55DAA">
    <w:pPr>
      <w:pStyle w:val="DSLxSty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EAA9" w14:textId="56152A8F" w:rsidR="00C224B3" w:rsidRDefault="00C224B3" w:rsidP="00C6723C">
    <w:pPr>
      <w:pStyle w:val="Rodap"/>
      <w:jc w:val="center"/>
      <w:rPr>
        <w:rStyle w:val="Nmerodepgina"/>
        <w:sz w:val="20"/>
        <w:szCs w:val="20"/>
      </w:rPr>
    </w:pPr>
    <w:r w:rsidRPr="00C6723C">
      <w:rPr>
        <w:rStyle w:val="Nmerodepgina"/>
        <w:sz w:val="20"/>
        <w:szCs w:val="20"/>
      </w:rPr>
      <w:fldChar w:fldCharType="begin"/>
    </w:r>
    <w:r w:rsidRPr="00C6723C">
      <w:rPr>
        <w:rStyle w:val="Nmerodepgina"/>
        <w:sz w:val="20"/>
        <w:szCs w:val="20"/>
      </w:rPr>
      <w:instrText xml:space="preserve"> PAGE </w:instrText>
    </w:r>
    <w:r w:rsidRPr="00C6723C">
      <w:rPr>
        <w:rStyle w:val="Nmerodepgina"/>
        <w:sz w:val="20"/>
        <w:szCs w:val="20"/>
      </w:rPr>
      <w:fldChar w:fldCharType="separate"/>
    </w:r>
    <w:r w:rsidR="00D74234">
      <w:rPr>
        <w:rStyle w:val="Nmerodepgina"/>
        <w:noProof/>
        <w:sz w:val="20"/>
        <w:szCs w:val="20"/>
      </w:rPr>
      <w:t>66</w:t>
    </w:r>
    <w:r w:rsidRPr="00C6723C">
      <w:rPr>
        <w:rStyle w:val="Nmerodepgina"/>
        <w:sz w:val="20"/>
        <w:szCs w:val="20"/>
      </w:rPr>
      <w:fldChar w:fldCharType="end"/>
    </w:r>
  </w:p>
  <w:p w14:paraId="2AC426B1" w14:textId="77777777" w:rsidR="00C224B3" w:rsidRPr="00C6723C" w:rsidRDefault="00C224B3" w:rsidP="00C55DAA">
    <w:pPr>
      <w:pStyle w:val="DSLxSty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C773" w14:textId="77777777" w:rsidR="00C224B3" w:rsidRDefault="00C224B3">
    <w:pPr>
      <w:pStyle w:val="Rodap"/>
    </w:pPr>
  </w:p>
  <w:p w14:paraId="376150A8" w14:textId="77777777" w:rsidR="00C224B3" w:rsidRDefault="00C224B3" w:rsidP="00C55DAA">
    <w:pPr>
      <w:pStyle w:val="DSLxSty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9718" w14:textId="77777777" w:rsidR="00C224B3" w:rsidRDefault="00C224B3">
      <w:r>
        <w:separator/>
      </w:r>
    </w:p>
  </w:footnote>
  <w:footnote w:type="continuationSeparator" w:id="0">
    <w:p w14:paraId="64575F03" w14:textId="77777777" w:rsidR="00C224B3" w:rsidRDefault="00C224B3">
      <w:r>
        <w:continuationSeparator/>
      </w:r>
    </w:p>
  </w:footnote>
  <w:footnote w:type="continuationNotice" w:id="1">
    <w:p w14:paraId="172B7F8B" w14:textId="77777777" w:rsidR="00C224B3" w:rsidRDefault="00C224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B7A4" w14:textId="280D4064" w:rsidR="00C224B3" w:rsidRDefault="00C224B3">
    <w:pPr>
      <w:pStyle w:val="Cabealho"/>
    </w:pPr>
    <w:r>
      <w:rPr>
        <w:noProof/>
      </w:rPr>
      <w:drawing>
        <wp:anchor distT="0" distB="0" distL="114300" distR="114300" simplePos="0" relativeHeight="251659264" behindDoc="0" locked="0" layoutInCell="1" allowOverlap="1" wp14:anchorId="691D0F81" wp14:editId="70E87A5B">
          <wp:simplePos x="0" y="0"/>
          <wp:positionH relativeFrom="column">
            <wp:posOffset>0</wp:posOffset>
          </wp:positionH>
          <wp:positionV relativeFrom="paragraph">
            <wp:posOffset>-2540</wp:posOffset>
          </wp:positionV>
          <wp:extent cx="3440430" cy="859155"/>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0430" cy="859155"/>
                  </a:xfrm>
                  <a:prstGeom prst="rect">
                    <a:avLst/>
                  </a:prstGeom>
                  <a:noFill/>
                </pic:spPr>
              </pic:pic>
            </a:graphicData>
          </a:graphic>
        </wp:anchor>
      </w:drawing>
    </w:r>
  </w:p>
  <w:p w14:paraId="7A93DD40" w14:textId="77777777" w:rsidR="00C224B3" w:rsidRDefault="00C224B3">
    <w:pPr>
      <w:pStyle w:val="Cabealho"/>
    </w:pPr>
  </w:p>
  <w:p w14:paraId="159BD5D1" w14:textId="778AEF5A" w:rsidR="00C224B3" w:rsidRPr="0033104E" w:rsidRDefault="00C224B3">
    <w:pPr>
      <w:pStyle w:val="Cabealho"/>
    </w:pPr>
  </w:p>
  <w:p w14:paraId="16666641" w14:textId="77777777" w:rsidR="00C224B3" w:rsidRDefault="00C224B3">
    <w:pPr>
      <w:pStyle w:val="Cabealho"/>
    </w:pPr>
  </w:p>
  <w:p w14:paraId="716D8F59" w14:textId="77777777" w:rsidR="00C224B3" w:rsidRDefault="00C224B3" w:rsidP="00F679A9">
    <w:pPr>
      <w:pStyle w:val="Cabealho"/>
      <w:tabs>
        <w:tab w:val="clear" w:pos="4513"/>
        <w:tab w:val="clear" w:pos="9026"/>
        <w:tab w:val="left" w:pos="3390"/>
      </w:tabs>
    </w:pPr>
    <w:r>
      <w:tab/>
    </w:r>
  </w:p>
  <w:p w14:paraId="13212AF7" w14:textId="3219B4DD" w:rsidR="00C224B3" w:rsidRDefault="00C224B3">
    <w:pPr>
      <w:pStyle w:val="Cabealho"/>
    </w:pPr>
    <w:r>
      <w:t>_______________________________________________________________________________</w:t>
    </w:r>
  </w:p>
  <w:p w14:paraId="7A7A1347" w14:textId="77777777" w:rsidR="00C224B3" w:rsidRDefault="00C224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9C3480"/>
    <w:lvl w:ilvl="0">
      <w:start w:val="1"/>
      <w:numFmt w:val="bullet"/>
      <w:pStyle w:val="Marcador"/>
      <w:lvlText w:val=""/>
      <w:lvlJc w:val="left"/>
      <w:pPr>
        <w:tabs>
          <w:tab w:val="num" w:pos="360"/>
        </w:tabs>
        <w:ind w:left="360" w:hanging="360"/>
      </w:pPr>
      <w:rPr>
        <w:rFonts w:ascii="Symbol" w:hAnsi="Symbol" w:hint="default"/>
      </w:rPr>
    </w:lvl>
  </w:abstractNum>
  <w:abstractNum w:abstractNumId="1" w15:restartNumberingAfterBreak="0">
    <w:nsid w:val="01A12EB1"/>
    <w:multiLevelType w:val="hybridMultilevel"/>
    <w:tmpl w:val="B26A3B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64F2670"/>
    <w:multiLevelType w:val="hybridMultilevel"/>
    <w:tmpl w:val="0F1AAFE6"/>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223DD"/>
    <w:multiLevelType w:val="hybridMultilevel"/>
    <w:tmpl w:val="0442C65C"/>
    <w:lvl w:ilvl="0" w:tplc="5BE86DD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984408E"/>
    <w:multiLevelType w:val="multilevel"/>
    <w:tmpl w:val="CF020DFA"/>
    <w:name w:val="PwCListNumbers1"/>
    <w:styleLink w:val="PwCListNumbers1"/>
    <w:lvl w:ilvl="0">
      <w:start w:val="1"/>
      <w:numFmt w:val="decimal"/>
      <w:pStyle w:val="Numerada"/>
      <w:lvlText w:val="%1."/>
      <w:lvlJc w:val="left"/>
      <w:pPr>
        <w:tabs>
          <w:tab w:val="num" w:pos="397"/>
        </w:tabs>
        <w:ind w:left="397" w:hanging="397"/>
      </w:pPr>
      <w:rPr>
        <w:rFonts w:cs="Times New Roman" w:hint="default"/>
      </w:rPr>
    </w:lvl>
    <w:lvl w:ilvl="1">
      <w:start w:val="1"/>
      <w:numFmt w:val="lowerLetter"/>
      <w:pStyle w:val="Numerada2"/>
      <w:lvlText w:val="%2."/>
      <w:lvlJc w:val="left"/>
      <w:pPr>
        <w:tabs>
          <w:tab w:val="num" w:pos="794"/>
        </w:tabs>
        <w:ind w:left="794" w:hanging="397"/>
      </w:pPr>
      <w:rPr>
        <w:rFonts w:cs="Times New Roman" w:hint="default"/>
      </w:rPr>
    </w:lvl>
    <w:lvl w:ilvl="2">
      <w:start w:val="1"/>
      <w:numFmt w:val="lowerRoman"/>
      <w:pStyle w:val="Numerada3"/>
      <w:lvlText w:val="%3."/>
      <w:lvlJc w:val="left"/>
      <w:pPr>
        <w:tabs>
          <w:tab w:val="num" w:pos="1191"/>
        </w:tabs>
        <w:ind w:left="1191" w:hanging="397"/>
      </w:pPr>
      <w:rPr>
        <w:rFonts w:cs="Times New Roman" w:hint="default"/>
      </w:rPr>
    </w:lvl>
    <w:lvl w:ilvl="3">
      <w:start w:val="1"/>
      <w:numFmt w:val="decimal"/>
      <w:pStyle w:val="Numerada4"/>
      <w:lvlText w:val="%4."/>
      <w:lvlJc w:val="left"/>
      <w:pPr>
        <w:tabs>
          <w:tab w:val="num" w:pos="1588"/>
        </w:tabs>
        <w:ind w:left="1588" w:hanging="397"/>
      </w:pPr>
      <w:rPr>
        <w:rFonts w:cs="Times New Roman" w:hint="default"/>
      </w:rPr>
    </w:lvl>
    <w:lvl w:ilvl="4">
      <w:start w:val="1"/>
      <w:numFmt w:val="lowerLetter"/>
      <w:pStyle w:val="Numerada5"/>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5" w15:restartNumberingAfterBreak="0">
    <w:nsid w:val="0B0F68C0"/>
    <w:multiLevelType w:val="hybridMultilevel"/>
    <w:tmpl w:val="A0263C78"/>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start w:val="1"/>
      <w:numFmt w:val="bullet"/>
      <w:lvlText w:val=""/>
      <w:lvlJc w:val="left"/>
      <w:pPr>
        <w:ind w:left="1803" w:hanging="360"/>
      </w:pPr>
      <w:rPr>
        <w:rFonts w:ascii="Wingdings" w:hAnsi="Wingdings" w:hint="default"/>
      </w:rPr>
    </w:lvl>
    <w:lvl w:ilvl="3" w:tplc="04160001">
      <w:start w:val="1"/>
      <w:numFmt w:val="bullet"/>
      <w:lvlText w:val=""/>
      <w:lvlJc w:val="left"/>
      <w:pPr>
        <w:ind w:left="2523" w:hanging="360"/>
      </w:pPr>
      <w:rPr>
        <w:rFonts w:ascii="Symbol" w:hAnsi="Symbol" w:hint="default"/>
      </w:rPr>
    </w:lvl>
    <w:lvl w:ilvl="4" w:tplc="04160003">
      <w:start w:val="1"/>
      <w:numFmt w:val="bullet"/>
      <w:lvlText w:val="o"/>
      <w:lvlJc w:val="left"/>
      <w:pPr>
        <w:ind w:left="3243" w:hanging="360"/>
      </w:pPr>
      <w:rPr>
        <w:rFonts w:ascii="Courier New" w:hAnsi="Courier New" w:cs="Courier New" w:hint="default"/>
      </w:rPr>
    </w:lvl>
    <w:lvl w:ilvl="5" w:tplc="04160005">
      <w:start w:val="1"/>
      <w:numFmt w:val="bullet"/>
      <w:lvlText w:val=""/>
      <w:lvlJc w:val="left"/>
      <w:pPr>
        <w:ind w:left="3963" w:hanging="360"/>
      </w:pPr>
      <w:rPr>
        <w:rFonts w:ascii="Wingdings" w:hAnsi="Wingdings" w:hint="default"/>
      </w:rPr>
    </w:lvl>
    <w:lvl w:ilvl="6" w:tplc="04160001">
      <w:start w:val="1"/>
      <w:numFmt w:val="bullet"/>
      <w:lvlText w:val=""/>
      <w:lvlJc w:val="left"/>
      <w:pPr>
        <w:ind w:left="4683" w:hanging="360"/>
      </w:pPr>
      <w:rPr>
        <w:rFonts w:ascii="Symbol" w:hAnsi="Symbol" w:hint="default"/>
      </w:rPr>
    </w:lvl>
    <w:lvl w:ilvl="7" w:tplc="04160003">
      <w:start w:val="1"/>
      <w:numFmt w:val="bullet"/>
      <w:lvlText w:val="o"/>
      <w:lvlJc w:val="left"/>
      <w:pPr>
        <w:ind w:left="5403" w:hanging="360"/>
      </w:pPr>
      <w:rPr>
        <w:rFonts w:ascii="Courier New" w:hAnsi="Courier New" w:cs="Courier New" w:hint="default"/>
      </w:rPr>
    </w:lvl>
    <w:lvl w:ilvl="8" w:tplc="04160005">
      <w:start w:val="1"/>
      <w:numFmt w:val="bullet"/>
      <w:lvlText w:val=""/>
      <w:lvlJc w:val="left"/>
      <w:pPr>
        <w:ind w:left="6123" w:hanging="360"/>
      </w:pPr>
      <w:rPr>
        <w:rFonts w:ascii="Wingdings" w:hAnsi="Wingdings" w:hint="default"/>
      </w:rPr>
    </w:lvl>
  </w:abstractNum>
  <w:abstractNum w:abstractNumId="6" w15:restartNumberingAfterBreak="0">
    <w:nsid w:val="0D5B7D20"/>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7" w15:restartNumberingAfterBreak="0">
    <w:nsid w:val="1029172C"/>
    <w:multiLevelType w:val="hybridMultilevel"/>
    <w:tmpl w:val="5950B7D0"/>
    <w:lvl w:ilvl="0" w:tplc="4106E062">
      <w:start w:val="1"/>
      <w:numFmt w:val="lowerLetter"/>
      <w:lvlText w:val="%1)"/>
      <w:lvlJc w:val="left"/>
      <w:pPr>
        <w:ind w:left="502"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0F703B1"/>
    <w:multiLevelType w:val="hybridMultilevel"/>
    <w:tmpl w:val="BAEA28B4"/>
    <w:lvl w:ilvl="0" w:tplc="F0EEA0D0">
      <w:start w:val="1"/>
      <w:numFmt w:val="lowerLetter"/>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1621CD"/>
    <w:multiLevelType w:val="hybridMultilevel"/>
    <w:tmpl w:val="0BD67D7A"/>
    <w:lvl w:ilvl="0" w:tplc="E7BCDD94">
      <w:start w:val="1"/>
      <w:numFmt w:val="lowerLetter"/>
      <w:lvlText w:val="%1)"/>
      <w:lvlJc w:val="left"/>
      <w:pPr>
        <w:ind w:left="1211" w:hanging="360"/>
      </w:pPr>
      <w:rPr>
        <w:rFonts w:hint="default"/>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26B3921"/>
    <w:multiLevelType w:val="hybridMultilevel"/>
    <w:tmpl w:val="C3CAA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EF1D05"/>
    <w:multiLevelType w:val="multilevel"/>
    <w:tmpl w:val="A892789E"/>
    <w:styleLink w:val="EstiloCommarcadoresSymbolsmboloAzulesquerda063cm"/>
    <w:lvl w:ilvl="0">
      <w:start w:val="1"/>
      <w:numFmt w:val="bullet"/>
      <w:lvlText w:val=""/>
      <w:lvlJc w:val="left"/>
      <w:pPr>
        <w:tabs>
          <w:tab w:val="num" w:pos="720"/>
        </w:tabs>
        <w:ind w:left="720" w:hanging="360"/>
      </w:pPr>
      <w:rPr>
        <w:rFonts w:ascii="Symbol" w:hAnsi="Symbol"/>
        <w:color w:val="1F497D"/>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B3842"/>
    <w:multiLevelType w:val="hybridMultilevel"/>
    <w:tmpl w:val="98740CCA"/>
    <w:lvl w:ilvl="0" w:tplc="254891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DA6CC8"/>
    <w:multiLevelType w:val="hybridMultilevel"/>
    <w:tmpl w:val="DA58FB7C"/>
    <w:lvl w:ilvl="0" w:tplc="8BDE5D12">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0613D8B"/>
    <w:multiLevelType w:val="hybridMultilevel"/>
    <w:tmpl w:val="6FE2C450"/>
    <w:lvl w:ilvl="0" w:tplc="6CB8629C">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9C725D"/>
    <w:multiLevelType w:val="hybridMultilevel"/>
    <w:tmpl w:val="414A42BA"/>
    <w:lvl w:ilvl="0" w:tplc="48BCB266">
      <w:start w:val="1"/>
      <w:numFmt w:val="lowerLetter"/>
      <w:lvlText w:val="%1)"/>
      <w:lvlJc w:val="left"/>
      <w:pPr>
        <w:ind w:left="360" w:hanging="360"/>
      </w:pPr>
      <w:rPr>
        <w:rFonts w:hint="default"/>
        <w:b/>
        <w:bCs/>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6" w15:restartNumberingAfterBreak="0">
    <w:nsid w:val="31B17D7E"/>
    <w:multiLevelType w:val="hybridMultilevel"/>
    <w:tmpl w:val="ECF294D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DC61AB"/>
    <w:multiLevelType w:val="hybridMultilevel"/>
    <w:tmpl w:val="C9348A7C"/>
    <w:lvl w:ilvl="0" w:tplc="8D52F16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6731C37"/>
    <w:multiLevelType w:val="hybridMultilevel"/>
    <w:tmpl w:val="67FCCB96"/>
    <w:lvl w:ilvl="0" w:tplc="29088B16">
      <w:start w:val="1"/>
      <w:numFmt w:val="lowerLetter"/>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E24C01"/>
    <w:multiLevelType w:val="hybridMultilevel"/>
    <w:tmpl w:val="FE7A4AA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6FB02C0"/>
    <w:multiLevelType w:val="hybridMultilevel"/>
    <w:tmpl w:val="59988B18"/>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6F26A9"/>
    <w:multiLevelType w:val="hybridMultilevel"/>
    <w:tmpl w:val="889A22D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3BE87206"/>
    <w:multiLevelType w:val="singleLevel"/>
    <w:tmpl w:val="7D9EB328"/>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BFC7F74"/>
    <w:multiLevelType w:val="hybridMultilevel"/>
    <w:tmpl w:val="90CEA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FFC5E89"/>
    <w:multiLevelType w:val="hybridMultilevel"/>
    <w:tmpl w:val="CE9A7844"/>
    <w:lvl w:ilvl="0" w:tplc="34889598">
      <w:start w:val="1"/>
      <w:numFmt w:val="lowerLetter"/>
      <w:lvlText w:val="%1)"/>
      <w:lvlJc w:val="left"/>
      <w:pPr>
        <w:ind w:left="360" w:hanging="360"/>
      </w:pPr>
      <w:rPr>
        <w:rFonts w:ascii="Arial" w:hAnsi="Arial" w:cs="Arial" w:hint="default"/>
        <w:b/>
        <w:color w:val="0070C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42D81665"/>
    <w:multiLevelType w:val="hybridMultilevel"/>
    <w:tmpl w:val="96C0CDEC"/>
    <w:lvl w:ilvl="0" w:tplc="70DC2526">
      <w:start w:val="1"/>
      <w:numFmt w:val="lowerLetter"/>
      <w:lvlText w:val="%1)"/>
      <w:lvlJc w:val="left"/>
      <w:pPr>
        <w:ind w:left="1565" w:hanging="360"/>
      </w:pPr>
      <w:rPr>
        <w:rFonts w:hint="default"/>
        <w:sz w:val="24"/>
        <w:szCs w:val="24"/>
      </w:rPr>
    </w:lvl>
    <w:lvl w:ilvl="1" w:tplc="04160019" w:tentative="1">
      <w:start w:val="1"/>
      <w:numFmt w:val="lowerLetter"/>
      <w:lvlText w:val="%2."/>
      <w:lvlJc w:val="left"/>
      <w:pPr>
        <w:ind w:left="2285" w:hanging="360"/>
      </w:pPr>
    </w:lvl>
    <w:lvl w:ilvl="2" w:tplc="0416001B" w:tentative="1">
      <w:start w:val="1"/>
      <w:numFmt w:val="lowerRoman"/>
      <w:lvlText w:val="%3."/>
      <w:lvlJc w:val="right"/>
      <w:pPr>
        <w:ind w:left="3005" w:hanging="180"/>
      </w:pPr>
    </w:lvl>
    <w:lvl w:ilvl="3" w:tplc="0416000F" w:tentative="1">
      <w:start w:val="1"/>
      <w:numFmt w:val="decimal"/>
      <w:lvlText w:val="%4."/>
      <w:lvlJc w:val="left"/>
      <w:pPr>
        <w:ind w:left="3725" w:hanging="360"/>
      </w:pPr>
    </w:lvl>
    <w:lvl w:ilvl="4" w:tplc="04160019" w:tentative="1">
      <w:start w:val="1"/>
      <w:numFmt w:val="lowerLetter"/>
      <w:lvlText w:val="%5."/>
      <w:lvlJc w:val="left"/>
      <w:pPr>
        <w:ind w:left="4445" w:hanging="360"/>
      </w:pPr>
    </w:lvl>
    <w:lvl w:ilvl="5" w:tplc="0416001B" w:tentative="1">
      <w:start w:val="1"/>
      <w:numFmt w:val="lowerRoman"/>
      <w:lvlText w:val="%6."/>
      <w:lvlJc w:val="right"/>
      <w:pPr>
        <w:ind w:left="5165" w:hanging="180"/>
      </w:pPr>
    </w:lvl>
    <w:lvl w:ilvl="6" w:tplc="0416000F" w:tentative="1">
      <w:start w:val="1"/>
      <w:numFmt w:val="decimal"/>
      <w:lvlText w:val="%7."/>
      <w:lvlJc w:val="left"/>
      <w:pPr>
        <w:ind w:left="5885" w:hanging="360"/>
      </w:pPr>
    </w:lvl>
    <w:lvl w:ilvl="7" w:tplc="04160019" w:tentative="1">
      <w:start w:val="1"/>
      <w:numFmt w:val="lowerLetter"/>
      <w:lvlText w:val="%8."/>
      <w:lvlJc w:val="left"/>
      <w:pPr>
        <w:ind w:left="6605" w:hanging="360"/>
      </w:pPr>
    </w:lvl>
    <w:lvl w:ilvl="8" w:tplc="0416001B" w:tentative="1">
      <w:start w:val="1"/>
      <w:numFmt w:val="lowerRoman"/>
      <w:lvlText w:val="%9."/>
      <w:lvlJc w:val="right"/>
      <w:pPr>
        <w:ind w:left="7325" w:hanging="180"/>
      </w:pPr>
    </w:lvl>
  </w:abstractNum>
  <w:abstractNum w:abstractNumId="26" w15:restartNumberingAfterBreak="0">
    <w:nsid w:val="43850B21"/>
    <w:multiLevelType w:val="hybridMultilevel"/>
    <w:tmpl w:val="4EB4DAEA"/>
    <w:lvl w:ilvl="0" w:tplc="E7BCDD94">
      <w:start w:val="1"/>
      <w:numFmt w:val="lowerLetter"/>
      <w:lvlText w:val="%1)"/>
      <w:lvlJc w:val="left"/>
      <w:pPr>
        <w:ind w:left="36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39D2FA4"/>
    <w:multiLevelType w:val="hybridMultilevel"/>
    <w:tmpl w:val="A832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63F58"/>
    <w:multiLevelType w:val="hybridMultilevel"/>
    <w:tmpl w:val="84680CF0"/>
    <w:lvl w:ilvl="0" w:tplc="4BE2817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AF5671D"/>
    <w:multiLevelType w:val="hybridMultilevel"/>
    <w:tmpl w:val="1CF8A25C"/>
    <w:lvl w:ilvl="0" w:tplc="04160017">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0" w15:restartNumberingAfterBreak="0">
    <w:nsid w:val="4D463C02"/>
    <w:multiLevelType w:val="hybridMultilevel"/>
    <w:tmpl w:val="CAF4993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1965D9"/>
    <w:multiLevelType w:val="hybridMultilevel"/>
    <w:tmpl w:val="255CBB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9B7B39"/>
    <w:multiLevelType w:val="hybridMultilevel"/>
    <w:tmpl w:val="1D6E7B80"/>
    <w:lvl w:ilvl="0" w:tplc="5EEABC72">
      <w:start w:val="1"/>
      <w:numFmt w:val="lowerLetter"/>
      <w:lvlText w:val="%1)"/>
      <w:lvlJc w:val="left"/>
      <w:pPr>
        <w:ind w:left="1211" w:hanging="360"/>
      </w:pPr>
      <w:rPr>
        <w:rFonts w:hint="default"/>
        <w:b/>
        <w:sz w:val="24"/>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52110D96"/>
    <w:multiLevelType w:val="hybridMultilevel"/>
    <w:tmpl w:val="FBBABA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262B03"/>
    <w:multiLevelType w:val="hybridMultilevel"/>
    <w:tmpl w:val="D7660110"/>
    <w:lvl w:ilvl="0" w:tplc="04160017">
      <w:start w:val="2"/>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54337EC8"/>
    <w:multiLevelType w:val="hybridMultilevel"/>
    <w:tmpl w:val="0FD25A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E02DCB"/>
    <w:multiLevelType w:val="hybridMultilevel"/>
    <w:tmpl w:val="E5CC69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8DB08D5"/>
    <w:multiLevelType w:val="singleLevel"/>
    <w:tmpl w:val="62524A7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D834665"/>
    <w:multiLevelType w:val="multilevel"/>
    <w:tmpl w:val="B2FCDBA8"/>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156352"/>
    <w:multiLevelType w:val="hybridMultilevel"/>
    <w:tmpl w:val="8C54FCC4"/>
    <w:lvl w:ilvl="0" w:tplc="04160017">
      <w:start w:val="6"/>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4D2662"/>
    <w:multiLevelType w:val="hybridMultilevel"/>
    <w:tmpl w:val="8B7EF3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600503A"/>
    <w:multiLevelType w:val="hybridMultilevel"/>
    <w:tmpl w:val="DA6C0C2E"/>
    <w:lvl w:ilvl="0" w:tplc="63E0F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485D1C"/>
    <w:multiLevelType w:val="hybridMultilevel"/>
    <w:tmpl w:val="5210C50A"/>
    <w:lvl w:ilvl="0" w:tplc="04160001">
      <w:start w:val="1"/>
      <w:numFmt w:val="bullet"/>
      <w:lvlText w:val=""/>
      <w:lvlJc w:val="left"/>
      <w:pPr>
        <w:tabs>
          <w:tab w:val="num" w:pos="720"/>
        </w:tabs>
        <w:ind w:left="720" w:hanging="360"/>
      </w:pPr>
      <w:rPr>
        <w:rFonts w:ascii="Symbol" w:hAnsi="Symbol" w:hint="default"/>
      </w:rPr>
    </w:lvl>
    <w:lvl w:ilvl="1" w:tplc="BA7CD348">
      <w:numFmt w:val="bullet"/>
      <w:lvlText w:val="·"/>
      <w:lvlJc w:val="left"/>
      <w:pPr>
        <w:ind w:left="1755" w:hanging="675"/>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82255C"/>
    <w:multiLevelType w:val="hybridMultilevel"/>
    <w:tmpl w:val="C94AB434"/>
    <w:lvl w:ilvl="0" w:tplc="BB44A8F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CF7005"/>
    <w:multiLevelType w:val="hybridMultilevel"/>
    <w:tmpl w:val="AD4CD9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2591CA9"/>
    <w:multiLevelType w:val="multilevel"/>
    <w:tmpl w:val="B790A32C"/>
    <w:name w:val="PwCListBullets1"/>
    <w:styleLink w:val="PwCListBullets1"/>
    <w:lvl w:ilvl="0">
      <w:start w:val="1"/>
      <w:numFmt w:val="bullet"/>
      <w:pStyle w:val="Commarcadores"/>
      <w:lvlText w:val=""/>
      <w:lvlJc w:val="left"/>
      <w:pPr>
        <w:tabs>
          <w:tab w:val="num" w:pos="397"/>
        </w:tabs>
        <w:ind w:left="397" w:hanging="397"/>
      </w:pPr>
      <w:rPr>
        <w:rFonts w:ascii="Symbol" w:hAnsi="Symbol" w:hint="default"/>
      </w:rPr>
    </w:lvl>
    <w:lvl w:ilvl="1">
      <w:start w:val="1"/>
      <w:numFmt w:val="bullet"/>
      <w:pStyle w:val="Commarcadores2"/>
      <w:lvlText w:val=""/>
      <w:lvlJc w:val="left"/>
      <w:pPr>
        <w:tabs>
          <w:tab w:val="num" w:pos="794"/>
        </w:tabs>
        <w:ind w:left="794" w:hanging="397"/>
      </w:pPr>
      <w:rPr>
        <w:rFonts w:ascii="Symbol" w:hAnsi="Symbol" w:hint="default"/>
      </w:rPr>
    </w:lvl>
    <w:lvl w:ilvl="2">
      <w:start w:val="1"/>
      <w:numFmt w:val="bullet"/>
      <w:pStyle w:val="Commarcadores3"/>
      <w:lvlText w:val=""/>
      <w:lvlJc w:val="left"/>
      <w:pPr>
        <w:tabs>
          <w:tab w:val="num" w:pos="1191"/>
        </w:tabs>
        <w:ind w:left="1191" w:hanging="397"/>
      </w:pPr>
      <w:rPr>
        <w:rFonts w:ascii="Symbol" w:hAnsi="Symbol" w:hint="default"/>
      </w:rPr>
    </w:lvl>
    <w:lvl w:ilvl="3">
      <w:start w:val="1"/>
      <w:numFmt w:val="bullet"/>
      <w:pStyle w:val="Commarcadores4"/>
      <w:lvlText w:val=""/>
      <w:lvlJc w:val="left"/>
      <w:pPr>
        <w:tabs>
          <w:tab w:val="num" w:pos="1588"/>
        </w:tabs>
        <w:ind w:left="1588" w:hanging="397"/>
      </w:pPr>
      <w:rPr>
        <w:rFonts w:ascii="Symbol" w:hAnsi="Symbol" w:hint="default"/>
      </w:rPr>
    </w:lvl>
    <w:lvl w:ilvl="4">
      <w:start w:val="1"/>
      <w:numFmt w:val="bullet"/>
      <w:pStyle w:val="Commarcadores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abstractNum w:abstractNumId="46" w15:restartNumberingAfterBreak="0">
    <w:nsid w:val="7A0B571E"/>
    <w:multiLevelType w:val="hybridMultilevel"/>
    <w:tmpl w:val="E2FC9A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E1D76B8"/>
    <w:multiLevelType w:val="hybridMultilevel"/>
    <w:tmpl w:val="63A066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3F7C17"/>
    <w:multiLevelType w:val="hybridMultilevel"/>
    <w:tmpl w:val="891678E4"/>
    <w:lvl w:ilvl="0" w:tplc="6748D6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5"/>
  </w:num>
  <w:num w:numId="3">
    <w:abstractNumId w:val="4"/>
  </w:num>
  <w:num w:numId="4">
    <w:abstractNumId w:val="37"/>
  </w:num>
  <w:num w:numId="5">
    <w:abstractNumId w:val="42"/>
  </w:num>
  <w:num w:numId="6">
    <w:abstractNumId w:val="11"/>
  </w:num>
  <w:num w:numId="7">
    <w:abstractNumId w:val="39"/>
  </w:num>
  <w:num w:numId="8">
    <w:abstractNumId w:val="26"/>
  </w:num>
  <w:num w:numId="9">
    <w:abstractNumId w:val="32"/>
  </w:num>
  <w:num w:numId="10">
    <w:abstractNumId w:val="23"/>
  </w:num>
  <w:num w:numId="11">
    <w:abstractNumId w:val="22"/>
  </w:num>
  <w:num w:numId="12">
    <w:abstractNumId w:val="16"/>
  </w:num>
  <w:num w:numId="13">
    <w:abstractNumId w:val="34"/>
  </w:num>
  <w:num w:numId="14">
    <w:abstractNumId w:val="18"/>
  </w:num>
  <w:num w:numId="15">
    <w:abstractNumId w:val="5"/>
  </w:num>
  <w:num w:numId="16">
    <w:abstractNumId w:val="2"/>
  </w:num>
  <w:num w:numId="17">
    <w:abstractNumId w:val="7"/>
  </w:num>
  <w:num w:numId="18">
    <w:abstractNumId w:val="47"/>
  </w:num>
  <w:num w:numId="19">
    <w:abstractNumId w:val="1"/>
  </w:num>
  <w:num w:numId="20">
    <w:abstractNumId w:val="17"/>
  </w:num>
  <w:num w:numId="21">
    <w:abstractNumId w:val="15"/>
  </w:num>
  <w:num w:numId="22">
    <w:abstractNumId w:val="14"/>
  </w:num>
  <w:num w:numId="23">
    <w:abstractNumId w:val="25"/>
  </w:num>
  <w:num w:numId="24">
    <w:abstractNumId w:val="9"/>
  </w:num>
  <w:num w:numId="25">
    <w:abstractNumId w:val="33"/>
  </w:num>
  <w:num w:numId="26">
    <w:abstractNumId w:val="8"/>
  </w:num>
  <w:num w:numId="27">
    <w:abstractNumId w:val="30"/>
  </w:num>
  <w:num w:numId="28">
    <w:abstractNumId w:val="12"/>
  </w:num>
  <w:num w:numId="29">
    <w:abstractNumId w:val="40"/>
  </w:num>
  <w:num w:numId="30">
    <w:abstractNumId w:val="27"/>
  </w:num>
  <w:num w:numId="31">
    <w:abstractNumId w:val="31"/>
  </w:num>
  <w:num w:numId="32">
    <w:abstractNumId w:val="38"/>
  </w:num>
  <w:num w:numId="33">
    <w:abstractNumId w:val="28"/>
  </w:num>
  <w:num w:numId="34">
    <w:abstractNumId w:val="41"/>
  </w:num>
  <w:num w:numId="35">
    <w:abstractNumId w:val="6"/>
  </w:num>
  <w:num w:numId="36">
    <w:abstractNumId w:val="24"/>
  </w:num>
  <w:num w:numId="37">
    <w:abstractNumId w:val="46"/>
  </w:num>
  <w:num w:numId="38">
    <w:abstractNumId w:val="44"/>
  </w:num>
  <w:num w:numId="39">
    <w:abstractNumId w:val="19"/>
  </w:num>
  <w:num w:numId="40">
    <w:abstractNumId w:val="29"/>
  </w:num>
  <w:num w:numId="41">
    <w:abstractNumId w:val="20"/>
  </w:num>
  <w:num w:numId="42">
    <w:abstractNumId w:val="43"/>
  </w:num>
  <w:num w:numId="43">
    <w:abstractNumId w:val="13"/>
  </w:num>
  <w:num w:numId="44">
    <w:abstractNumId w:val="4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35"/>
  </w:num>
  <w:num w:numId="48">
    <w:abstractNumId w:val="36"/>
  </w:num>
  <w:num w:numId="4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1F"/>
    <w:rsid w:val="000000F3"/>
    <w:rsid w:val="0000038B"/>
    <w:rsid w:val="000005BF"/>
    <w:rsid w:val="000007FC"/>
    <w:rsid w:val="0000106D"/>
    <w:rsid w:val="000011CF"/>
    <w:rsid w:val="00001398"/>
    <w:rsid w:val="00001934"/>
    <w:rsid w:val="00001CB9"/>
    <w:rsid w:val="0000200C"/>
    <w:rsid w:val="00002958"/>
    <w:rsid w:val="00002C7D"/>
    <w:rsid w:val="00002E01"/>
    <w:rsid w:val="00002ED2"/>
    <w:rsid w:val="000032CE"/>
    <w:rsid w:val="000032F5"/>
    <w:rsid w:val="00003341"/>
    <w:rsid w:val="0000337E"/>
    <w:rsid w:val="000035C3"/>
    <w:rsid w:val="00003635"/>
    <w:rsid w:val="00003648"/>
    <w:rsid w:val="00003BBA"/>
    <w:rsid w:val="00003C0F"/>
    <w:rsid w:val="00003FA3"/>
    <w:rsid w:val="00004091"/>
    <w:rsid w:val="0000444E"/>
    <w:rsid w:val="00004949"/>
    <w:rsid w:val="00004EAA"/>
    <w:rsid w:val="00004EF9"/>
    <w:rsid w:val="00004F5D"/>
    <w:rsid w:val="00005117"/>
    <w:rsid w:val="000056D9"/>
    <w:rsid w:val="000057F5"/>
    <w:rsid w:val="00005E63"/>
    <w:rsid w:val="00005F7A"/>
    <w:rsid w:val="00006019"/>
    <w:rsid w:val="000063A0"/>
    <w:rsid w:val="00006743"/>
    <w:rsid w:val="000069D4"/>
    <w:rsid w:val="00006BF9"/>
    <w:rsid w:val="00006D47"/>
    <w:rsid w:val="00006D84"/>
    <w:rsid w:val="000070E3"/>
    <w:rsid w:val="00007111"/>
    <w:rsid w:val="00007382"/>
    <w:rsid w:val="0000744F"/>
    <w:rsid w:val="0000758B"/>
    <w:rsid w:val="00007709"/>
    <w:rsid w:val="000078AC"/>
    <w:rsid w:val="00007EC7"/>
    <w:rsid w:val="00010198"/>
    <w:rsid w:val="00010390"/>
    <w:rsid w:val="00010463"/>
    <w:rsid w:val="0001072E"/>
    <w:rsid w:val="00010734"/>
    <w:rsid w:val="00010890"/>
    <w:rsid w:val="00010A93"/>
    <w:rsid w:val="00010B53"/>
    <w:rsid w:val="00010CB8"/>
    <w:rsid w:val="00010DAF"/>
    <w:rsid w:val="00011150"/>
    <w:rsid w:val="000116E0"/>
    <w:rsid w:val="000117F9"/>
    <w:rsid w:val="00012721"/>
    <w:rsid w:val="00012779"/>
    <w:rsid w:val="00012943"/>
    <w:rsid w:val="00012CEF"/>
    <w:rsid w:val="00013110"/>
    <w:rsid w:val="000136BD"/>
    <w:rsid w:val="000137E5"/>
    <w:rsid w:val="00013971"/>
    <w:rsid w:val="00013BEC"/>
    <w:rsid w:val="00013CD1"/>
    <w:rsid w:val="00013D84"/>
    <w:rsid w:val="00013E29"/>
    <w:rsid w:val="000140F7"/>
    <w:rsid w:val="0001444D"/>
    <w:rsid w:val="00014678"/>
    <w:rsid w:val="000146C6"/>
    <w:rsid w:val="00014BBF"/>
    <w:rsid w:val="00014CB2"/>
    <w:rsid w:val="00015067"/>
    <w:rsid w:val="000154FF"/>
    <w:rsid w:val="0001554B"/>
    <w:rsid w:val="00015746"/>
    <w:rsid w:val="00015779"/>
    <w:rsid w:val="00015B9F"/>
    <w:rsid w:val="00015C89"/>
    <w:rsid w:val="00015C9A"/>
    <w:rsid w:val="00015E50"/>
    <w:rsid w:val="0001602E"/>
    <w:rsid w:val="000160BA"/>
    <w:rsid w:val="00016118"/>
    <w:rsid w:val="0001613E"/>
    <w:rsid w:val="000167BA"/>
    <w:rsid w:val="00016AC6"/>
    <w:rsid w:val="00016C75"/>
    <w:rsid w:val="00016CA9"/>
    <w:rsid w:val="00016D85"/>
    <w:rsid w:val="00016D86"/>
    <w:rsid w:val="00016F0C"/>
    <w:rsid w:val="000170F1"/>
    <w:rsid w:val="0001752C"/>
    <w:rsid w:val="00017705"/>
    <w:rsid w:val="00017974"/>
    <w:rsid w:val="00017FC2"/>
    <w:rsid w:val="000200DC"/>
    <w:rsid w:val="00020472"/>
    <w:rsid w:val="000207E0"/>
    <w:rsid w:val="00020A02"/>
    <w:rsid w:val="00020A34"/>
    <w:rsid w:val="00020A62"/>
    <w:rsid w:val="00020B0B"/>
    <w:rsid w:val="00020D42"/>
    <w:rsid w:val="00020D63"/>
    <w:rsid w:val="00020D7A"/>
    <w:rsid w:val="00021142"/>
    <w:rsid w:val="000213E3"/>
    <w:rsid w:val="0002142B"/>
    <w:rsid w:val="00021630"/>
    <w:rsid w:val="00021D20"/>
    <w:rsid w:val="00021D6A"/>
    <w:rsid w:val="00021DF2"/>
    <w:rsid w:val="00021E38"/>
    <w:rsid w:val="00021E87"/>
    <w:rsid w:val="00022145"/>
    <w:rsid w:val="0002246C"/>
    <w:rsid w:val="00022490"/>
    <w:rsid w:val="000226D1"/>
    <w:rsid w:val="00022885"/>
    <w:rsid w:val="00022AC9"/>
    <w:rsid w:val="00022B28"/>
    <w:rsid w:val="00022E29"/>
    <w:rsid w:val="00023071"/>
    <w:rsid w:val="00023093"/>
    <w:rsid w:val="0002321A"/>
    <w:rsid w:val="0002328A"/>
    <w:rsid w:val="000233FD"/>
    <w:rsid w:val="0002352F"/>
    <w:rsid w:val="0002361E"/>
    <w:rsid w:val="00023620"/>
    <w:rsid w:val="000236C9"/>
    <w:rsid w:val="000238E9"/>
    <w:rsid w:val="00023CA0"/>
    <w:rsid w:val="00023E2A"/>
    <w:rsid w:val="00023F57"/>
    <w:rsid w:val="000244E3"/>
    <w:rsid w:val="0002467E"/>
    <w:rsid w:val="000247B6"/>
    <w:rsid w:val="0002484A"/>
    <w:rsid w:val="00024B94"/>
    <w:rsid w:val="00024BE8"/>
    <w:rsid w:val="00024C1A"/>
    <w:rsid w:val="00024CD2"/>
    <w:rsid w:val="00024D21"/>
    <w:rsid w:val="00025169"/>
    <w:rsid w:val="000254D2"/>
    <w:rsid w:val="00025633"/>
    <w:rsid w:val="00025E68"/>
    <w:rsid w:val="00025F13"/>
    <w:rsid w:val="00025F45"/>
    <w:rsid w:val="00025F9D"/>
    <w:rsid w:val="00026777"/>
    <w:rsid w:val="00026BD1"/>
    <w:rsid w:val="00026C0A"/>
    <w:rsid w:val="00026C0C"/>
    <w:rsid w:val="00026C2F"/>
    <w:rsid w:val="00026E1C"/>
    <w:rsid w:val="00026F2F"/>
    <w:rsid w:val="00026FC3"/>
    <w:rsid w:val="00027056"/>
    <w:rsid w:val="00027073"/>
    <w:rsid w:val="0002711B"/>
    <w:rsid w:val="0002719F"/>
    <w:rsid w:val="00027205"/>
    <w:rsid w:val="00027743"/>
    <w:rsid w:val="0002779E"/>
    <w:rsid w:val="00027A7E"/>
    <w:rsid w:val="00027CB4"/>
    <w:rsid w:val="00027EF9"/>
    <w:rsid w:val="00027F42"/>
    <w:rsid w:val="00027FEA"/>
    <w:rsid w:val="0003026D"/>
    <w:rsid w:val="000302EA"/>
    <w:rsid w:val="0003031D"/>
    <w:rsid w:val="000303E1"/>
    <w:rsid w:val="00030502"/>
    <w:rsid w:val="00030572"/>
    <w:rsid w:val="00030668"/>
    <w:rsid w:val="000308BD"/>
    <w:rsid w:val="00030C7B"/>
    <w:rsid w:val="00030EB6"/>
    <w:rsid w:val="000310C8"/>
    <w:rsid w:val="0003116E"/>
    <w:rsid w:val="00031B84"/>
    <w:rsid w:val="00031C2C"/>
    <w:rsid w:val="00031F31"/>
    <w:rsid w:val="00032005"/>
    <w:rsid w:val="000321B1"/>
    <w:rsid w:val="00032340"/>
    <w:rsid w:val="0003242A"/>
    <w:rsid w:val="00032882"/>
    <w:rsid w:val="000329BB"/>
    <w:rsid w:val="00032A83"/>
    <w:rsid w:val="00032D19"/>
    <w:rsid w:val="00032D49"/>
    <w:rsid w:val="00032DC0"/>
    <w:rsid w:val="00032DD4"/>
    <w:rsid w:val="0003321E"/>
    <w:rsid w:val="00033398"/>
    <w:rsid w:val="00033864"/>
    <w:rsid w:val="00033B3F"/>
    <w:rsid w:val="00033E97"/>
    <w:rsid w:val="000344F9"/>
    <w:rsid w:val="000345FE"/>
    <w:rsid w:val="00034896"/>
    <w:rsid w:val="00034AD7"/>
    <w:rsid w:val="00034C1F"/>
    <w:rsid w:val="000356F7"/>
    <w:rsid w:val="0003579E"/>
    <w:rsid w:val="000359DB"/>
    <w:rsid w:val="00036470"/>
    <w:rsid w:val="0003657D"/>
    <w:rsid w:val="0003691F"/>
    <w:rsid w:val="00036997"/>
    <w:rsid w:val="00036BD4"/>
    <w:rsid w:val="00036FC7"/>
    <w:rsid w:val="000371CF"/>
    <w:rsid w:val="000372A9"/>
    <w:rsid w:val="0003763B"/>
    <w:rsid w:val="00037A76"/>
    <w:rsid w:val="00037BA2"/>
    <w:rsid w:val="00037D3A"/>
    <w:rsid w:val="000400AB"/>
    <w:rsid w:val="000404A8"/>
    <w:rsid w:val="0004051D"/>
    <w:rsid w:val="0004058C"/>
    <w:rsid w:val="0004084F"/>
    <w:rsid w:val="00040953"/>
    <w:rsid w:val="00040B47"/>
    <w:rsid w:val="00040C30"/>
    <w:rsid w:val="00040D10"/>
    <w:rsid w:val="00040F69"/>
    <w:rsid w:val="000410D2"/>
    <w:rsid w:val="0004137E"/>
    <w:rsid w:val="00041398"/>
    <w:rsid w:val="000414C9"/>
    <w:rsid w:val="00041D9B"/>
    <w:rsid w:val="00041F1A"/>
    <w:rsid w:val="00041FC3"/>
    <w:rsid w:val="00041FE1"/>
    <w:rsid w:val="000420F1"/>
    <w:rsid w:val="00042405"/>
    <w:rsid w:val="000426F0"/>
    <w:rsid w:val="000427B2"/>
    <w:rsid w:val="00042911"/>
    <w:rsid w:val="00042A17"/>
    <w:rsid w:val="00042B7D"/>
    <w:rsid w:val="00042D28"/>
    <w:rsid w:val="000431E6"/>
    <w:rsid w:val="00043323"/>
    <w:rsid w:val="00043692"/>
    <w:rsid w:val="000438C2"/>
    <w:rsid w:val="000438F7"/>
    <w:rsid w:val="00043B1C"/>
    <w:rsid w:val="00043D98"/>
    <w:rsid w:val="00043E2F"/>
    <w:rsid w:val="00044029"/>
    <w:rsid w:val="000442A6"/>
    <w:rsid w:val="000446E1"/>
    <w:rsid w:val="00044839"/>
    <w:rsid w:val="00044850"/>
    <w:rsid w:val="00044F64"/>
    <w:rsid w:val="00044FEF"/>
    <w:rsid w:val="0004515B"/>
    <w:rsid w:val="000453A9"/>
    <w:rsid w:val="000457B7"/>
    <w:rsid w:val="00045931"/>
    <w:rsid w:val="00045B5E"/>
    <w:rsid w:val="00046167"/>
    <w:rsid w:val="000465A6"/>
    <w:rsid w:val="0004669E"/>
    <w:rsid w:val="000468E1"/>
    <w:rsid w:val="00046A7B"/>
    <w:rsid w:val="00046C05"/>
    <w:rsid w:val="00046C3D"/>
    <w:rsid w:val="00046C6D"/>
    <w:rsid w:val="00046DF1"/>
    <w:rsid w:val="00046FB2"/>
    <w:rsid w:val="000473BB"/>
    <w:rsid w:val="00047758"/>
    <w:rsid w:val="000477FB"/>
    <w:rsid w:val="0004781A"/>
    <w:rsid w:val="00047ABE"/>
    <w:rsid w:val="00047B13"/>
    <w:rsid w:val="00047E0A"/>
    <w:rsid w:val="00047F28"/>
    <w:rsid w:val="00050402"/>
    <w:rsid w:val="00050BE3"/>
    <w:rsid w:val="00050E3A"/>
    <w:rsid w:val="00050F8E"/>
    <w:rsid w:val="00051174"/>
    <w:rsid w:val="0005146A"/>
    <w:rsid w:val="000527BC"/>
    <w:rsid w:val="0005285E"/>
    <w:rsid w:val="0005295D"/>
    <w:rsid w:val="00052B16"/>
    <w:rsid w:val="00052DC9"/>
    <w:rsid w:val="0005322C"/>
    <w:rsid w:val="0005345B"/>
    <w:rsid w:val="00053906"/>
    <w:rsid w:val="00053A19"/>
    <w:rsid w:val="00053D5E"/>
    <w:rsid w:val="0005442A"/>
    <w:rsid w:val="0005469E"/>
    <w:rsid w:val="0005473D"/>
    <w:rsid w:val="00054A5C"/>
    <w:rsid w:val="00054AA6"/>
    <w:rsid w:val="00054B29"/>
    <w:rsid w:val="00054C20"/>
    <w:rsid w:val="00054EB0"/>
    <w:rsid w:val="00054FCA"/>
    <w:rsid w:val="00055194"/>
    <w:rsid w:val="00055377"/>
    <w:rsid w:val="00055380"/>
    <w:rsid w:val="00055463"/>
    <w:rsid w:val="00055740"/>
    <w:rsid w:val="00055ABA"/>
    <w:rsid w:val="00056215"/>
    <w:rsid w:val="00056323"/>
    <w:rsid w:val="000564BD"/>
    <w:rsid w:val="00056615"/>
    <w:rsid w:val="00056621"/>
    <w:rsid w:val="0005675A"/>
    <w:rsid w:val="00056840"/>
    <w:rsid w:val="000568D2"/>
    <w:rsid w:val="000568DA"/>
    <w:rsid w:val="00056997"/>
    <w:rsid w:val="00056B03"/>
    <w:rsid w:val="00056B09"/>
    <w:rsid w:val="00056C2A"/>
    <w:rsid w:val="0005705D"/>
    <w:rsid w:val="000572BA"/>
    <w:rsid w:val="000572C3"/>
    <w:rsid w:val="000576C7"/>
    <w:rsid w:val="00057730"/>
    <w:rsid w:val="00057A7F"/>
    <w:rsid w:val="00057A8B"/>
    <w:rsid w:val="00057EE9"/>
    <w:rsid w:val="0006070E"/>
    <w:rsid w:val="00060EAB"/>
    <w:rsid w:val="0006127F"/>
    <w:rsid w:val="000617D4"/>
    <w:rsid w:val="0006187C"/>
    <w:rsid w:val="00061A8B"/>
    <w:rsid w:val="00061D8A"/>
    <w:rsid w:val="00061DB1"/>
    <w:rsid w:val="000620B8"/>
    <w:rsid w:val="00062268"/>
    <w:rsid w:val="000622F5"/>
    <w:rsid w:val="0006258B"/>
    <w:rsid w:val="0006265E"/>
    <w:rsid w:val="000627C3"/>
    <w:rsid w:val="000629FC"/>
    <w:rsid w:val="00062A22"/>
    <w:rsid w:val="00062B2C"/>
    <w:rsid w:val="000631AA"/>
    <w:rsid w:val="00063292"/>
    <w:rsid w:val="000636C6"/>
    <w:rsid w:val="00063E1E"/>
    <w:rsid w:val="0006428A"/>
    <w:rsid w:val="00064290"/>
    <w:rsid w:val="00064387"/>
    <w:rsid w:val="00064E30"/>
    <w:rsid w:val="00064F40"/>
    <w:rsid w:val="00064F4C"/>
    <w:rsid w:val="00065048"/>
    <w:rsid w:val="000651A0"/>
    <w:rsid w:val="0006525A"/>
    <w:rsid w:val="000653BD"/>
    <w:rsid w:val="00065EE8"/>
    <w:rsid w:val="0006603C"/>
    <w:rsid w:val="00066040"/>
    <w:rsid w:val="00066183"/>
    <w:rsid w:val="0006650C"/>
    <w:rsid w:val="00066D17"/>
    <w:rsid w:val="00066DE2"/>
    <w:rsid w:val="00067006"/>
    <w:rsid w:val="0006712F"/>
    <w:rsid w:val="000671E1"/>
    <w:rsid w:val="000672D0"/>
    <w:rsid w:val="0006786C"/>
    <w:rsid w:val="000678F1"/>
    <w:rsid w:val="0006798C"/>
    <w:rsid w:val="00067ABE"/>
    <w:rsid w:val="00067DAF"/>
    <w:rsid w:val="00070260"/>
    <w:rsid w:val="00071371"/>
    <w:rsid w:val="000713B8"/>
    <w:rsid w:val="000714CA"/>
    <w:rsid w:val="00071624"/>
    <w:rsid w:val="00071A33"/>
    <w:rsid w:val="0007278F"/>
    <w:rsid w:val="000728FA"/>
    <w:rsid w:val="00072CC0"/>
    <w:rsid w:val="00072DE9"/>
    <w:rsid w:val="00072E52"/>
    <w:rsid w:val="00072E60"/>
    <w:rsid w:val="00072E9D"/>
    <w:rsid w:val="000731A5"/>
    <w:rsid w:val="000732D2"/>
    <w:rsid w:val="000732FB"/>
    <w:rsid w:val="000738C8"/>
    <w:rsid w:val="000738D1"/>
    <w:rsid w:val="000739AB"/>
    <w:rsid w:val="00073C28"/>
    <w:rsid w:val="00073E14"/>
    <w:rsid w:val="00073F60"/>
    <w:rsid w:val="00074008"/>
    <w:rsid w:val="00074377"/>
    <w:rsid w:val="00074445"/>
    <w:rsid w:val="00074477"/>
    <w:rsid w:val="00074982"/>
    <w:rsid w:val="00074B53"/>
    <w:rsid w:val="00074C63"/>
    <w:rsid w:val="00074E9E"/>
    <w:rsid w:val="00075524"/>
    <w:rsid w:val="000757F9"/>
    <w:rsid w:val="000758BA"/>
    <w:rsid w:val="0007595B"/>
    <w:rsid w:val="00075B33"/>
    <w:rsid w:val="00075DC6"/>
    <w:rsid w:val="000761DD"/>
    <w:rsid w:val="000761E5"/>
    <w:rsid w:val="000767AF"/>
    <w:rsid w:val="000768AC"/>
    <w:rsid w:val="000768EE"/>
    <w:rsid w:val="00076A15"/>
    <w:rsid w:val="00076CD0"/>
    <w:rsid w:val="00076D64"/>
    <w:rsid w:val="000770A5"/>
    <w:rsid w:val="000772FB"/>
    <w:rsid w:val="000776CA"/>
    <w:rsid w:val="00077ADF"/>
    <w:rsid w:val="00077B65"/>
    <w:rsid w:val="00077C3B"/>
    <w:rsid w:val="00080609"/>
    <w:rsid w:val="00080679"/>
    <w:rsid w:val="00080D02"/>
    <w:rsid w:val="00080EE1"/>
    <w:rsid w:val="000815B4"/>
    <w:rsid w:val="000816BC"/>
    <w:rsid w:val="000816D2"/>
    <w:rsid w:val="000819DE"/>
    <w:rsid w:val="00081AD5"/>
    <w:rsid w:val="0008233A"/>
    <w:rsid w:val="00082382"/>
    <w:rsid w:val="000823E7"/>
    <w:rsid w:val="00082508"/>
    <w:rsid w:val="0008252E"/>
    <w:rsid w:val="000825F7"/>
    <w:rsid w:val="00082759"/>
    <w:rsid w:val="0008275E"/>
    <w:rsid w:val="000828F7"/>
    <w:rsid w:val="00082CBF"/>
    <w:rsid w:val="00082D80"/>
    <w:rsid w:val="00082DEB"/>
    <w:rsid w:val="00082F6F"/>
    <w:rsid w:val="00082F77"/>
    <w:rsid w:val="000830D9"/>
    <w:rsid w:val="000835B1"/>
    <w:rsid w:val="0008392D"/>
    <w:rsid w:val="00083A01"/>
    <w:rsid w:val="00083CE8"/>
    <w:rsid w:val="00084F0F"/>
    <w:rsid w:val="00084F3C"/>
    <w:rsid w:val="00084FA4"/>
    <w:rsid w:val="00085289"/>
    <w:rsid w:val="0008538F"/>
    <w:rsid w:val="00085438"/>
    <w:rsid w:val="0008560C"/>
    <w:rsid w:val="00085628"/>
    <w:rsid w:val="00085946"/>
    <w:rsid w:val="00085A98"/>
    <w:rsid w:val="00085B58"/>
    <w:rsid w:val="00085D72"/>
    <w:rsid w:val="00085E8D"/>
    <w:rsid w:val="00085EC2"/>
    <w:rsid w:val="00085F88"/>
    <w:rsid w:val="00085FED"/>
    <w:rsid w:val="00086342"/>
    <w:rsid w:val="0008649C"/>
    <w:rsid w:val="00086717"/>
    <w:rsid w:val="00086900"/>
    <w:rsid w:val="00086D6F"/>
    <w:rsid w:val="00086E24"/>
    <w:rsid w:val="00086E5F"/>
    <w:rsid w:val="0008723A"/>
    <w:rsid w:val="000872C7"/>
    <w:rsid w:val="000877AF"/>
    <w:rsid w:val="000877D6"/>
    <w:rsid w:val="00087864"/>
    <w:rsid w:val="000879A5"/>
    <w:rsid w:val="00087D56"/>
    <w:rsid w:val="00087F65"/>
    <w:rsid w:val="00087F84"/>
    <w:rsid w:val="0009000D"/>
    <w:rsid w:val="000900CB"/>
    <w:rsid w:val="000905F3"/>
    <w:rsid w:val="00090622"/>
    <w:rsid w:val="00090A29"/>
    <w:rsid w:val="00090B20"/>
    <w:rsid w:val="00090FA9"/>
    <w:rsid w:val="00091085"/>
    <w:rsid w:val="000910DB"/>
    <w:rsid w:val="000911D0"/>
    <w:rsid w:val="000911EA"/>
    <w:rsid w:val="0009145C"/>
    <w:rsid w:val="000916EA"/>
    <w:rsid w:val="00091A69"/>
    <w:rsid w:val="00091B3D"/>
    <w:rsid w:val="00091B7B"/>
    <w:rsid w:val="00091DED"/>
    <w:rsid w:val="00092066"/>
    <w:rsid w:val="000925B5"/>
    <w:rsid w:val="00092F5C"/>
    <w:rsid w:val="000930ED"/>
    <w:rsid w:val="0009336D"/>
    <w:rsid w:val="00093453"/>
    <w:rsid w:val="0009346C"/>
    <w:rsid w:val="0009358B"/>
    <w:rsid w:val="000935E8"/>
    <w:rsid w:val="0009369A"/>
    <w:rsid w:val="000937B0"/>
    <w:rsid w:val="0009381B"/>
    <w:rsid w:val="00093A86"/>
    <w:rsid w:val="00093A97"/>
    <w:rsid w:val="00093FC8"/>
    <w:rsid w:val="0009403C"/>
    <w:rsid w:val="000940E3"/>
    <w:rsid w:val="0009423D"/>
    <w:rsid w:val="000945B3"/>
    <w:rsid w:val="00094A91"/>
    <w:rsid w:val="00095217"/>
    <w:rsid w:val="00095301"/>
    <w:rsid w:val="000953F7"/>
    <w:rsid w:val="00095439"/>
    <w:rsid w:val="000954BC"/>
    <w:rsid w:val="00095646"/>
    <w:rsid w:val="00095D65"/>
    <w:rsid w:val="00095E2F"/>
    <w:rsid w:val="0009626E"/>
    <w:rsid w:val="00096464"/>
    <w:rsid w:val="00096765"/>
    <w:rsid w:val="00096853"/>
    <w:rsid w:val="000969F9"/>
    <w:rsid w:val="00096BB7"/>
    <w:rsid w:val="00097058"/>
    <w:rsid w:val="0009712B"/>
    <w:rsid w:val="00097250"/>
    <w:rsid w:val="00097911"/>
    <w:rsid w:val="0009797E"/>
    <w:rsid w:val="00097A3B"/>
    <w:rsid w:val="000A058F"/>
    <w:rsid w:val="000A0766"/>
    <w:rsid w:val="000A0A8A"/>
    <w:rsid w:val="000A0E2F"/>
    <w:rsid w:val="000A0FCD"/>
    <w:rsid w:val="000A0FF9"/>
    <w:rsid w:val="000A1128"/>
    <w:rsid w:val="000A11B5"/>
    <w:rsid w:val="000A11E1"/>
    <w:rsid w:val="000A1528"/>
    <w:rsid w:val="000A15D6"/>
    <w:rsid w:val="000A2073"/>
    <w:rsid w:val="000A266F"/>
    <w:rsid w:val="000A2775"/>
    <w:rsid w:val="000A27E7"/>
    <w:rsid w:val="000A2979"/>
    <w:rsid w:val="000A29CF"/>
    <w:rsid w:val="000A30DC"/>
    <w:rsid w:val="000A3206"/>
    <w:rsid w:val="000A3404"/>
    <w:rsid w:val="000A3504"/>
    <w:rsid w:val="000A3523"/>
    <w:rsid w:val="000A37FD"/>
    <w:rsid w:val="000A3DE0"/>
    <w:rsid w:val="000A4127"/>
    <w:rsid w:val="000A4128"/>
    <w:rsid w:val="000A46E1"/>
    <w:rsid w:val="000A480A"/>
    <w:rsid w:val="000A4932"/>
    <w:rsid w:val="000A4B6D"/>
    <w:rsid w:val="000A4E33"/>
    <w:rsid w:val="000A4E7A"/>
    <w:rsid w:val="000A5027"/>
    <w:rsid w:val="000A5242"/>
    <w:rsid w:val="000A54C0"/>
    <w:rsid w:val="000A581A"/>
    <w:rsid w:val="000A5944"/>
    <w:rsid w:val="000A5A97"/>
    <w:rsid w:val="000A5E4A"/>
    <w:rsid w:val="000A640F"/>
    <w:rsid w:val="000A6687"/>
    <w:rsid w:val="000A6C04"/>
    <w:rsid w:val="000A6C05"/>
    <w:rsid w:val="000A6CA3"/>
    <w:rsid w:val="000A70AB"/>
    <w:rsid w:val="000A715D"/>
    <w:rsid w:val="000A7294"/>
    <w:rsid w:val="000A72E3"/>
    <w:rsid w:val="000A7321"/>
    <w:rsid w:val="000A7522"/>
    <w:rsid w:val="000A757F"/>
    <w:rsid w:val="000A75C8"/>
    <w:rsid w:val="000A7700"/>
    <w:rsid w:val="000A7823"/>
    <w:rsid w:val="000A78C5"/>
    <w:rsid w:val="000A7DBE"/>
    <w:rsid w:val="000A7DD4"/>
    <w:rsid w:val="000A7E32"/>
    <w:rsid w:val="000B08B9"/>
    <w:rsid w:val="000B0A16"/>
    <w:rsid w:val="000B0C2F"/>
    <w:rsid w:val="000B0E85"/>
    <w:rsid w:val="000B1296"/>
    <w:rsid w:val="000B136E"/>
    <w:rsid w:val="000B14E5"/>
    <w:rsid w:val="000B15D6"/>
    <w:rsid w:val="000B1AF5"/>
    <w:rsid w:val="000B1ECA"/>
    <w:rsid w:val="000B21B8"/>
    <w:rsid w:val="000B23F7"/>
    <w:rsid w:val="000B25BA"/>
    <w:rsid w:val="000B28B8"/>
    <w:rsid w:val="000B2B3D"/>
    <w:rsid w:val="000B31A8"/>
    <w:rsid w:val="000B332E"/>
    <w:rsid w:val="000B35BF"/>
    <w:rsid w:val="000B3ADB"/>
    <w:rsid w:val="000B3B1B"/>
    <w:rsid w:val="000B3E1B"/>
    <w:rsid w:val="000B3E91"/>
    <w:rsid w:val="000B4100"/>
    <w:rsid w:val="000B4539"/>
    <w:rsid w:val="000B4554"/>
    <w:rsid w:val="000B4618"/>
    <w:rsid w:val="000B463F"/>
    <w:rsid w:val="000B4680"/>
    <w:rsid w:val="000B47D9"/>
    <w:rsid w:val="000B4BB7"/>
    <w:rsid w:val="000B4DFD"/>
    <w:rsid w:val="000B4E4A"/>
    <w:rsid w:val="000B4E8F"/>
    <w:rsid w:val="000B4F0A"/>
    <w:rsid w:val="000B529B"/>
    <w:rsid w:val="000B53AF"/>
    <w:rsid w:val="000B5754"/>
    <w:rsid w:val="000B580E"/>
    <w:rsid w:val="000B593F"/>
    <w:rsid w:val="000B5D7D"/>
    <w:rsid w:val="000B5DE4"/>
    <w:rsid w:val="000B6218"/>
    <w:rsid w:val="000B6905"/>
    <w:rsid w:val="000B6AD3"/>
    <w:rsid w:val="000B6E36"/>
    <w:rsid w:val="000B6EBB"/>
    <w:rsid w:val="000B700F"/>
    <w:rsid w:val="000B7122"/>
    <w:rsid w:val="000B7387"/>
    <w:rsid w:val="000B789F"/>
    <w:rsid w:val="000B7A08"/>
    <w:rsid w:val="000B7B0A"/>
    <w:rsid w:val="000B7CB5"/>
    <w:rsid w:val="000B7EFA"/>
    <w:rsid w:val="000C00F3"/>
    <w:rsid w:val="000C0134"/>
    <w:rsid w:val="000C01DF"/>
    <w:rsid w:val="000C066E"/>
    <w:rsid w:val="000C0728"/>
    <w:rsid w:val="000C0B17"/>
    <w:rsid w:val="000C0E3C"/>
    <w:rsid w:val="000C1203"/>
    <w:rsid w:val="000C1261"/>
    <w:rsid w:val="000C1346"/>
    <w:rsid w:val="000C13EF"/>
    <w:rsid w:val="000C151B"/>
    <w:rsid w:val="000C160A"/>
    <w:rsid w:val="000C17CB"/>
    <w:rsid w:val="000C183A"/>
    <w:rsid w:val="000C1CF9"/>
    <w:rsid w:val="000C1D8F"/>
    <w:rsid w:val="000C1D9B"/>
    <w:rsid w:val="000C1E4B"/>
    <w:rsid w:val="000C2316"/>
    <w:rsid w:val="000C2747"/>
    <w:rsid w:val="000C2820"/>
    <w:rsid w:val="000C28F3"/>
    <w:rsid w:val="000C2CEE"/>
    <w:rsid w:val="000C2D97"/>
    <w:rsid w:val="000C3353"/>
    <w:rsid w:val="000C38DD"/>
    <w:rsid w:val="000C39CC"/>
    <w:rsid w:val="000C3B91"/>
    <w:rsid w:val="000C3D56"/>
    <w:rsid w:val="000C3EC5"/>
    <w:rsid w:val="000C3FF3"/>
    <w:rsid w:val="000C43DC"/>
    <w:rsid w:val="000C462D"/>
    <w:rsid w:val="000C46A9"/>
    <w:rsid w:val="000C49E0"/>
    <w:rsid w:val="000C4A33"/>
    <w:rsid w:val="000C4C7F"/>
    <w:rsid w:val="000C4EB2"/>
    <w:rsid w:val="000C5000"/>
    <w:rsid w:val="000C5799"/>
    <w:rsid w:val="000C57C1"/>
    <w:rsid w:val="000C57D7"/>
    <w:rsid w:val="000C5816"/>
    <w:rsid w:val="000C58FA"/>
    <w:rsid w:val="000C5986"/>
    <w:rsid w:val="000C5A62"/>
    <w:rsid w:val="000C5BA2"/>
    <w:rsid w:val="000C5E78"/>
    <w:rsid w:val="000C5EE7"/>
    <w:rsid w:val="000C5EF1"/>
    <w:rsid w:val="000C611C"/>
    <w:rsid w:val="000C63FD"/>
    <w:rsid w:val="000C66BD"/>
    <w:rsid w:val="000C6951"/>
    <w:rsid w:val="000C6952"/>
    <w:rsid w:val="000C6A68"/>
    <w:rsid w:val="000C7423"/>
    <w:rsid w:val="000C7653"/>
    <w:rsid w:val="000C7900"/>
    <w:rsid w:val="000C7959"/>
    <w:rsid w:val="000C7DE8"/>
    <w:rsid w:val="000C7F09"/>
    <w:rsid w:val="000D00A2"/>
    <w:rsid w:val="000D0448"/>
    <w:rsid w:val="000D0844"/>
    <w:rsid w:val="000D0DED"/>
    <w:rsid w:val="000D1004"/>
    <w:rsid w:val="000D1192"/>
    <w:rsid w:val="000D11D3"/>
    <w:rsid w:val="000D1257"/>
    <w:rsid w:val="000D12FB"/>
    <w:rsid w:val="000D1873"/>
    <w:rsid w:val="000D1A78"/>
    <w:rsid w:val="000D1AE8"/>
    <w:rsid w:val="000D1CE2"/>
    <w:rsid w:val="000D1D4C"/>
    <w:rsid w:val="000D2036"/>
    <w:rsid w:val="000D206C"/>
    <w:rsid w:val="000D225D"/>
    <w:rsid w:val="000D23E0"/>
    <w:rsid w:val="000D28A8"/>
    <w:rsid w:val="000D2F1F"/>
    <w:rsid w:val="000D30D7"/>
    <w:rsid w:val="000D3421"/>
    <w:rsid w:val="000D3622"/>
    <w:rsid w:val="000D38EF"/>
    <w:rsid w:val="000D390A"/>
    <w:rsid w:val="000D39DD"/>
    <w:rsid w:val="000D3A17"/>
    <w:rsid w:val="000D3B00"/>
    <w:rsid w:val="000D3B20"/>
    <w:rsid w:val="000D3D07"/>
    <w:rsid w:val="000D3DB8"/>
    <w:rsid w:val="000D3DD3"/>
    <w:rsid w:val="000D4283"/>
    <w:rsid w:val="000D434D"/>
    <w:rsid w:val="000D442C"/>
    <w:rsid w:val="000D4979"/>
    <w:rsid w:val="000D4BDB"/>
    <w:rsid w:val="000D5054"/>
    <w:rsid w:val="000D5191"/>
    <w:rsid w:val="000D53FC"/>
    <w:rsid w:val="000D56B4"/>
    <w:rsid w:val="000D5834"/>
    <w:rsid w:val="000D5BC0"/>
    <w:rsid w:val="000D5DC4"/>
    <w:rsid w:val="000D5FB3"/>
    <w:rsid w:val="000D6474"/>
    <w:rsid w:val="000D648B"/>
    <w:rsid w:val="000D6531"/>
    <w:rsid w:val="000D6894"/>
    <w:rsid w:val="000D6976"/>
    <w:rsid w:val="000D69E6"/>
    <w:rsid w:val="000D6B7B"/>
    <w:rsid w:val="000D6FFB"/>
    <w:rsid w:val="000D78BD"/>
    <w:rsid w:val="000D7ADE"/>
    <w:rsid w:val="000D7D34"/>
    <w:rsid w:val="000D7E83"/>
    <w:rsid w:val="000E02FE"/>
    <w:rsid w:val="000E047F"/>
    <w:rsid w:val="000E04C9"/>
    <w:rsid w:val="000E068B"/>
    <w:rsid w:val="000E0C87"/>
    <w:rsid w:val="000E0CB2"/>
    <w:rsid w:val="000E15BE"/>
    <w:rsid w:val="000E1680"/>
    <w:rsid w:val="000E16B7"/>
    <w:rsid w:val="000E189E"/>
    <w:rsid w:val="000E193D"/>
    <w:rsid w:val="000E1BDE"/>
    <w:rsid w:val="000E1DBC"/>
    <w:rsid w:val="000E205D"/>
    <w:rsid w:val="000E2802"/>
    <w:rsid w:val="000E2DBB"/>
    <w:rsid w:val="000E2E79"/>
    <w:rsid w:val="000E3043"/>
    <w:rsid w:val="000E307D"/>
    <w:rsid w:val="000E31C6"/>
    <w:rsid w:val="000E38A5"/>
    <w:rsid w:val="000E3A42"/>
    <w:rsid w:val="000E3BC3"/>
    <w:rsid w:val="000E3E4E"/>
    <w:rsid w:val="000E4096"/>
    <w:rsid w:val="000E41C8"/>
    <w:rsid w:val="000E43DF"/>
    <w:rsid w:val="000E43EB"/>
    <w:rsid w:val="000E4758"/>
    <w:rsid w:val="000E4C1E"/>
    <w:rsid w:val="000E4F17"/>
    <w:rsid w:val="000E5260"/>
    <w:rsid w:val="000E5788"/>
    <w:rsid w:val="000E578B"/>
    <w:rsid w:val="000E5B74"/>
    <w:rsid w:val="000E5C7C"/>
    <w:rsid w:val="000E5DFC"/>
    <w:rsid w:val="000E5ECB"/>
    <w:rsid w:val="000E61DB"/>
    <w:rsid w:val="000E640D"/>
    <w:rsid w:val="000E65CD"/>
    <w:rsid w:val="000E667F"/>
    <w:rsid w:val="000E6CDB"/>
    <w:rsid w:val="000E6FEE"/>
    <w:rsid w:val="000E70A3"/>
    <w:rsid w:val="000E721E"/>
    <w:rsid w:val="000E76F6"/>
    <w:rsid w:val="000E7835"/>
    <w:rsid w:val="000E7955"/>
    <w:rsid w:val="000E7972"/>
    <w:rsid w:val="000E7B0A"/>
    <w:rsid w:val="000E7B55"/>
    <w:rsid w:val="000E7C72"/>
    <w:rsid w:val="000E7E99"/>
    <w:rsid w:val="000F0047"/>
    <w:rsid w:val="000F015B"/>
    <w:rsid w:val="000F080A"/>
    <w:rsid w:val="000F09CA"/>
    <w:rsid w:val="000F0A79"/>
    <w:rsid w:val="000F0CE4"/>
    <w:rsid w:val="000F0D0E"/>
    <w:rsid w:val="000F0DF4"/>
    <w:rsid w:val="000F0E72"/>
    <w:rsid w:val="000F1008"/>
    <w:rsid w:val="000F12A4"/>
    <w:rsid w:val="000F136E"/>
    <w:rsid w:val="000F1571"/>
    <w:rsid w:val="000F161D"/>
    <w:rsid w:val="000F16C5"/>
    <w:rsid w:val="000F18FB"/>
    <w:rsid w:val="000F1CC5"/>
    <w:rsid w:val="000F2026"/>
    <w:rsid w:val="000F23C9"/>
    <w:rsid w:val="000F27C1"/>
    <w:rsid w:val="000F2963"/>
    <w:rsid w:val="000F2C65"/>
    <w:rsid w:val="000F358B"/>
    <w:rsid w:val="000F368E"/>
    <w:rsid w:val="000F3790"/>
    <w:rsid w:val="000F38E1"/>
    <w:rsid w:val="000F3BBB"/>
    <w:rsid w:val="000F3C52"/>
    <w:rsid w:val="000F3CDF"/>
    <w:rsid w:val="000F4043"/>
    <w:rsid w:val="000F414F"/>
    <w:rsid w:val="000F43D0"/>
    <w:rsid w:val="000F46A0"/>
    <w:rsid w:val="000F46D6"/>
    <w:rsid w:val="000F476B"/>
    <w:rsid w:val="000F484F"/>
    <w:rsid w:val="000F4B05"/>
    <w:rsid w:val="000F4BC4"/>
    <w:rsid w:val="000F4DDB"/>
    <w:rsid w:val="000F4ED9"/>
    <w:rsid w:val="000F4F4B"/>
    <w:rsid w:val="000F4FF0"/>
    <w:rsid w:val="000F51D1"/>
    <w:rsid w:val="000F5533"/>
    <w:rsid w:val="000F5755"/>
    <w:rsid w:val="000F5A6F"/>
    <w:rsid w:val="000F5B2C"/>
    <w:rsid w:val="000F5C15"/>
    <w:rsid w:val="000F5CED"/>
    <w:rsid w:val="000F5D3A"/>
    <w:rsid w:val="000F5E41"/>
    <w:rsid w:val="000F5F45"/>
    <w:rsid w:val="000F627B"/>
    <w:rsid w:val="000F62D0"/>
    <w:rsid w:val="000F6335"/>
    <w:rsid w:val="000F659A"/>
    <w:rsid w:val="000F66B4"/>
    <w:rsid w:val="000F671B"/>
    <w:rsid w:val="000F6937"/>
    <w:rsid w:val="000F6A36"/>
    <w:rsid w:val="000F6AFA"/>
    <w:rsid w:val="000F6B42"/>
    <w:rsid w:val="000F6F07"/>
    <w:rsid w:val="000F6F1C"/>
    <w:rsid w:val="000F7181"/>
    <w:rsid w:val="000F7A98"/>
    <w:rsid w:val="000F7FDC"/>
    <w:rsid w:val="0010011D"/>
    <w:rsid w:val="00100153"/>
    <w:rsid w:val="001002C4"/>
    <w:rsid w:val="001004D0"/>
    <w:rsid w:val="001004D2"/>
    <w:rsid w:val="001008E3"/>
    <w:rsid w:val="001009D6"/>
    <w:rsid w:val="00101010"/>
    <w:rsid w:val="00101622"/>
    <w:rsid w:val="0010175A"/>
    <w:rsid w:val="00101820"/>
    <w:rsid w:val="00101D4F"/>
    <w:rsid w:val="00101F77"/>
    <w:rsid w:val="001022F2"/>
    <w:rsid w:val="00102379"/>
    <w:rsid w:val="001027E4"/>
    <w:rsid w:val="00102A8C"/>
    <w:rsid w:val="00102AF8"/>
    <w:rsid w:val="00102E22"/>
    <w:rsid w:val="00102EA4"/>
    <w:rsid w:val="00102F4B"/>
    <w:rsid w:val="00103037"/>
    <w:rsid w:val="001035B8"/>
    <w:rsid w:val="001035C6"/>
    <w:rsid w:val="001039F7"/>
    <w:rsid w:val="00103A03"/>
    <w:rsid w:val="00103BEA"/>
    <w:rsid w:val="00103C3A"/>
    <w:rsid w:val="00103C69"/>
    <w:rsid w:val="00104225"/>
    <w:rsid w:val="001042BA"/>
    <w:rsid w:val="00104344"/>
    <w:rsid w:val="001044F1"/>
    <w:rsid w:val="00104A1C"/>
    <w:rsid w:val="00104A8B"/>
    <w:rsid w:val="00104A95"/>
    <w:rsid w:val="00104E31"/>
    <w:rsid w:val="00104F6F"/>
    <w:rsid w:val="001050DD"/>
    <w:rsid w:val="0010513A"/>
    <w:rsid w:val="001054A9"/>
    <w:rsid w:val="00105505"/>
    <w:rsid w:val="001057B9"/>
    <w:rsid w:val="00105857"/>
    <w:rsid w:val="001058B4"/>
    <w:rsid w:val="00105B1A"/>
    <w:rsid w:val="00105B5E"/>
    <w:rsid w:val="00105FE3"/>
    <w:rsid w:val="0010613A"/>
    <w:rsid w:val="001061A3"/>
    <w:rsid w:val="001063C4"/>
    <w:rsid w:val="001064FF"/>
    <w:rsid w:val="00106F3B"/>
    <w:rsid w:val="00106F4A"/>
    <w:rsid w:val="001070DF"/>
    <w:rsid w:val="00107127"/>
    <w:rsid w:val="001071BD"/>
    <w:rsid w:val="001072EC"/>
    <w:rsid w:val="001078A1"/>
    <w:rsid w:val="001078D6"/>
    <w:rsid w:val="00107E32"/>
    <w:rsid w:val="00107E8C"/>
    <w:rsid w:val="00107F22"/>
    <w:rsid w:val="00107FEA"/>
    <w:rsid w:val="00107FF0"/>
    <w:rsid w:val="001108D1"/>
    <w:rsid w:val="0011091A"/>
    <w:rsid w:val="00110CFD"/>
    <w:rsid w:val="00110E61"/>
    <w:rsid w:val="001116F1"/>
    <w:rsid w:val="00111AF0"/>
    <w:rsid w:val="00111B6D"/>
    <w:rsid w:val="00111B7C"/>
    <w:rsid w:val="0011247C"/>
    <w:rsid w:val="00112706"/>
    <w:rsid w:val="00112967"/>
    <w:rsid w:val="00112A05"/>
    <w:rsid w:val="00112D25"/>
    <w:rsid w:val="00112E93"/>
    <w:rsid w:val="00112F69"/>
    <w:rsid w:val="0011300F"/>
    <w:rsid w:val="001130CD"/>
    <w:rsid w:val="00113237"/>
    <w:rsid w:val="001132C7"/>
    <w:rsid w:val="00113C0C"/>
    <w:rsid w:val="00113CD5"/>
    <w:rsid w:val="00113D1D"/>
    <w:rsid w:val="00113F46"/>
    <w:rsid w:val="00113FAF"/>
    <w:rsid w:val="001142E5"/>
    <w:rsid w:val="00114701"/>
    <w:rsid w:val="00114AC5"/>
    <w:rsid w:val="00114ADF"/>
    <w:rsid w:val="00114BF4"/>
    <w:rsid w:val="00114CA3"/>
    <w:rsid w:val="00115112"/>
    <w:rsid w:val="0011519D"/>
    <w:rsid w:val="00115582"/>
    <w:rsid w:val="0011564E"/>
    <w:rsid w:val="00115685"/>
    <w:rsid w:val="00115956"/>
    <w:rsid w:val="00115EB3"/>
    <w:rsid w:val="00116358"/>
    <w:rsid w:val="001165F5"/>
    <w:rsid w:val="00116740"/>
    <w:rsid w:val="00116884"/>
    <w:rsid w:val="001168D2"/>
    <w:rsid w:val="00116A1A"/>
    <w:rsid w:val="00116B34"/>
    <w:rsid w:val="00116C3A"/>
    <w:rsid w:val="00116D11"/>
    <w:rsid w:val="001171CF"/>
    <w:rsid w:val="0011730E"/>
    <w:rsid w:val="0011755E"/>
    <w:rsid w:val="0011761D"/>
    <w:rsid w:val="00120213"/>
    <w:rsid w:val="001202F4"/>
    <w:rsid w:val="00120374"/>
    <w:rsid w:val="00120579"/>
    <w:rsid w:val="0012068F"/>
    <w:rsid w:val="001206E4"/>
    <w:rsid w:val="001208D5"/>
    <w:rsid w:val="0012092A"/>
    <w:rsid w:val="00120A22"/>
    <w:rsid w:val="00120A5C"/>
    <w:rsid w:val="00120AC9"/>
    <w:rsid w:val="00120F8F"/>
    <w:rsid w:val="001210C1"/>
    <w:rsid w:val="0012111F"/>
    <w:rsid w:val="00121219"/>
    <w:rsid w:val="0012129C"/>
    <w:rsid w:val="001212ED"/>
    <w:rsid w:val="0012137D"/>
    <w:rsid w:val="0012195F"/>
    <w:rsid w:val="001219AE"/>
    <w:rsid w:val="00121B10"/>
    <w:rsid w:val="00121B93"/>
    <w:rsid w:val="00122103"/>
    <w:rsid w:val="001222C9"/>
    <w:rsid w:val="00122387"/>
    <w:rsid w:val="00122711"/>
    <w:rsid w:val="001228B0"/>
    <w:rsid w:val="00122957"/>
    <w:rsid w:val="001229A4"/>
    <w:rsid w:val="00122A39"/>
    <w:rsid w:val="00122DBE"/>
    <w:rsid w:val="00122FB0"/>
    <w:rsid w:val="0012334C"/>
    <w:rsid w:val="0012335D"/>
    <w:rsid w:val="001234FA"/>
    <w:rsid w:val="00123502"/>
    <w:rsid w:val="00123551"/>
    <w:rsid w:val="0012377A"/>
    <w:rsid w:val="00123832"/>
    <w:rsid w:val="0012390F"/>
    <w:rsid w:val="00123D28"/>
    <w:rsid w:val="00123E10"/>
    <w:rsid w:val="00123E29"/>
    <w:rsid w:val="00123EF5"/>
    <w:rsid w:val="0012401B"/>
    <w:rsid w:val="0012447D"/>
    <w:rsid w:val="0012460D"/>
    <w:rsid w:val="00124808"/>
    <w:rsid w:val="00124914"/>
    <w:rsid w:val="00124C33"/>
    <w:rsid w:val="00124C77"/>
    <w:rsid w:val="00124ED4"/>
    <w:rsid w:val="0012520A"/>
    <w:rsid w:val="001252E6"/>
    <w:rsid w:val="00125539"/>
    <w:rsid w:val="0012586C"/>
    <w:rsid w:val="00125D78"/>
    <w:rsid w:val="001260A9"/>
    <w:rsid w:val="001261AB"/>
    <w:rsid w:val="0012679A"/>
    <w:rsid w:val="00126925"/>
    <w:rsid w:val="0012695D"/>
    <w:rsid w:val="001269D0"/>
    <w:rsid w:val="00126B7D"/>
    <w:rsid w:val="00126C24"/>
    <w:rsid w:val="00126F04"/>
    <w:rsid w:val="00126F4F"/>
    <w:rsid w:val="001274E6"/>
    <w:rsid w:val="00127682"/>
    <w:rsid w:val="00127697"/>
    <w:rsid w:val="001277B7"/>
    <w:rsid w:val="00130045"/>
    <w:rsid w:val="00130438"/>
    <w:rsid w:val="001304E0"/>
    <w:rsid w:val="001308BE"/>
    <w:rsid w:val="00130F3F"/>
    <w:rsid w:val="001312AD"/>
    <w:rsid w:val="001315FB"/>
    <w:rsid w:val="00131AA7"/>
    <w:rsid w:val="00131B78"/>
    <w:rsid w:val="00132178"/>
    <w:rsid w:val="001322E9"/>
    <w:rsid w:val="00132377"/>
    <w:rsid w:val="0013283E"/>
    <w:rsid w:val="00132978"/>
    <w:rsid w:val="0013298B"/>
    <w:rsid w:val="00132DB1"/>
    <w:rsid w:val="00132EEA"/>
    <w:rsid w:val="001331A3"/>
    <w:rsid w:val="0013331E"/>
    <w:rsid w:val="00133585"/>
    <w:rsid w:val="00133AAB"/>
    <w:rsid w:val="00133BBD"/>
    <w:rsid w:val="00133C2F"/>
    <w:rsid w:val="0013424D"/>
    <w:rsid w:val="00134515"/>
    <w:rsid w:val="00134926"/>
    <w:rsid w:val="00134B17"/>
    <w:rsid w:val="00134EB0"/>
    <w:rsid w:val="00135177"/>
    <w:rsid w:val="001354F6"/>
    <w:rsid w:val="001356E3"/>
    <w:rsid w:val="00135A45"/>
    <w:rsid w:val="00135B88"/>
    <w:rsid w:val="00135FCF"/>
    <w:rsid w:val="00135FEB"/>
    <w:rsid w:val="00136684"/>
    <w:rsid w:val="00136992"/>
    <w:rsid w:val="00136A12"/>
    <w:rsid w:val="00136A2A"/>
    <w:rsid w:val="00136AE7"/>
    <w:rsid w:val="00136B51"/>
    <w:rsid w:val="00136C5E"/>
    <w:rsid w:val="00136F44"/>
    <w:rsid w:val="00137098"/>
    <w:rsid w:val="001373E1"/>
    <w:rsid w:val="0013768F"/>
    <w:rsid w:val="00137B00"/>
    <w:rsid w:val="00137B44"/>
    <w:rsid w:val="00137BC8"/>
    <w:rsid w:val="00137C6E"/>
    <w:rsid w:val="001400D5"/>
    <w:rsid w:val="001400E3"/>
    <w:rsid w:val="0014012D"/>
    <w:rsid w:val="00140159"/>
    <w:rsid w:val="00140567"/>
    <w:rsid w:val="00140861"/>
    <w:rsid w:val="001408E2"/>
    <w:rsid w:val="001409D7"/>
    <w:rsid w:val="00140A06"/>
    <w:rsid w:val="00140B96"/>
    <w:rsid w:val="00140CF3"/>
    <w:rsid w:val="0014106D"/>
    <w:rsid w:val="00141122"/>
    <w:rsid w:val="001412B5"/>
    <w:rsid w:val="001412D8"/>
    <w:rsid w:val="00141485"/>
    <w:rsid w:val="0014152F"/>
    <w:rsid w:val="0014169E"/>
    <w:rsid w:val="001416AA"/>
    <w:rsid w:val="001417F7"/>
    <w:rsid w:val="0014205C"/>
    <w:rsid w:val="0014236F"/>
    <w:rsid w:val="001425AA"/>
    <w:rsid w:val="0014264F"/>
    <w:rsid w:val="00142D93"/>
    <w:rsid w:val="00142E8A"/>
    <w:rsid w:val="00142F43"/>
    <w:rsid w:val="00143095"/>
    <w:rsid w:val="001431F4"/>
    <w:rsid w:val="0014358D"/>
    <w:rsid w:val="0014368D"/>
    <w:rsid w:val="001436EF"/>
    <w:rsid w:val="00143C9B"/>
    <w:rsid w:val="00143EE9"/>
    <w:rsid w:val="00144111"/>
    <w:rsid w:val="00144147"/>
    <w:rsid w:val="00144294"/>
    <w:rsid w:val="0014433F"/>
    <w:rsid w:val="0014473B"/>
    <w:rsid w:val="00144A46"/>
    <w:rsid w:val="00144F4C"/>
    <w:rsid w:val="0014554E"/>
    <w:rsid w:val="001455EF"/>
    <w:rsid w:val="00145A76"/>
    <w:rsid w:val="0014642F"/>
    <w:rsid w:val="00146555"/>
    <w:rsid w:val="00146675"/>
    <w:rsid w:val="00146ABF"/>
    <w:rsid w:val="00146BC1"/>
    <w:rsid w:val="00146CA0"/>
    <w:rsid w:val="00146D49"/>
    <w:rsid w:val="00146F00"/>
    <w:rsid w:val="00146FAE"/>
    <w:rsid w:val="00146FCE"/>
    <w:rsid w:val="0014728F"/>
    <w:rsid w:val="001472B6"/>
    <w:rsid w:val="00147302"/>
    <w:rsid w:val="001478A7"/>
    <w:rsid w:val="00147B24"/>
    <w:rsid w:val="00147F29"/>
    <w:rsid w:val="00150208"/>
    <w:rsid w:val="00150292"/>
    <w:rsid w:val="001504AD"/>
    <w:rsid w:val="001508FF"/>
    <w:rsid w:val="0015097C"/>
    <w:rsid w:val="00150B3F"/>
    <w:rsid w:val="00150D10"/>
    <w:rsid w:val="001510E9"/>
    <w:rsid w:val="00151108"/>
    <w:rsid w:val="0015138A"/>
    <w:rsid w:val="00151BCB"/>
    <w:rsid w:val="00151CD8"/>
    <w:rsid w:val="00151ED8"/>
    <w:rsid w:val="00151F7F"/>
    <w:rsid w:val="00152373"/>
    <w:rsid w:val="001527A6"/>
    <w:rsid w:val="00152829"/>
    <w:rsid w:val="001528D3"/>
    <w:rsid w:val="00152E88"/>
    <w:rsid w:val="00153167"/>
    <w:rsid w:val="0015321C"/>
    <w:rsid w:val="0015379A"/>
    <w:rsid w:val="00153801"/>
    <w:rsid w:val="001539F6"/>
    <w:rsid w:val="00153CF9"/>
    <w:rsid w:val="0015404F"/>
    <w:rsid w:val="00154B12"/>
    <w:rsid w:val="00154D22"/>
    <w:rsid w:val="00155124"/>
    <w:rsid w:val="00155383"/>
    <w:rsid w:val="0015552F"/>
    <w:rsid w:val="0015560E"/>
    <w:rsid w:val="0015640C"/>
    <w:rsid w:val="001564B7"/>
    <w:rsid w:val="001566C9"/>
    <w:rsid w:val="0015679B"/>
    <w:rsid w:val="0015684B"/>
    <w:rsid w:val="00156946"/>
    <w:rsid w:val="00156CD2"/>
    <w:rsid w:val="00156EAA"/>
    <w:rsid w:val="00156FC5"/>
    <w:rsid w:val="001573EF"/>
    <w:rsid w:val="00157635"/>
    <w:rsid w:val="00157759"/>
    <w:rsid w:val="001579C3"/>
    <w:rsid w:val="00157F97"/>
    <w:rsid w:val="00160145"/>
    <w:rsid w:val="001601DA"/>
    <w:rsid w:val="0016024B"/>
    <w:rsid w:val="001603FF"/>
    <w:rsid w:val="0016041A"/>
    <w:rsid w:val="00160948"/>
    <w:rsid w:val="00160959"/>
    <w:rsid w:val="001609C4"/>
    <w:rsid w:val="00160B0F"/>
    <w:rsid w:val="00160BCC"/>
    <w:rsid w:val="00160C87"/>
    <w:rsid w:val="00160FD9"/>
    <w:rsid w:val="001613C0"/>
    <w:rsid w:val="00161497"/>
    <w:rsid w:val="00161791"/>
    <w:rsid w:val="00161885"/>
    <w:rsid w:val="0016189F"/>
    <w:rsid w:val="00161921"/>
    <w:rsid w:val="00161BB0"/>
    <w:rsid w:val="00161C85"/>
    <w:rsid w:val="00161E3F"/>
    <w:rsid w:val="00161F18"/>
    <w:rsid w:val="00161FD1"/>
    <w:rsid w:val="00162190"/>
    <w:rsid w:val="0016254D"/>
    <w:rsid w:val="00162654"/>
    <w:rsid w:val="00162840"/>
    <w:rsid w:val="00162969"/>
    <w:rsid w:val="0016313A"/>
    <w:rsid w:val="0016323D"/>
    <w:rsid w:val="00163347"/>
    <w:rsid w:val="0016346B"/>
    <w:rsid w:val="001637BC"/>
    <w:rsid w:val="00163C80"/>
    <w:rsid w:val="00163EB5"/>
    <w:rsid w:val="00163EF3"/>
    <w:rsid w:val="00163FAF"/>
    <w:rsid w:val="001641AE"/>
    <w:rsid w:val="001643B0"/>
    <w:rsid w:val="001643FF"/>
    <w:rsid w:val="001647D7"/>
    <w:rsid w:val="00164A7A"/>
    <w:rsid w:val="00164BA7"/>
    <w:rsid w:val="00164CEF"/>
    <w:rsid w:val="00165044"/>
    <w:rsid w:val="00165122"/>
    <w:rsid w:val="00165A6B"/>
    <w:rsid w:val="00165D90"/>
    <w:rsid w:val="001663CE"/>
    <w:rsid w:val="001664FE"/>
    <w:rsid w:val="00166C3B"/>
    <w:rsid w:val="00166CFE"/>
    <w:rsid w:val="00167144"/>
    <w:rsid w:val="00167A0A"/>
    <w:rsid w:val="001700E6"/>
    <w:rsid w:val="001700FA"/>
    <w:rsid w:val="00170137"/>
    <w:rsid w:val="001703FD"/>
    <w:rsid w:val="00170419"/>
    <w:rsid w:val="001704B9"/>
    <w:rsid w:val="00170594"/>
    <w:rsid w:val="00170932"/>
    <w:rsid w:val="00170AB6"/>
    <w:rsid w:val="00170B54"/>
    <w:rsid w:val="00170BA8"/>
    <w:rsid w:val="00170C4B"/>
    <w:rsid w:val="00170DAE"/>
    <w:rsid w:val="00170DC3"/>
    <w:rsid w:val="00170FB7"/>
    <w:rsid w:val="00171531"/>
    <w:rsid w:val="00171536"/>
    <w:rsid w:val="00171735"/>
    <w:rsid w:val="00171E82"/>
    <w:rsid w:val="001720FC"/>
    <w:rsid w:val="0017211F"/>
    <w:rsid w:val="0017218C"/>
    <w:rsid w:val="0017269C"/>
    <w:rsid w:val="00172770"/>
    <w:rsid w:val="0017282D"/>
    <w:rsid w:val="001728F9"/>
    <w:rsid w:val="00173031"/>
    <w:rsid w:val="0017341F"/>
    <w:rsid w:val="00173540"/>
    <w:rsid w:val="0017356B"/>
    <w:rsid w:val="001739E7"/>
    <w:rsid w:val="00173C79"/>
    <w:rsid w:val="00173DF2"/>
    <w:rsid w:val="00173E1C"/>
    <w:rsid w:val="0017431A"/>
    <w:rsid w:val="00174602"/>
    <w:rsid w:val="00174665"/>
    <w:rsid w:val="00174866"/>
    <w:rsid w:val="00174C78"/>
    <w:rsid w:val="00174E1E"/>
    <w:rsid w:val="00174F99"/>
    <w:rsid w:val="0017515C"/>
    <w:rsid w:val="001751EB"/>
    <w:rsid w:val="00175395"/>
    <w:rsid w:val="00175858"/>
    <w:rsid w:val="001758B7"/>
    <w:rsid w:val="00175AAA"/>
    <w:rsid w:val="00175FCE"/>
    <w:rsid w:val="0017614A"/>
    <w:rsid w:val="0017620F"/>
    <w:rsid w:val="0017685C"/>
    <w:rsid w:val="001768EA"/>
    <w:rsid w:val="00176916"/>
    <w:rsid w:val="00176948"/>
    <w:rsid w:val="00176F05"/>
    <w:rsid w:val="00177281"/>
    <w:rsid w:val="00177891"/>
    <w:rsid w:val="00177D60"/>
    <w:rsid w:val="00177E12"/>
    <w:rsid w:val="00177E22"/>
    <w:rsid w:val="0018053C"/>
    <w:rsid w:val="0018061E"/>
    <w:rsid w:val="00180943"/>
    <w:rsid w:val="00180996"/>
    <w:rsid w:val="00180A5B"/>
    <w:rsid w:val="00180B58"/>
    <w:rsid w:val="00180FB5"/>
    <w:rsid w:val="00181034"/>
    <w:rsid w:val="00181181"/>
    <w:rsid w:val="0018134F"/>
    <w:rsid w:val="00181587"/>
    <w:rsid w:val="00181B10"/>
    <w:rsid w:val="00181CA8"/>
    <w:rsid w:val="001828C2"/>
    <w:rsid w:val="00182910"/>
    <w:rsid w:val="00182DB6"/>
    <w:rsid w:val="00182F5B"/>
    <w:rsid w:val="00182F9C"/>
    <w:rsid w:val="0018326C"/>
    <w:rsid w:val="0018351C"/>
    <w:rsid w:val="001835E7"/>
    <w:rsid w:val="00183813"/>
    <w:rsid w:val="00183887"/>
    <w:rsid w:val="001838D2"/>
    <w:rsid w:val="00183921"/>
    <w:rsid w:val="001839D3"/>
    <w:rsid w:val="00183A56"/>
    <w:rsid w:val="00183DCD"/>
    <w:rsid w:val="00183F26"/>
    <w:rsid w:val="001841DD"/>
    <w:rsid w:val="0018423B"/>
    <w:rsid w:val="00184289"/>
    <w:rsid w:val="001842AC"/>
    <w:rsid w:val="00184578"/>
    <w:rsid w:val="001846B9"/>
    <w:rsid w:val="00184966"/>
    <w:rsid w:val="00184CBF"/>
    <w:rsid w:val="00184DD9"/>
    <w:rsid w:val="0018549E"/>
    <w:rsid w:val="001854B1"/>
    <w:rsid w:val="00185778"/>
    <w:rsid w:val="001857DB"/>
    <w:rsid w:val="00185D63"/>
    <w:rsid w:val="00185DB2"/>
    <w:rsid w:val="0018623C"/>
    <w:rsid w:val="001862AF"/>
    <w:rsid w:val="001866BF"/>
    <w:rsid w:val="00186760"/>
    <w:rsid w:val="0018690D"/>
    <w:rsid w:val="00186AAA"/>
    <w:rsid w:val="00186AC1"/>
    <w:rsid w:val="00186FDB"/>
    <w:rsid w:val="001870DD"/>
    <w:rsid w:val="00187167"/>
    <w:rsid w:val="00187815"/>
    <w:rsid w:val="001879A0"/>
    <w:rsid w:val="00187B67"/>
    <w:rsid w:val="00187BA2"/>
    <w:rsid w:val="00190295"/>
    <w:rsid w:val="001905F7"/>
    <w:rsid w:val="00190787"/>
    <w:rsid w:val="0019085C"/>
    <w:rsid w:val="00190A5F"/>
    <w:rsid w:val="00190C58"/>
    <w:rsid w:val="00190CA0"/>
    <w:rsid w:val="00190D52"/>
    <w:rsid w:val="00190F26"/>
    <w:rsid w:val="00191116"/>
    <w:rsid w:val="00191291"/>
    <w:rsid w:val="001912BA"/>
    <w:rsid w:val="001912F5"/>
    <w:rsid w:val="00191526"/>
    <w:rsid w:val="00191E41"/>
    <w:rsid w:val="0019225F"/>
    <w:rsid w:val="00192428"/>
    <w:rsid w:val="001924B2"/>
    <w:rsid w:val="001925CE"/>
    <w:rsid w:val="00192FDF"/>
    <w:rsid w:val="0019339B"/>
    <w:rsid w:val="001933B3"/>
    <w:rsid w:val="0019377D"/>
    <w:rsid w:val="001939C2"/>
    <w:rsid w:val="00193B5C"/>
    <w:rsid w:val="00194339"/>
    <w:rsid w:val="001945C0"/>
    <w:rsid w:val="00194655"/>
    <w:rsid w:val="001948AA"/>
    <w:rsid w:val="00194A45"/>
    <w:rsid w:val="00194B08"/>
    <w:rsid w:val="00194BD8"/>
    <w:rsid w:val="00194E8A"/>
    <w:rsid w:val="00195278"/>
    <w:rsid w:val="001956FE"/>
    <w:rsid w:val="001959A1"/>
    <w:rsid w:val="00195B10"/>
    <w:rsid w:val="00195BED"/>
    <w:rsid w:val="00195EFC"/>
    <w:rsid w:val="00196121"/>
    <w:rsid w:val="00196323"/>
    <w:rsid w:val="001963B0"/>
    <w:rsid w:val="00196551"/>
    <w:rsid w:val="001966B3"/>
    <w:rsid w:val="00196734"/>
    <w:rsid w:val="0019675C"/>
    <w:rsid w:val="0019682B"/>
    <w:rsid w:val="00196859"/>
    <w:rsid w:val="001968EF"/>
    <w:rsid w:val="00196A95"/>
    <w:rsid w:val="00196E3E"/>
    <w:rsid w:val="00196EE4"/>
    <w:rsid w:val="00196FE9"/>
    <w:rsid w:val="00197030"/>
    <w:rsid w:val="0019716A"/>
    <w:rsid w:val="001971B9"/>
    <w:rsid w:val="00197205"/>
    <w:rsid w:val="001973B7"/>
    <w:rsid w:val="0019757C"/>
    <w:rsid w:val="00197592"/>
    <w:rsid w:val="001977B1"/>
    <w:rsid w:val="001977B5"/>
    <w:rsid w:val="00197A5D"/>
    <w:rsid w:val="00197D5C"/>
    <w:rsid w:val="00197FB9"/>
    <w:rsid w:val="001A0032"/>
    <w:rsid w:val="001A00F6"/>
    <w:rsid w:val="001A0100"/>
    <w:rsid w:val="001A0232"/>
    <w:rsid w:val="001A038C"/>
    <w:rsid w:val="001A0497"/>
    <w:rsid w:val="001A0619"/>
    <w:rsid w:val="001A06F6"/>
    <w:rsid w:val="001A0A50"/>
    <w:rsid w:val="001A0B7C"/>
    <w:rsid w:val="001A120C"/>
    <w:rsid w:val="001A125F"/>
    <w:rsid w:val="001A1541"/>
    <w:rsid w:val="001A1567"/>
    <w:rsid w:val="001A196D"/>
    <w:rsid w:val="001A199C"/>
    <w:rsid w:val="001A1CE4"/>
    <w:rsid w:val="001A1D9D"/>
    <w:rsid w:val="001A1E91"/>
    <w:rsid w:val="001A235F"/>
    <w:rsid w:val="001A248B"/>
    <w:rsid w:val="001A25EC"/>
    <w:rsid w:val="001A2634"/>
    <w:rsid w:val="001A2879"/>
    <w:rsid w:val="001A2DFC"/>
    <w:rsid w:val="001A3253"/>
    <w:rsid w:val="001A32C2"/>
    <w:rsid w:val="001A35C7"/>
    <w:rsid w:val="001A3808"/>
    <w:rsid w:val="001A380B"/>
    <w:rsid w:val="001A3B2F"/>
    <w:rsid w:val="001A3DB9"/>
    <w:rsid w:val="001A3EB1"/>
    <w:rsid w:val="001A3EDE"/>
    <w:rsid w:val="001A42B9"/>
    <w:rsid w:val="001A42F2"/>
    <w:rsid w:val="001A44E5"/>
    <w:rsid w:val="001A4759"/>
    <w:rsid w:val="001A4806"/>
    <w:rsid w:val="001A4AB2"/>
    <w:rsid w:val="001A4BAF"/>
    <w:rsid w:val="001A4E76"/>
    <w:rsid w:val="001A50AC"/>
    <w:rsid w:val="001A5101"/>
    <w:rsid w:val="001A538E"/>
    <w:rsid w:val="001A54EA"/>
    <w:rsid w:val="001A568B"/>
    <w:rsid w:val="001A5A90"/>
    <w:rsid w:val="001A63EF"/>
    <w:rsid w:val="001A65CF"/>
    <w:rsid w:val="001A6772"/>
    <w:rsid w:val="001A68DE"/>
    <w:rsid w:val="001A6A41"/>
    <w:rsid w:val="001A74F8"/>
    <w:rsid w:val="001A772A"/>
    <w:rsid w:val="001A77B0"/>
    <w:rsid w:val="001A78BC"/>
    <w:rsid w:val="001A793A"/>
    <w:rsid w:val="001A7C65"/>
    <w:rsid w:val="001A7E6E"/>
    <w:rsid w:val="001B01C9"/>
    <w:rsid w:val="001B07DC"/>
    <w:rsid w:val="001B0812"/>
    <w:rsid w:val="001B0916"/>
    <w:rsid w:val="001B0B7B"/>
    <w:rsid w:val="001B0B8B"/>
    <w:rsid w:val="001B0D6F"/>
    <w:rsid w:val="001B0DE9"/>
    <w:rsid w:val="001B115A"/>
    <w:rsid w:val="001B116A"/>
    <w:rsid w:val="001B1AFC"/>
    <w:rsid w:val="001B1E40"/>
    <w:rsid w:val="001B2015"/>
    <w:rsid w:val="001B256D"/>
    <w:rsid w:val="001B29BC"/>
    <w:rsid w:val="001B2D84"/>
    <w:rsid w:val="001B3067"/>
    <w:rsid w:val="001B314B"/>
    <w:rsid w:val="001B3848"/>
    <w:rsid w:val="001B4489"/>
    <w:rsid w:val="001B457E"/>
    <w:rsid w:val="001B4875"/>
    <w:rsid w:val="001B4996"/>
    <w:rsid w:val="001B504A"/>
    <w:rsid w:val="001B51FB"/>
    <w:rsid w:val="001B5672"/>
    <w:rsid w:val="001B5AED"/>
    <w:rsid w:val="001B5C93"/>
    <w:rsid w:val="001B5E14"/>
    <w:rsid w:val="001B61FC"/>
    <w:rsid w:val="001B63A7"/>
    <w:rsid w:val="001B642B"/>
    <w:rsid w:val="001B646E"/>
    <w:rsid w:val="001B6AF3"/>
    <w:rsid w:val="001B6DC3"/>
    <w:rsid w:val="001B6E08"/>
    <w:rsid w:val="001B6F36"/>
    <w:rsid w:val="001B742F"/>
    <w:rsid w:val="001B7562"/>
    <w:rsid w:val="001B7B5A"/>
    <w:rsid w:val="001B7BED"/>
    <w:rsid w:val="001B7C37"/>
    <w:rsid w:val="001B7F9E"/>
    <w:rsid w:val="001C02E4"/>
    <w:rsid w:val="001C0380"/>
    <w:rsid w:val="001C05A0"/>
    <w:rsid w:val="001C0917"/>
    <w:rsid w:val="001C0DF7"/>
    <w:rsid w:val="001C1281"/>
    <w:rsid w:val="001C14C7"/>
    <w:rsid w:val="001C1579"/>
    <w:rsid w:val="001C1654"/>
    <w:rsid w:val="001C176A"/>
    <w:rsid w:val="001C18F4"/>
    <w:rsid w:val="001C19A0"/>
    <w:rsid w:val="001C1B14"/>
    <w:rsid w:val="001C1F4A"/>
    <w:rsid w:val="001C1F5E"/>
    <w:rsid w:val="001C2001"/>
    <w:rsid w:val="001C2259"/>
    <w:rsid w:val="001C2321"/>
    <w:rsid w:val="001C31C0"/>
    <w:rsid w:val="001C35E9"/>
    <w:rsid w:val="001C382B"/>
    <w:rsid w:val="001C3A35"/>
    <w:rsid w:val="001C3A84"/>
    <w:rsid w:val="001C3B59"/>
    <w:rsid w:val="001C3FEF"/>
    <w:rsid w:val="001C404B"/>
    <w:rsid w:val="001C413C"/>
    <w:rsid w:val="001C41BB"/>
    <w:rsid w:val="001C450C"/>
    <w:rsid w:val="001C48A9"/>
    <w:rsid w:val="001C4C2F"/>
    <w:rsid w:val="001C4EBB"/>
    <w:rsid w:val="001C55D0"/>
    <w:rsid w:val="001C5710"/>
    <w:rsid w:val="001C591F"/>
    <w:rsid w:val="001C5973"/>
    <w:rsid w:val="001C5C2C"/>
    <w:rsid w:val="001C5CA7"/>
    <w:rsid w:val="001C5CDA"/>
    <w:rsid w:val="001C61CD"/>
    <w:rsid w:val="001C6354"/>
    <w:rsid w:val="001C649D"/>
    <w:rsid w:val="001C66FD"/>
    <w:rsid w:val="001C694A"/>
    <w:rsid w:val="001C6AC7"/>
    <w:rsid w:val="001C6B95"/>
    <w:rsid w:val="001C737F"/>
    <w:rsid w:val="001C741A"/>
    <w:rsid w:val="001C79D9"/>
    <w:rsid w:val="001C7A15"/>
    <w:rsid w:val="001C7AAC"/>
    <w:rsid w:val="001C7B06"/>
    <w:rsid w:val="001C7B76"/>
    <w:rsid w:val="001C7E02"/>
    <w:rsid w:val="001C7EC1"/>
    <w:rsid w:val="001D005C"/>
    <w:rsid w:val="001D018B"/>
    <w:rsid w:val="001D029F"/>
    <w:rsid w:val="001D0469"/>
    <w:rsid w:val="001D0581"/>
    <w:rsid w:val="001D0773"/>
    <w:rsid w:val="001D0DA8"/>
    <w:rsid w:val="001D0F4A"/>
    <w:rsid w:val="001D0F74"/>
    <w:rsid w:val="001D0F7D"/>
    <w:rsid w:val="001D0FEA"/>
    <w:rsid w:val="001D1096"/>
    <w:rsid w:val="001D120F"/>
    <w:rsid w:val="001D136A"/>
    <w:rsid w:val="001D141A"/>
    <w:rsid w:val="001D1505"/>
    <w:rsid w:val="001D1594"/>
    <w:rsid w:val="001D1606"/>
    <w:rsid w:val="001D19E9"/>
    <w:rsid w:val="001D1A03"/>
    <w:rsid w:val="001D1E02"/>
    <w:rsid w:val="001D1F02"/>
    <w:rsid w:val="001D223E"/>
    <w:rsid w:val="001D253F"/>
    <w:rsid w:val="001D266C"/>
    <w:rsid w:val="001D273F"/>
    <w:rsid w:val="001D287B"/>
    <w:rsid w:val="001D2AC3"/>
    <w:rsid w:val="001D2CEC"/>
    <w:rsid w:val="001D2D16"/>
    <w:rsid w:val="001D2F3F"/>
    <w:rsid w:val="001D3830"/>
    <w:rsid w:val="001D3907"/>
    <w:rsid w:val="001D3CCB"/>
    <w:rsid w:val="001D3E12"/>
    <w:rsid w:val="001D3E9C"/>
    <w:rsid w:val="001D4068"/>
    <w:rsid w:val="001D422E"/>
    <w:rsid w:val="001D43D6"/>
    <w:rsid w:val="001D44F6"/>
    <w:rsid w:val="001D47CE"/>
    <w:rsid w:val="001D497B"/>
    <w:rsid w:val="001D49E3"/>
    <w:rsid w:val="001D4F50"/>
    <w:rsid w:val="001D51AC"/>
    <w:rsid w:val="001D5443"/>
    <w:rsid w:val="001D554F"/>
    <w:rsid w:val="001D57EE"/>
    <w:rsid w:val="001D5ED2"/>
    <w:rsid w:val="001D6188"/>
    <w:rsid w:val="001D62DD"/>
    <w:rsid w:val="001D6533"/>
    <w:rsid w:val="001D69E8"/>
    <w:rsid w:val="001D6D94"/>
    <w:rsid w:val="001D7513"/>
    <w:rsid w:val="001D7715"/>
    <w:rsid w:val="001D793D"/>
    <w:rsid w:val="001D7949"/>
    <w:rsid w:val="001D7E1B"/>
    <w:rsid w:val="001E06A2"/>
    <w:rsid w:val="001E097A"/>
    <w:rsid w:val="001E105A"/>
    <w:rsid w:val="001E1207"/>
    <w:rsid w:val="001E1883"/>
    <w:rsid w:val="001E20E4"/>
    <w:rsid w:val="001E212B"/>
    <w:rsid w:val="001E24FC"/>
    <w:rsid w:val="001E2509"/>
    <w:rsid w:val="001E2874"/>
    <w:rsid w:val="001E28E7"/>
    <w:rsid w:val="001E2905"/>
    <w:rsid w:val="001E2FA2"/>
    <w:rsid w:val="001E304F"/>
    <w:rsid w:val="001E31AB"/>
    <w:rsid w:val="001E328E"/>
    <w:rsid w:val="001E347A"/>
    <w:rsid w:val="001E353C"/>
    <w:rsid w:val="001E355C"/>
    <w:rsid w:val="001E360A"/>
    <w:rsid w:val="001E3A05"/>
    <w:rsid w:val="001E3D6A"/>
    <w:rsid w:val="001E402F"/>
    <w:rsid w:val="001E40DD"/>
    <w:rsid w:val="001E432A"/>
    <w:rsid w:val="001E433C"/>
    <w:rsid w:val="001E460D"/>
    <w:rsid w:val="001E48D1"/>
    <w:rsid w:val="001E4A6A"/>
    <w:rsid w:val="001E4BA2"/>
    <w:rsid w:val="001E4FA6"/>
    <w:rsid w:val="001E514B"/>
    <w:rsid w:val="001E51F2"/>
    <w:rsid w:val="001E52E7"/>
    <w:rsid w:val="001E5505"/>
    <w:rsid w:val="001E563A"/>
    <w:rsid w:val="001E5687"/>
    <w:rsid w:val="001E57AA"/>
    <w:rsid w:val="001E58F1"/>
    <w:rsid w:val="001E5DCE"/>
    <w:rsid w:val="001E5F01"/>
    <w:rsid w:val="001E60B7"/>
    <w:rsid w:val="001E6236"/>
    <w:rsid w:val="001E6F77"/>
    <w:rsid w:val="001E70C4"/>
    <w:rsid w:val="001E713C"/>
    <w:rsid w:val="001E7436"/>
    <w:rsid w:val="001E7AD6"/>
    <w:rsid w:val="001E7AFF"/>
    <w:rsid w:val="001E7B31"/>
    <w:rsid w:val="001E7BEB"/>
    <w:rsid w:val="001E7C23"/>
    <w:rsid w:val="001E7F06"/>
    <w:rsid w:val="001F010E"/>
    <w:rsid w:val="001F0271"/>
    <w:rsid w:val="001F0400"/>
    <w:rsid w:val="001F0402"/>
    <w:rsid w:val="001F0526"/>
    <w:rsid w:val="001F0544"/>
    <w:rsid w:val="001F0BC7"/>
    <w:rsid w:val="001F0C2E"/>
    <w:rsid w:val="001F0DAF"/>
    <w:rsid w:val="001F0F40"/>
    <w:rsid w:val="001F12CF"/>
    <w:rsid w:val="001F1961"/>
    <w:rsid w:val="001F1A89"/>
    <w:rsid w:val="001F1AB2"/>
    <w:rsid w:val="001F1AF8"/>
    <w:rsid w:val="001F1B6F"/>
    <w:rsid w:val="001F1E18"/>
    <w:rsid w:val="001F1E64"/>
    <w:rsid w:val="001F1F3B"/>
    <w:rsid w:val="001F2180"/>
    <w:rsid w:val="001F2948"/>
    <w:rsid w:val="001F2A98"/>
    <w:rsid w:val="001F2C2F"/>
    <w:rsid w:val="001F2C87"/>
    <w:rsid w:val="001F2D8A"/>
    <w:rsid w:val="001F3012"/>
    <w:rsid w:val="001F3153"/>
    <w:rsid w:val="001F34EC"/>
    <w:rsid w:val="001F3662"/>
    <w:rsid w:val="001F3665"/>
    <w:rsid w:val="001F398F"/>
    <w:rsid w:val="001F3AF0"/>
    <w:rsid w:val="001F3C26"/>
    <w:rsid w:val="001F3D25"/>
    <w:rsid w:val="001F3F50"/>
    <w:rsid w:val="001F40A2"/>
    <w:rsid w:val="001F41F7"/>
    <w:rsid w:val="001F46D3"/>
    <w:rsid w:val="001F494A"/>
    <w:rsid w:val="001F4F38"/>
    <w:rsid w:val="001F4F47"/>
    <w:rsid w:val="001F4FDC"/>
    <w:rsid w:val="001F537B"/>
    <w:rsid w:val="001F549E"/>
    <w:rsid w:val="001F59FE"/>
    <w:rsid w:val="001F5A37"/>
    <w:rsid w:val="001F5AD4"/>
    <w:rsid w:val="001F5E38"/>
    <w:rsid w:val="001F5F8B"/>
    <w:rsid w:val="001F5F94"/>
    <w:rsid w:val="001F5FE3"/>
    <w:rsid w:val="001F65DE"/>
    <w:rsid w:val="001F664F"/>
    <w:rsid w:val="001F6952"/>
    <w:rsid w:val="001F69EB"/>
    <w:rsid w:val="001F6B08"/>
    <w:rsid w:val="001F6D6A"/>
    <w:rsid w:val="001F71E9"/>
    <w:rsid w:val="001F7B74"/>
    <w:rsid w:val="001F7C3B"/>
    <w:rsid w:val="001F7E39"/>
    <w:rsid w:val="001F7E9D"/>
    <w:rsid w:val="00200022"/>
    <w:rsid w:val="0020016F"/>
    <w:rsid w:val="002002A2"/>
    <w:rsid w:val="0020052A"/>
    <w:rsid w:val="0020059A"/>
    <w:rsid w:val="0020102F"/>
    <w:rsid w:val="00201796"/>
    <w:rsid w:val="00201BB7"/>
    <w:rsid w:val="00201BD4"/>
    <w:rsid w:val="00202143"/>
    <w:rsid w:val="0020229B"/>
    <w:rsid w:val="00202482"/>
    <w:rsid w:val="002027B6"/>
    <w:rsid w:val="00202838"/>
    <w:rsid w:val="002028DF"/>
    <w:rsid w:val="0020290F"/>
    <w:rsid w:val="00202975"/>
    <w:rsid w:val="00202E72"/>
    <w:rsid w:val="00202F0B"/>
    <w:rsid w:val="00202F2A"/>
    <w:rsid w:val="00203016"/>
    <w:rsid w:val="002030D9"/>
    <w:rsid w:val="00203557"/>
    <w:rsid w:val="00203575"/>
    <w:rsid w:val="00203773"/>
    <w:rsid w:val="00203A13"/>
    <w:rsid w:val="00203C71"/>
    <w:rsid w:val="00203D73"/>
    <w:rsid w:val="00204729"/>
    <w:rsid w:val="00204778"/>
    <w:rsid w:val="0020479A"/>
    <w:rsid w:val="00204A21"/>
    <w:rsid w:val="00204A59"/>
    <w:rsid w:val="00204D07"/>
    <w:rsid w:val="00204D2E"/>
    <w:rsid w:val="00205064"/>
    <w:rsid w:val="00205066"/>
    <w:rsid w:val="0020523C"/>
    <w:rsid w:val="002053CC"/>
    <w:rsid w:val="002058B0"/>
    <w:rsid w:val="00205F4A"/>
    <w:rsid w:val="00205F6D"/>
    <w:rsid w:val="00206388"/>
    <w:rsid w:val="002065A4"/>
    <w:rsid w:val="002067AF"/>
    <w:rsid w:val="00206B65"/>
    <w:rsid w:val="00207386"/>
    <w:rsid w:val="00207583"/>
    <w:rsid w:val="0020775E"/>
    <w:rsid w:val="002078EC"/>
    <w:rsid w:val="002079F2"/>
    <w:rsid w:val="00207A50"/>
    <w:rsid w:val="00207CEF"/>
    <w:rsid w:val="00210240"/>
    <w:rsid w:val="002104A5"/>
    <w:rsid w:val="002104C9"/>
    <w:rsid w:val="002104CF"/>
    <w:rsid w:val="00210A5D"/>
    <w:rsid w:val="00210BCE"/>
    <w:rsid w:val="00210E80"/>
    <w:rsid w:val="00211248"/>
    <w:rsid w:val="002113B0"/>
    <w:rsid w:val="002116C2"/>
    <w:rsid w:val="0021196C"/>
    <w:rsid w:val="00211BBD"/>
    <w:rsid w:val="00211C80"/>
    <w:rsid w:val="00211DE8"/>
    <w:rsid w:val="00211F1A"/>
    <w:rsid w:val="00211F1B"/>
    <w:rsid w:val="0021215C"/>
    <w:rsid w:val="002127AA"/>
    <w:rsid w:val="002128A7"/>
    <w:rsid w:val="0021293F"/>
    <w:rsid w:val="00212A9F"/>
    <w:rsid w:val="00212B91"/>
    <w:rsid w:val="00212ED4"/>
    <w:rsid w:val="0021321E"/>
    <w:rsid w:val="00213C86"/>
    <w:rsid w:val="00213DA8"/>
    <w:rsid w:val="00213DBF"/>
    <w:rsid w:val="00213F6F"/>
    <w:rsid w:val="0021420F"/>
    <w:rsid w:val="00214288"/>
    <w:rsid w:val="002142DB"/>
    <w:rsid w:val="002143B7"/>
    <w:rsid w:val="00214413"/>
    <w:rsid w:val="00214460"/>
    <w:rsid w:val="00214A86"/>
    <w:rsid w:val="00214B3B"/>
    <w:rsid w:val="00215246"/>
    <w:rsid w:val="002153DF"/>
    <w:rsid w:val="002158A5"/>
    <w:rsid w:val="002158B0"/>
    <w:rsid w:val="00215C71"/>
    <w:rsid w:val="002163A3"/>
    <w:rsid w:val="0021663F"/>
    <w:rsid w:val="00216775"/>
    <w:rsid w:val="00216B05"/>
    <w:rsid w:val="00216CB4"/>
    <w:rsid w:val="0021732E"/>
    <w:rsid w:val="00217479"/>
    <w:rsid w:val="00217909"/>
    <w:rsid w:val="00217988"/>
    <w:rsid w:val="00217A75"/>
    <w:rsid w:val="002206C7"/>
    <w:rsid w:val="0022084D"/>
    <w:rsid w:val="00220F9F"/>
    <w:rsid w:val="0022107B"/>
    <w:rsid w:val="002212CA"/>
    <w:rsid w:val="002214E6"/>
    <w:rsid w:val="002215D2"/>
    <w:rsid w:val="00221A5C"/>
    <w:rsid w:val="00221CD5"/>
    <w:rsid w:val="00221F32"/>
    <w:rsid w:val="00221F3C"/>
    <w:rsid w:val="00222086"/>
    <w:rsid w:val="002222DB"/>
    <w:rsid w:val="0022274A"/>
    <w:rsid w:val="00222BB2"/>
    <w:rsid w:val="00222E29"/>
    <w:rsid w:val="002230E3"/>
    <w:rsid w:val="0022341F"/>
    <w:rsid w:val="0022363E"/>
    <w:rsid w:val="002236BC"/>
    <w:rsid w:val="002238FB"/>
    <w:rsid w:val="00223910"/>
    <w:rsid w:val="0022397B"/>
    <w:rsid w:val="00223A51"/>
    <w:rsid w:val="00223C5F"/>
    <w:rsid w:val="00223DCA"/>
    <w:rsid w:val="00224114"/>
    <w:rsid w:val="0022433F"/>
    <w:rsid w:val="0022464D"/>
    <w:rsid w:val="00224902"/>
    <w:rsid w:val="00224AC7"/>
    <w:rsid w:val="00224C77"/>
    <w:rsid w:val="00224C9D"/>
    <w:rsid w:val="00224EDB"/>
    <w:rsid w:val="00224F33"/>
    <w:rsid w:val="0022544F"/>
    <w:rsid w:val="0022571C"/>
    <w:rsid w:val="002259AB"/>
    <w:rsid w:val="002260F9"/>
    <w:rsid w:val="002262EB"/>
    <w:rsid w:val="0022652C"/>
    <w:rsid w:val="002267C8"/>
    <w:rsid w:val="002268EB"/>
    <w:rsid w:val="00226CB3"/>
    <w:rsid w:val="00226CD0"/>
    <w:rsid w:val="00226EF9"/>
    <w:rsid w:val="00227628"/>
    <w:rsid w:val="00227BF9"/>
    <w:rsid w:val="00227E58"/>
    <w:rsid w:val="00227F0F"/>
    <w:rsid w:val="00230059"/>
    <w:rsid w:val="00230078"/>
    <w:rsid w:val="0023045D"/>
    <w:rsid w:val="00230664"/>
    <w:rsid w:val="00230825"/>
    <w:rsid w:val="00230CE4"/>
    <w:rsid w:val="00230FFE"/>
    <w:rsid w:val="00231295"/>
    <w:rsid w:val="002312D5"/>
    <w:rsid w:val="00231FEA"/>
    <w:rsid w:val="0023280D"/>
    <w:rsid w:val="002328D0"/>
    <w:rsid w:val="00232B32"/>
    <w:rsid w:val="00232F97"/>
    <w:rsid w:val="0023312D"/>
    <w:rsid w:val="00233504"/>
    <w:rsid w:val="002337BF"/>
    <w:rsid w:val="00233855"/>
    <w:rsid w:val="00233919"/>
    <w:rsid w:val="00233B84"/>
    <w:rsid w:val="00233B89"/>
    <w:rsid w:val="00233EC8"/>
    <w:rsid w:val="00234539"/>
    <w:rsid w:val="00234A1E"/>
    <w:rsid w:val="00234ABD"/>
    <w:rsid w:val="00234B88"/>
    <w:rsid w:val="00234D77"/>
    <w:rsid w:val="00234D7B"/>
    <w:rsid w:val="0023541A"/>
    <w:rsid w:val="00235441"/>
    <w:rsid w:val="00235512"/>
    <w:rsid w:val="0023551B"/>
    <w:rsid w:val="00235926"/>
    <w:rsid w:val="00235C9E"/>
    <w:rsid w:val="00235D44"/>
    <w:rsid w:val="00236BDE"/>
    <w:rsid w:val="00236C9B"/>
    <w:rsid w:val="00236D80"/>
    <w:rsid w:val="002372AF"/>
    <w:rsid w:val="00237703"/>
    <w:rsid w:val="00237829"/>
    <w:rsid w:val="00237F9D"/>
    <w:rsid w:val="002401A0"/>
    <w:rsid w:val="002402F2"/>
    <w:rsid w:val="002406E9"/>
    <w:rsid w:val="00240889"/>
    <w:rsid w:val="002408EC"/>
    <w:rsid w:val="0024096D"/>
    <w:rsid w:val="00240A46"/>
    <w:rsid w:val="00241436"/>
    <w:rsid w:val="002414B3"/>
    <w:rsid w:val="002414F5"/>
    <w:rsid w:val="00241BB4"/>
    <w:rsid w:val="00241F53"/>
    <w:rsid w:val="00242012"/>
    <w:rsid w:val="00242066"/>
    <w:rsid w:val="00242396"/>
    <w:rsid w:val="002426D1"/>
    <w:rsid w:val="00242942"/>
    <w:rsid w:val="002429B1"/>
    <w:rsid w:val="00242BBF"/>
    <w:rsid w:val="00242BFA"/>
    <w:rsid w:val="00242F48"/>
    <w:rsid w:val="002430D6"/>
    <w:rsid w:val="00243482"/>
    <w:rsid w:val="002435E5"/>
    <w:rsid w:val="00243E6F"/>
    <w:rsid w:val="00243EAB"/>
    <w:rsid w:val="00244074"/>
    <w:rsid w:val="002441F9"/>
    <w:rsid w:val="00244540"/>
    <w:rsid w:val="0024473A"/>
    <w:rsid w:val="00244A3B"/>
    <w:rsid w:val="00244CE4"/>
    <w:rsid w:val="00244DB4"/>
    <w:rsid w:val="00244DB6"/>
    <w:rsid w:val="00245002"/>
    <w:rsid w:val="00245239"/>
    <w:rsid w:val="0024548A"/>
    <w:rsid w:val="0024593F"/>
    <w:rsid w:val="002459D6"/>
    <w:rsid w:val="00245ABB"/>
    <w:rsid w:val="00245B33"/>
    <w:rsid w:val="00246502"/>
    <w:rsid w:val="00246A73"/>
    <w:rsid w:val="00246BF8"/>
    <w:rsid w:val="002472C9"/>
    <w:rsid w:val="002473F9"/>
    <w:rsid w:val="00247738"/>
    <w:rsid w:val="00247860"/>
    <w:rsid w:val="00247964"/>
    <w:rsid w:val="00247C2E"/>
    <w:rsid w:val="00247DB1"/>
    <w:rsid w:val="00247DC4"/>
    <w:rsid w:val="00247FED"/>
    <w:rsid w:val="0025002D"/>
    <w:rsid w:val="0025022F"/>
    <w:rsid w:val="002507C1"/>
    <w:rsid w:val="00251638"/>
    <w:rsid w:val="00251881"/>
    <w:rsid w:val="00251942"/>
    <w:rsid w:val="002519AE"/>
    <w:rsid w:val="00251A41"/>
    <w:rsid w:val="00251CC3"/>
    <w:rsid w:val="00252496"/>
    <w:rsid w:val="0025284C"/>
    <w:rsid w:val="00252855"/>
    <w:rsid w:val="00252A78"/>
    <w:rsid w:val="00252B7A"/>
    <w:rsid w:val="00252EF6"/>
    <w:rsid w:val="002533B7"/>
    <w:rsid w:val="00253465"/>
    <w:rsid w:val="002536B8"/>
    <w:rsid w:val="00253AF8"/>
    <w:rsid w:val="00253C24"/>
    <w:rsid w:val="00253C29"/>
    <w:rsid w:val="00253E1B"/>
    <w:rsid w:val="00253E47"/>
    <w:rsid w:val="002540DD"/>
    <w:rsid w:val="00254C70"/>
    <w:rsid w:val="00254E0E"/>
    <w:rsid w:val="00254EE8"/>
    <w:rsid w:val="0025515A"/>
    <w:rsid w:val="00255438"/>
    <w:rsid w:val="00255442"/>
    <w:rsid w:val="002555C2"/>
    <w:rsid w:val="00255870"/>
    <w:rsid w:val="00255B7C"/>
    <w:rsid w:val="00255B8D"/>
    <w:rsid w:val="00255E28"/>
    <w:rsid w:val="00255EF6"/>
    <w:rsid w:val="00255FF5"/>
    <w:rsid w:val="00256533"/>
    <w:rsid w:val="0025661A"/>
    <w:rsid w:val="00256FC1"/>
    <w:rsid w:val="00257227"/>
    <w:rsid w:val="0025741D"/>
    <w:rsid w:val="00257658"/>
    <w:rsid w:val="002577C6"/>
    <w:rsid w:val="00257936"/>
    <w:rsid w:val="0025799F"/>
    <w:rsid w:val="00257BBB"/>
    <w:rsid w:val="00257BE0"/>
    <w:rsid w:val="0026014A"/>
    <w:rsid w:val="002601E5"/>
    <w:rsid w:val="00260616"/>
    <w:rsid w:val="00260650"/>
    <w:rsid w:val="002609C7"/>
    <w:rsid w:val="00260AC4"/>
    <w:rsid w:val="00260C7F"/>
    <w:rsid w:val="00260CD4"/>
    <w:rsid w:val="002613A1"/>
    <w:rsid w:val="00261484"/>
    <w:rsid w:val="0026150C"/>
    <w:rsid w:val="002615A9"/>
    <w:rsid w:val="002618A3"/>
    <w:rsid w:val="002618D8"/>
    <w:rsid w:val="0026191A"/>
    <w:rsid w:val="00261945"/>
    <w:rsid w:val="00261A64"/>
    <w:rsid w:val="00261AA6"/>
    <w:rsid w:val="00261E53"/>
    <w:rsid w:val="00261EA4"/>
    <w:rsid w:val="002621B5"/>
    <w:rsid w:val="002625C1"/>
    <w:rsid w:val="0026281F"/>
    <w:rsid w:val="00262C02"/>
    <w:rsid w:val="00262C10"/>
    <w:rsid w:val="00262D98"/>
    <w:rsid w:val="00262ECE"/>
    <w:rsid w:val="00262FE1"/>
    <w:rsid w:val="002631FA"/>
    <w:rsid w:val="00263212"/>
    <w:rsid w:val="00263311"/>
    <w:rsid w:val="002636AA"/>
    <w:rsid w:val="002636AE"/>
    <w:rsid w:val="002639C1"/>
    <w:rsid w:val="00263BD2"/>
    <w:rsid w:val="00263C42"/>
    <w:rsid w:val="00263CBF"/>
    <w:rsid w:val="00263F18"/>
    <w:rsid w:val="0026432C"/>
    <w:rsid w:val="00264514"/>
    <w:rsid w:val="00264A7E"/>
    <w:rsid w:val="00264D3E"/>
    <w:rsid w:val="002650EA"/>
    <w:rsid w:val="002650ED"/>
    <w:rsid w:val="00265813"/>
    <w:rsid w:val="002658C5"/>
    <w:rsid w:val="00265970"/>
    <w:rsid w:val="00265AC4"/>
    <w:rsid w:val="002660E2"/>
    <w:rsid w:val="002664D4"/>
    <w:rsid w:val="002666D5"/>
    <w:rsid w:val="002667EA"/>
    <w:rsid w:val="002668DA"/>
    <w:rsid w:val="00266D27"/>
    <w:rsid w:val="00267372"/>
    <w:rsid w:val="00267632"/>
    <w:rsid w:val="00267698"/>
    <w:rsid w:val="0026793D"/>
    <w:rsid w:val="00267A4B"/>
    <w:rsid w:val="00267A92"/>
    <w:rsid w:val="00267DE6"/>
    <w:rsid w:val="0027018B"/>
    <w:rsid w:val="00270478"/>
    <w:rsid w:val="0027085F"/>
    <w:rsid w:val="00270A22"/>
    <w:rsid w:val="00270A56"/>
    <w:rsid w:val="00270CE3"/>
    <w:rsid w:val="00270D96"/>
    <w:rsid w:val="0027133B"/>
    <w:rsid w:val="002716F0"/>
    <w:rsid w:val="00271803"/>
    <w:rsid w:val="002718D1"/>
    <w:rsid w:val="002719C9"/>
    <w:rsid w:val="00271DB0"/>
    <w:rsid w:val="00272087"/>
    <w:rsid w:val="002723AF"/>
    <w:rsid w:val="0027250E"/>
    <w:rsid w:val="0027278E"/>
    <w:rsid w:val="002728EA"/>
    <w:rsid w:val="002728F0"/>
    <w:rsid w:val="00272924"/>
    <w:rsid w:val="002729C6"/>
    <w:rsid w:val="00273275"/>
    <w:rsid w:val="0027327E"/>
    <w:rsid w:val="00273A18"/>
    <w:rsid w:val="00273BF6"/>
    <w:rsid w:val="00273E47"/>
    <w:rsid w:val="00274430"/>
    <w:rsid w:val="002746F7"/>
    <w:rsid w:val="00274867"/>
    <w:rsid w:val="00274AC4"/>
    <w:rsid w:val="00274B3F"/>
    <w:rsid w:val="00274B99"/>
    <w:rsid w:val="00275241"/>
    <w:rsid w:val="0027538A"/>
    <w:rsid w:val="00275C67"/>
    <w:rsid w:val="00275D4E"/>
    <w:rsid w:val="00275DD7"/>
    <w:rsid w:val="00275F4F"/>
    <w:rsid w:val="0027644B"/>
    <w:rsid w:val="0027651F"/>
    <w:rsid w:val="00276856"/>
    <w:rsid w:val="00276980"/>
    <w:rsid w:val="00276A3C"/>
    <w:rsid w:val="00276A65"/>
    <w:rsid w:val="00276D58"/>
    <w:rsid w:val="00277565"/>
    <w:rsid w:val="00277777"/>
    <w:rsid w:val="002778D9"/>
    <w:rsid w:val="00277928"/>
    <w:rsid w:val="00277A58"/>
    <w:rsid w:val="00277BA3"/>
    <w:rsid w:val="00280195"/>
    <w:rsid w:val="00280542"/>
    <w:rsid w:val="002806AB"/>
    <w:rsid w:val="00280C13"/>
    <w:rsid w:val="00280DD5"/>
    <w:rsid w:val="00281088"/>
    <w:rsid w:val="00281094"/>
    <w:rsid w:val="00281221"/>
    <w:rsid w:val="002812F1"/>
    <w:rsid w:val="002818CA"/>
    <w:rsid w:val="00281B4B"/>
    <w:rsid w:val="00281B5F"/>
    <w:rsid w:val="00281C77"/>
    <w:rsid w:val="00281CB1"/>
    <w:rsid w:val="00281CE0"/>
    <w:rsid w:val="00281D22"/>
    <w:rsid w:val="00281D9C"/>
    <w:rsid w:val="00282043"/>
    <w:rsid w:val="00282217"/>
    <w:rsid w:val="002822FF"/>
    <w:rsid w:val="00282344"/>
    <w:rsid w:val="002823D6"/>
    <w:rsid w:val="002824B2"/>
    <w:rsid w:val="002824B5"/>
    <w:rsid w:val="002825B9"/>
    <w:rsid w:val="0028264A"/>
    <w:rsid w:val="00282E56"/>
    <w:rsid w:val="00283075"/>
    <w:rsid w:val="00283239"/>
    <w:rsid w:val="00283A7D"/>
    <w:rsid w:val="00283B62"/>
    <w:rsid w:val="00283CA0"/>
    <w:rsid w:val="00283DD5"/>
    <w:rsid w:val="00283F7B"/>
    <w:rsid w:val="00283FD1"/>
    <w:rsid w:val="002840DC"/>
    <w:rsid w:val="002847C2"/>
    <w:rsid w:val="00284DB2"/>
    <w:rsid w:val="00285147"/>
    <w:rsid w:val="00285990"/>
    <w:rsid w:val="00285F8D"/>
    <w:rsid w:val="00286077"/>
    <w:rsid w:val="002860A4"/>
    <w:rsid w:val="002863D8"/>
    <w:rsid w:val="00286487"/>
    <w:rsid w:val="00286728"/>
    <w:rsid w:val="002869BB"/>
    <w:rsid w:val="00286ACA"/>
    <w:rsid w:val="00286C65"/>
    <w:rsid w:val="00286CCD"/>
    <w:rsid w:val="00286FA2"/>
    <w:rsid w:val="0028707C"/>
    <w:rsid w:val="0028752C"/>
    <w:rsid w:val="00287578"/>
    <w:rsid w:val="002875E9"/>
    <w:rsid w:val="00287786"/>
    <w:rsid w:val="002877F0"/>
    <w:rsid w:val="0028782F"/>
    <w:rsid w:val="0028794A"/>
    <w:rsid w:val="00287A94"/>
    <w:rsid w:val="00287AFF"/>
    <w:rsid w:val="00287E23"/>
    <w:rsid w:val="00287F32"/>
    <w:rsid w:val="00287F6A"/>
    <w:rsid w:val="0029003D"/>
    <w:rsid w:val="00290341"/>
    <w:rsid w:val="00290C6D"/>
    <w:rsid w:val="0029107E"/>
    <w:rsid w:val="00291152"/>
    <w:rsid w:val="0029119D"/>
    <w:rsid w:val="002911EA"/>
    <w:rsid w:val="002915DE"/>
    <w:rsid w:val="002915F3"/>
    <w:rsid w:val="002916B3"/>
    <w:rsid w:val="0029185C"/>
    <w:rsid w:val="002918F8"/>
    <w:rsid w:val="002919A5"/>
    <w:rsid w:val="00291E36"/>
    <w:rsid w:val="00291EC7"/>
    <w:rsid w:val="00292083"/>
    <w:rsid w:val="0029238D"/>
    <w:rsid w:val="0029265C"/>
    <w:rsid w:val="0029289F"/>
    <w:rsid w:val="002928C9"/>
    <w:rsid w:val="00292A13"/>
    <w:rsid w:val="00292B78"/>
    <w:rsid w:val="00292EFD"/>
    <w:rsid w:val="00292F8A"/>
    <w:rsid w:val="0029326A"/>
    <w:rsid w:val="00293286"/>
    <w:rsid w:val="002934CF"/>
    <w:rsid w:val="00293898"/>
    <w:rsid w:val="00293C23"/>
    <w:rsid w:val="00294148"/>
    <w:rsid w:val="002941E7"/>
    <w:rsid w:val="002945AD"/>
    <w:rsid w:val="00294790"/>
    <w:rsid w:val="002948F3"/>
    <w:rsid w:val="00294996"/>
    <w:rsid w:val="00294A24"/>
    <w:rsid w:val="00294E27"/>
    <w:rsid w:val="00295547"/>
    <w:rsid w:val="002955DF"/>
    <w:rsid w:val="0029560D"/>
    <w:rsid w:val="00295783"/>
    <w:rsid w:val="00295894"/>
    <w:rsid w:val="002962BC"/>
    <w:rsid w:val="002962C2"/>
    <w:rsid w:val="00296690"/>
    <w:rsid w:val="00296803"/>
    <w:rsid w:val="00296996"/>
    <w:rsid w:val="002969AD"/>
    <w:rsid w:val="00296B1D"/>
    <w:rsid w:val="00297151"/>
    <w:rsid w:val="00297342"/>
    <w:rsid w:val="0029769A"/>
    <w:rsid w:val="00297754"/>
    <w:rsid w:val="00297D3F"/>
    <w:rsid w:val="002A0121"/>
    <w:rsid w:val="002A0168"/>
    <w:rsid w:val="002A03A2"/>
    <w:rsid w:val="002A0468"/>
    <w:rsid w:val="002A0565"/>
    <w:rsid w:val="002A088F"/>
    <w:rsid w:val="002A0BEE"/>
    <w:rsid w:val="002A0C64"/>
    <w:rsid w:val="002A0E90"/>
    <w:rsid w:val="002A1030"/>
    <w:rsid w:val="002A1213"/>
    <w:rsid w:val="002A12EB"/>
    <w:rsid w:val="002A14C6"/>
    <w:rsid w:val="002A1949"/>
    <w:rsid w:val="002A19F5"/>
    <w:rsid w:val="002A1B53"/>
    <w:rsid w:val="002A1D97"/>
    <w:rsid w:val="002A1FD5"/>
    <w:rsid w:val="002A2090"/>
    <w:rsid w:val="002A212F"/>
    <w:rsid w:val="002A2274"/>
    <w:rsid w:val="002A238E"/>
    <w:rsid w:val="002A23F2"/>
    <w:rsid w:val="002A24CB"/>
    <w:rsid w:val="002A25E8"/>
    <w:rsid w:val="002A2656"/>
    <w:rsid w:val="002A2976"/>
    <w:rsid w:val="002A2A25"/>
    <w:rsid w:val="002A2AC5"/>
    <w:rsid w:val="002A2C62"/>
    <w:rsid w:val="002A2D2D"/>
    <w:rsid w:val="002A2EC1"/>
    <w:rsid w:val="002A2F42"/>
    <w:rsid w:val="002A3087"/>
    <w:rsid w:val="002A30C5"/>
    <w:rsid w:val="002A3344"/>
    <w:rsid w:val="002A3580"/>
    <w:rsid w:val="002A3708"/>
    <w:rsid w:val="002A37DB"/>
    <w:rsid w:val="002A3CAC"/>
    <w:rsid w:val="002A3FF2"/>
    <w:rsid w:val="002A4430"/>
    <w:rsid w:val="002A476D"/>
    <w:rsid w:val="002A4D85"/>
    <w:rsid w:val="002A4E81"/>
    <w:rsid w:val="002A4EBE"/>
    <w:rsid w:val="002A50A5"/>
    <w:rsid w:val="002A517F"/>
    <w:rsid w:val="002A52CD"/>
    <w:rsid w:val="002A58A3"/>
    <w:rsid w:val="002A58CB"/>
    <w:rsid w:val="002A5A8D"/>
    <w:rsid w:val="002A5A8E"/>
    <w:rsid w:val="002A5D5B"/>
    <w:rsid w:val="002A5F84"/>
    <w:rsid w:val="002A64F6"/>
    <w:rsid w:val="002A6643"/>
    <w:rsid w:val="002A6900"/>
    <w:rsid w:val="002A6A20"/>
    <w:rsid w:val="002A6B80"/>
    <w:rsid w:val="002A6BF5"/>
    <w:rsid w:val="002A7158"/>
    <w:rsid w:val="002A71FA"/>
    <w:rsid w:val="002A728D"/>
    <w:rsid w:val="002A7477"/>
    <w:rsid w:val="002A7669"/>
    <w:rsid w:val="002A76B6"/>
    <w:rsid w:val="002A7B6C"/>
    <w:rsid w:val="002A7F16"/>
    <w:rsid w:val="002B0254"/>
    <w:rsid w:val="002B0618"/>
    <w:rsid w:val="002B0906"/>
    <w:rsid w:val="002B0B0A"/>
    <w:rsid w:val="002B108A"/>
    <w:rsid w:val="002B11C0"/>
    <w:rsid w:val="002B131B"/>
    <w:rsid w:val="002B1391"/>
    <w:rsid w:val="002B1463"/>
    <w:rsid w:val="002B1985"/>
    <w:rsid w:val="002B1B66"/>
    <w:rsid w:val="002B1BDF"/>
    <w:rsid w:val="002B1EA5"/>
    <w:rsid w:val="002B1FD9"/>
    <w:rsid w:val="002B2147"/>
    <w:rsid w:val="002B2224"/>
    <w:rsid w:val="002B2336"/>
    <w:rsid w:val="002B2581"/>
    <w:rsid w:val="002B2680"/>
    <w:rsid w:val="002B26F1"/>
    <w:rsid w:val="002B27A8"/>
    <w:rsid w:val="002B27FF"/>
    <w:rsid w:val="002B29BE"/>
    <w:rsid w:val="002B2AF0"/>
    <w:rsid w:val="002B2C0C"/>
    <w:rsid w:val="002B2C5B"/>
    <w:rsid w:val="002B2D8D"/>
    <w:rsid w:val="002B3343"/>
    <w:rsid w:val="002B35B6"/>
    <w:rsid w:val="002B382B"/>
    <w:rsid w:val="002B390A"/>
    <w:rsid w:val="002B3A39"/>
    <w:rsid w:val="002B3F87"/>
    <w:rsid w:val="002B42ED"/>
    <w:rsid w:val="002B4426"/>
    <w:rsid w:val="002B44FD"/>
    <w:rsid w:val="002B45A1"/>
    <w:rsid w:val="002B4C79"/>
    <w:rsid w:val="002B4D80"/>
    <w:rsid w:val="002B4DD6"/>
    <w:rsid w:val="002B4F84"/>
    <w:rsid w:val="002B54AD"/>
    <w:rsid w:val="002B55D6"/>
    <w:rsid w:val="002B56C9"/>
    <w:rsid w:val="002B58C7"/>
    <w:rsid w:val="002B5A07"/>
    <w:rsid w:val="002B5AED"/>
    <w:rsid w:val="002B5DF1"/>
    <w:rsid w:val="002B5F81"/>
    <w:rsid w:val="002B62BE"/>
    <w:rsid w:val="002B62FE"/>
    <w:rsid w:val="002B63E7"/>
    <w:rsid w:val="002B6400"/>
    <w:rsid w:val="002B6581"/>
    <w:rsid w:val="002B6AA2"/>
    <w:rsid w:val="002B6C06"/>
    <w:rsid w:val="002B6F56"/>
    <w:rsid w:val="002B7103"/>
    <w:rsid w:val="002B7A04"/>
    <w:rsid w:val="002B7A8D"/>
    <w:rsid w:val="002B7BC0"/>
    <w:rsid w:val="002B7E08"/>
    <w:rsid w:val="002B7F2E"/>
    <w:rsid w:val="002C0002"/>
    <w:rsid w:val="002C0005"/>
    <w:rsid w:val="002C03FC"/>
    <w:rsid w:val="002C0416"/>
    <w:rsid w:val="002C06A6"/>
    <w:rsid w:val="002C081D"/>
    <w:rsid w:val="002C08F6"/>
    <w:rsid w:val="002C0A91"/>
    <w:rsid w:val="002C0DA8"/>
    <w:rsid w:val="002C0F7F"/>
    <w:rsid w:val="002C10DC"/>
    <w:rsid w:val="002C119B"/>
    <w:rsid w:val="002C1616"/>
    <w:rsid w:val="002C161D"/>
    <w:rsid w:val="002C177B"/>
    <w:rsid w:val="002C188C"/>
    <w:rsid w:val="002C1A3C"/>
    <w:rsid w:val="002C21A0"/>
    <w:rsid w:val="002C2480"/>
    <w:rsid w:val="002C2732"/>
    <w:rsid w:val="002C2846"/>
    <w:rsid w:val="002C2C18"/>
    <w:rsid w:val="002C3023"/>
    <w:rsid w:val="002C364D"/>
    <w:rsid w:val="002C37AB"/>
    <w:rsid w:val="002C3852"/>
    <w:rsid w:val="002C3857"/>
    <w:rsid w:val="002C3ABC"/>
    <w:rsid w:val="002C3B37"/>
    <w:rsid w:val="002C3D4C"/>
    <w:rsid w:val="002C3D67"/>
    <w:rsid w:val="002C4018"/>
    <w:rsid w:val="002C444F"/>
    <w:rsid w:val="002C452C"/>
    <w:rsid w:val="002C4554"/>
    <w:rsid w:val="002C460A"/>
    <w:rsid w:val="002C472D"/>
    <w:rsid w:val="002C4F73"/>
    <w:rsid w:val="002C50EF"/>
    <w:rsid w:val="002C527C"/>
    <w:rsid w:val="002C538D"/>
    <w:rsid w:val="002C547A"/>
    <w:rsid w:val="002C5588"/>
    <w:rsid w:val="002C569F"/>
    <w:rsid w:val="002C5A2C"/>
    <w:rsid w:val="002C5F95"/>
    <w:rsid w:val="002C623A"/>
    <w:rsid w:val="002C63DE"/>
    <w:rsid w:val="002C65E1"/>
    <w:rsid w:val="002C6662"/>
    <w:rsid w:val="002C6711"/>
    <w:rsid w:val="002C6784"/>
    <w:rsid w:val="002C689D"/>
    <w:rsid w:val="002C6C38"/>
    <w:rsid w:val="002C6C68"/>
    <w:rsid w:val="002C6D59"/>
    <w:rsid w:val="002C6E8C"/>
    <w:rsid w:val="002C70C8"/>
    <w:rsid w:val="002C73A5"/>
    <w:rsid w:val="002C75F6"/>
    <w:rsid w:val="002C7736"/>
    <w:rsid w:val="002C782E"/>
    <w:rsid w:val="002C7AC6"/>
    <w:rsid w:val="002C7C6A"/>
    <w:rsid w:val="002D03FA"/>
    <w:rsid w:val="002D0712"/>
    <w:rsid w:val="002D0769"/>
    <w:rsid w:val="002D0924"/>
    <w:rsid w:val="002D0BBF"/>
    <w:rsid w:val="002D0BDD"/>
    <w:rsid w:val="002D0EF2"/>
    <w:rsid w:val="002D146A"/>
    <w:rsid w:val="002D1C03"/>
    <w:rsid w:val="002D22EF"/>
    <w:rsid w:val="002D24D0"/>
    <w:rsid w:val="002D2544"/>
    <w:rsid w:val="002D2D8A"/>
    <w:rsid w:val="002D324C"/>
    <w:rsid w:val="002D32F2"/>
    <w:rsid w:val="002D35BD"/>
    <w:rsid w:val="002D3684"/>
    <w:rsid w:val="002D3A78"/>
    <w:rsid w:val="002D3A8E"/>
    <w:rsid w:val="002D3B3B"/>
    <w:rsid w:val="002D3BAE"/>
    <w:rsid w:val="002D3D55"/>
    <w:rsid w:val="002D3EA9"/>
    <w:rsid w:val="002D3F75"/>
    <w:rsid w:val="002D4148"/>
    <w:rsid w:val="002D4276"/>
    <w:rsid w:val="002D4383"/>
    <w:rsid w:val="002D46F7"/>
    <w:rsid w:val="002D4730"/>
    <w:rsid w:val="002D4A81"/>
    <w:rsid w:val="002D4A94"/>
    <w:rsid w:val="002D4B09"/>
    <w:rsid w:val="002D4B30"/>
    <w:rsid w:val="002D4D11"/>
    <w:rsid w:val="002D4D98"/>
    <w:rsid w:val="002D5722"/>
    <w:rsid w:val="002D582C"/>
    <w:rsid w:val="002D58C7"/>
    <w:rsid w:val="002D5B2A"/>
    <w:rsid w:val="002D5D54"/>
    <w:rsid w:val="002D5D62"/>
    <w:rsid w:val="002D5D7B"/>
    <w:rsid w:val="002D5D8F"/>
    <w:rsid w:val="002D5DB7"/>
    <w:rsid w:val="002D5DE4"/>
    <w:rsid w:val="002D62D0"/>
    <w:rsid w:val="002D66EF"/>
    <w:rsid w:val="002D6751"/>
    <w:rsid w:val="002D67E2"/>
    <w:rsid w:val="002D708B"/>
    <w:rsid w:val="002D7224"/>
    <w:rsid w:val="002D72B4"/>
    <w:rsid w:val="002D771D"/>
    <w:rsid w:val="002D7783"/>
    <w:rsid w:val="002D7940"/>
    <w:rsid w:val="002D7C98"/>
    <w:rsid w:val="002E0117"/>
    <w:rsid w:val="002E05FB"/>
    <w:rsid w:val="002E06E5"/>
    <w:rsid w:val="002E0711"/>
    <w:rsid w:val="002E077C"/>
    <w:rsid w:val="002E0CD8"/>
    <w:rsid w:val="002E0D36"/>
    <w:rsid w:val="002E1055"/>
    <w:rsid w:val="002E10AC"/>
    <w:rsid w:val="002E1483"/>
    <w:rsid w:val="002E14CC"/>
    <w:rsid w:val="002E1819"/>
    <w:rsid w:val="002E19B9"/>
    <w:rsid w:val="002E1CEF"/>
    <w:rsid w:val="002E22C8"/>
    <w:rsid w:val="002E2448"/>
    <w:rsid w:val="002E267B"/>
    <w:rsid w:val="002E2709"/>
    <w:rsid w:val="002E305A"/>
    <w:rsid w:val="002E3127"/>
    <w:rsid w:val="002E370A"/>
    <w:rsid w:val="002E39AC"/>
    <w:rsid w:val="002E3C98"/>
    <w:rsid w:val="002E3E0F"/>
    <w:rsid w:val="002E3F1E"/>
    <w:rsid w:val="002E43C5"/>
    <w:rsid w:val="002E482A"/>
    <w:rsid w:val="002E491F"/>
    <w:rsid w:val="002E4DC5"/>
    <w:rsid w:val="002E4FA3"/>
    <w:rsid w:val="002E5007"/>
    <w:rsid w:val="002E5737"/>
    <w:rsid w:val="002E5769"/>
    <w:rsid w:val="002E59DA"/>
    <w:rsid w:val="002E5B22"/>
    <w:rsid w:val="002E5FED"/>
    <w:rsid w:val="002E63A5"/>
    <w:rsid w:val="002E6571"/>
    <w:rsid w:val="002E6766"/>
    <w:rsid w:val="002E6961"/>
    <w:rsid w:val="002E6C85"/>
    <w:rsid w:val="002E6EDA"/>
    <w:rsid w:val="002E6F53"/>
    <w:rsid w:val="002E722C"/>
    <w:rsid w:val="002E7358"/>
    <w:rsid w:val="002E74D5"/>
    <w:rsid w:val="002E79B2"/>
    <w:rsid w:val="002F0280"/>
    <w:rsid w:val="002F02C4"/>
    <w:rsid w:val="002F044B"/>
    <w:rsid w:val="002F070D"/>
    <w:rsid w:val="002F0B00"/>
    <w:rsid w:val="002F0D50"/>
    <w:rsid w:val="002F0DAE"/>
    <w:rsid w:val="002F100B"/>
    <w:rsid w:val="002F1624"/>
    <w:rsid w:val="002F17B3"/>
    <w:rsid w:val="002F19CC"/>
    <w:rsid w:val="002F2121"/>
    <w:rsid w:val="002F22FA"/>
    <w:rsid w:val="002F26E6"/>
    <w:rsid w:val="002F270A"/>
    <w:rsid w:val="002F281E"/>
    <w:rsid w:val="002F29D0"/>
    <w:rsid w:val="002F2A74"/>
    <w:rsid w:val="002F2B68"/>
    <w:rsid w:val="002F2CE8"/>
    <w:rsid w:val="002F301B"/>
    <w:rsid w:val="002F32CC"/>
    <w:rsid w:val="002F344B"/>
    <w:rsid w:val="002F353D"/>
    <w:rsid w:val="002F3C7B"/>
    <w:rsid w:val="002F3FDD"/>
    <w:rsid w:val="002F4005"/>
    <w:rsid w:val="002F40B4"/>
    <w:rsid w:val="002F42F3"/>
    <w:rsid w:val="002F45E6"/>
    <w:rsid w:val="002F47BD"/>
    <w:rsid w:val="002F4808"/>
    <w:rsid w:val="002F4BC3"/>
    <w:rsid w:val="002F53B9"/>
    <w:rsid w:val="002F55A1"/>
    <w:rsid w:val="002F6151"/>
    <w:rsid w:val="002F632E"/>
    <w:rsid w:val="002F63A2"/>
    <w:rsid w:val="002F650E"/>
    <w:rsid w:val="002F6BEA"/>
    <w:rsid w:val="002F6EAF"/>
    <w:rsid w:val="002F7199"/>
    <w:rsid w:val="002F72D5"/>
    <w:rsid w:val="002F7366"/>
    <w:rsid w:val="002F7722"/>
    <w:rsid w:val="002F77E7"/>
    <w:rsid w:val="002F7EC8"/>
    <w:rsid w:val="0030006C"/>
    <w:rsid w:val="003001BB"/>
    <w:rsid w:val="003001EE"/>
    <w:rsid w:val="0030020C"/>
    <w:rsid w:val="0030038B"/>
    <w:rsid w:val="003003C0"/>
    <w:rsid w:val="0030067D"/>
    <w:rsid w:val="00300731"/>
    <w:rsid w:val="0030092A"/>
    <w:rsid w:val="0030093A"/>
    <w:rsid w:val="003009A8"/>
    <w:rsid w:val="0030154C"/>
    <w:rsid w:val="003016E5"/>
    <w:rsid w:val="00301727"/>
    <w:rsid w:val="00301760"/>
    <w:rsid w:val="003017D5"/>
    <w:rsid w:val="00301AB9"/>
    <w:rsid w:val="00301CC7"/>
    <w:rsid w:val="003020CE"/>
    <w:rsid w:val="00302187"/>
    <w:rsid w:val="003022EC"/>
    <w:rsid w:val="0030258C"/>
    <w:rsid w:val="0030287D"/>
    <w:rsid w:val="00302C40"/>
    <w:rsid w:val="00302D08"/>
    <w:rsid w:val="00303162"/>
    <w:rsid w:val="003035D2"/>
    <w:rsid w:val="0030368B"/>
    <w:rsid w:val="0030390F"/>
    <w:rsid w:val="00303AA0"/>
    <w:rsid w:val="00303CD1"/>
    <w:rsid w:val="00304101"/>
    <w:rsid w:val="00304161"/>
    <w:rsid w:val="00304766"/>
    <w:rsid w:val="0030478A"/>
    <w:rsid w:val="00304EF2"/>
    <w:rsid w:val="003050D7"/>
    <w:rsid w:val="003050E3"/>
    <w:rsid w:val="003052D0"/>
    <w:rsid w:val="0030565B"/>
    <w:rsid w:val="00305692"/>
    <w:rsid w:val="003058B8"/>
    <w:rsid w:val="00305A76"/>
    <w:rsid w:val="00305BE5"/>
    <w:rsid w:val="00305E91"/>
    <w:rsid w:val="00306098"/>
    <w:rsid w:val="0030673D"/>
    <w:rsid w:val="003067BE"/>
    <w:rsid w:val="003067DB"/>
    <w:rsid w:val="00306998"/>
    <w:rsid w:val="00306A66"/>
    <w:rsid w:val="00306BF0"/>
    <w:rsid w:val="00306EA2"/>
    <w:rsid w:val="003072D2"/>
    <w:rsid w:val="00307362"/>
    <w:rsid w:val="0030751D"/>
    <w:rsid w:val="0030769F"/>
    <w:rsid w:val="00307900"/>
    <w:rsid w:val="00307C3C"/>
    <w:rsid w:val="00307CCF"/>
    <w:rsid w:val="00307F48"/>
    <w:rsid w:val="00310042"/>
    <w:rsid w:val="00310182"/>
    <w:rsid w:val="003103E9"/>
    <w:rsid w:val="003105E3"/>
    <w:rsid w:val="00310919"/>
    <w:rsid w:val="00310AC8"/>
    <w:rsid w:val="003113D2"/>
    <w:rsid w:val="00311563"/>
    <w:rsid w:val="0031167B"/>
    <w:rsid w:val="003116E7"/>
    <w:rsid w:val="00311792"/>
    <w:rsid w:val="00311854"/>
    <w:rsid w:val="00311952"/>
    <w:rsid w:val="00311B43"/>
    <w:rsid w:val="00311C5C"/>
    <w:rsid w:val="00312266"/>
    <w:rsid w:val="00312281"/>
    <w:rsid w:val="00312542"/>
    <w:rsid w:val="003125AC"/>
    <w:rsid w:val="00312902"/>
    <w:rsid w:val="003131A7"/>
    <w:rsid w:val="0031321F"/>
    <w:rsid w:val="00313459"/>
    <w:rsid w:val="00313472"/>
    <w:rsid w:val="00313476"/>
    <w:rsid w:val="003136FC"/>
    <w:rsid w:val="003138EF"/>
    <w:rsid w:val="00313A2E"/>
    <w:rsid w:val="00313DC2"/>
    <w:rsid w:val="00313F07"/>
    <w:rsid w:val="0031457F"/>
    <w:rsid w:val="003145B2"/>
    <w:rsid w:val="00314BC7"/>
    <w:rsid w:val="00314CAF"/>
    <w:rsid w:val="00314DDB"/>
    <w:rsid w:val="003150ED"/>
    <w:rsid w:val="00315303"/>
    <w:rsid w:val="0031565A"/>
    <w:rsid w:val="00315784"/>
    <w:rsid w:val="00315A0C"/>
    <w:rsid w:val="00315A3D"/>
    <w:rsid w:val="00315DF0"/>
    <w:rsid w:val="00315E91"/>
    <w:rsid w:val="00315F7B"/>
    <w:rsid w:val="00315FAC"/>
    <w:rsid w:val="003161C7"/>
    <w:rsid w:val="00316211"/>
    <w:rsid w:val="003162BE"/>
    <w:rsid w:val="00316598"/>
    <w:rsid w:val="003167BA"/>
    <w:rsid w:val="003168DF"/>
    <w:rsid w:val="00317047"/>
    <w:rsid w:val="003172AE"/>
    <w:rsid w:val="003172E2"/>
    <w:rsid w:val="00317480"/>
    <w:rsid w:val="00317B3C"/>
    <w:rsid w:val="00317C44"/>
    <w:rsid w:val="00317DB5"/>
    <w:rsid w:val="00317ED1"/>
    <w:rsid w:val="00320172"/>
    <w:rsid w:val="003206BA"/>
    <w:rsid w:val="00320756"/>
    <w:rsid w:val="00320F71"/>
    <w:rsid w:val="0032123A"/>
    <w:rsid w:val="00321355"/>
    <w:rsid w:val="00321671"/>
    <w:rsid w:val="0032187C"/>
    <w:rsid w:val="00321BE7"/>
    <w:rsid w:val="00321BF6"/>
    <w:rsid w:val="0032257E"/>
    <w:rsid w:val="003226D8"/>
    <w:rsid w:val="0032275A"/>
    <w:rsid w:val="00322BA4"/>
    <w:rsid w:val="00322CB9"/>
    <w:rsid w:val="00322D41"/>
    <w:rsid w:val="00323250"/>
    <w:rsid w:val="003235C2"/>
    <w:rsid w:val="00323793"/>
    <w:rsid w:val="00323C19"/>
    <w:rsid w:val="00323D86"/>
    <w:rsid w:val="00324065"/>
    <w:rsid w:val="0032418D"/>
    <w:rsid w:val="00324223"/>
    <w:rsid w:val="0032439A"/>
    <w:rsid w:val="00324510"/>
    <w:rsid w:val="0032494B"/>
    <w:rsid w:val="0032502A"/>
    <w:rsid w:val="003250B5"/>
    <w:rsid w:val="003256FA"/>
    <w:rsid w:val="0032571F"/>
    <w:rsid w:val="0032578A"/>
    <w:rsid w:val="00325A12"/>
    <w:rsid w:val="00325E65"/>
    <w:rsid w:val="003265AC"/>
    <w:rsid w:val="00326792"/>
    <w:rsid w:val="003268CC"/>
    <w:rsid w:val="00326B92"/>
    <w:rsid w:val="00326D83"/>
    <w:rsid w:val="00326EFA"/>
    <w:rsid w:val="0032740F"/>
    <w:rsid w:val="0032749E"/>
    <w:rsid w:val="00327679"/>
    <w:rsid w:val="00327B43"/>
    <w:rsid w:val="00327CA1"/>
    <w:rsid w:val="00327FAD"/>
    <w:rsid w:val="00330762"/>
    <w:rsid w:val="00330819"/>
    <w:rsid w:val="00330821"/>
    <w:rsid w:val="00330858"/>
    <w:rsid w:val="003309F5"/>
    <w:rsid w:val="00330B08"/>
    <w:rsid w:val="00330B51"/>
    <w:rsid w:val="00330B62"/>
    <w:rsid w:val="00330C16"/>
    <w:rsid w:val="00330F88"/>
    <w:rsid w:val="0033104E"/>
    <w:rsid w:val="00331409"/>
    <w:rsid w:val="00331586"/>
    <w:rsid w:val="00331832"/>
    <w:rsid w:val="00331CB0"/>
    <w:rsid w:val="00331F1C"/>
    <w:rsid w:val="0033206D"/>
    <w:rsid w:val="003321E8"/>
    <w:rsid w:val="00332271"/>
    <w:rsid w:val="00332326"/>
    <w:rsid w:val="0033243B"/>
    <w:rsid w:val="003324D2"/>
    <w:rsid w:val="0033287C"/>
    <w:rsid w:val="00332EC4"/>
    <w:rsid w:val="003334D3"/>
    <w:rsid w:val="00333563"/>
    <w:rsid w:val="0033378D"/>
    <w:rsid w:val="00333A6A"/>
    <w:rsid w:val="00333B6E"/>
    <w:rsid w:val="00333E4E"/>
    <w:rsid w:val="00333EEB"/>
    <w:rsid w:val="00334283"/>
    <w:rsid w:val="00334718"/>
    <w:rsid w:val="003347D9"/>
    <w:rsid w:val="00334B07"/>
    <w:rsid w:val="00334BBD"/>
    <w:rsid w:val="00334C4A"/>
    <w:rsid w:val="00334C4D"/>
    <w:rsid w:val="003351D9"/>
    <w:rsid w:val="00335239"/>
    <w:rsid w:val="00335417"/>
    <w:rsid w:val="00335686"/>
    <w:rsid w:val="00335738"/>
    <w:rsid w:val="003359B7"/>
    <w:rsid w:val="00335AFC"/>
    <w:rsid w:val="00335C2D"/>
    <w:rsid w:val="00335FE3"/>
    <w:rsid w:val="0033608E"/>
    <w:rsid w:val="003360DE"/>
    <w:rsid w:val="003360F7"/>
    <w:rsid w:val="00336416"/>
    <w:rsid w:val="00336662"/>
    <w:rsid w:val="0033667C"/>
    <w:rsid w:val="00336839"/>
    <w:rsid w:val="00336885"/>
    <w:rsid w:val="00336CCB"/>
    <w:rsid w:val="00337469"/>
    <w:rsid w:val="00337E35"/>
    <w:rsid w:val="00337E9D"/>
    <w:rsid w:val="003402A4"/>
    <w:rsid w:val="003402D0"/>
    <w:rsid w:val="00340303"/>
    <w:rsid w:val="0034069C"/>
    <w:rsid w:val="00340EA0"/>
    <w:rsid w:val="00341846"/>
    <w:rsid w:val="00341894"/>
    <w:rsid w:val="00341B8C"/>
    <w:rsid w:val="00342305"/>
    <w:rsid w:val="003424FE"/>
    <w:rsid w:val="003425CD"/>
    <w:rsid w:val="00342737"/>
    <w:rsid w:val="003427E6"/>
    <w:rsid w:val="00342A4F"/>
    <w:rsid w:val="00342C0E"/>
    <w:rsid w:val="00342CC2"/>
    <w:rsid w:val="00343042"/>
    <w:rsid w:val="00343087"/>
    <w:rsid w:val="00343090"/>
    <w:rsid w:val="0034328B"/>
    <w:rsid w:val="00343994"/>
    <w:rsid w:val="00343E99"/>
    <w:rsid w:val="00344009"/>
    <w:rsid w:val="0034498B"/>
    <w:rsid w:val="00344CBB"/>
    <w:rsid w:val="00344F66"/>
    <w:rsid w:val="00344F71"/>
    <w:rsid w:val="003450A7"/>
    <w:rsid w:val="00345187"/>
    <w:rsid w:val="00345DAE"/>
    <w:rsid w:val="003460D4"/>
    <w:rsid w:val="003460D6"/>
    <w:rsid w:val="0034610F"/>
    <w:rsid w:val="003463CE"/>
    <w:rsid w:val="00346416"/>
    <w:rsid w:val="00346AC2"/>
    <w:rsid w:val="00346B38"/>
    <w:rsid w:val="00346EBF"/>
    <w:rsid w:val="00346ECE"/>
    <w:rsid w:val="00347692"/>
    <w:rsid w:val="00347923"/>
    <w:rsid w:val="003479F4"/>
    <w:rsid w:val="00347AB3"/>
    <w:rsid w:val="00347EE1"/>
    <w:rsid w:val="003501A6"/>
    <w:rsid w:val="003501DC"/>
    <w:rsid w:val="00350320"/>
    <w:rsid w:val="00350429"/>
    <w:rsid w:val="003504EA"/>
    <w:rsid w:val="00350561"/>
    <w:rsid w:val="00350BD5"/>
    <w:rsid w:val="00350C29"/>
    <w:rsid w:val="00350E57"/>
    <w:rsid w:val="00350F0A"/>
    <w:rsid w:val="00350F93"/>
    <w:rsid w:val="003517DA"/>
    <w:rsid w:val="00351B73"/>
    <w:rsid w:val="00351B80"/>
    <w:rsid w:val="00351D12"/>
    <w:rsid w:val="00351E16"/>
    <w:rsid w:val="003521D4"/>
    <w:rsid w:val="0035225C"/>
    <w:rsid w:val="00352297"/>
    <w:rsid w:val="0035253A"/>
    <w:rsid w:val="0035254B"/>
    <w:rsid w:val="00352712"/>
    <w:rsid w:val="003528F8"/>
    <w:rsid w:val="00352D45"/>
    <w:rsid w:val="00352D6E"/>
    <w:rsid w:val="00353025"/>
    <w:rsid w:val="00353050"/>
    <w:rsid w:val="00353063"/>
    <w:rsid w:val="00353164"/>
    <w:rsid w:val="0035344B"/>
    <w:rsid w:val="003534B2"/>
    <w:rsid w:val="00353514"/>
    <w:rsid w:val="0035354C"/>
    <w:rsid w:val="003535EE"/>
    <w:rsid w:val="00353869"/>
    <w:rsid w:val="003538B9"/>
    <w:rsid w:val="003539F5"/>
    <w:rsid w:val="00353B93"/>
    <w:rsid w:val="00353C4B"/>
    <w:rsid w:val="00353D4B"/>
    <w:rsid w:val="00353F26"/>
    <w:rsid w:val="00353F85"/>
    <w:rsid w:val="003546B2"/>
    <w:rsid w:val="00354771"/>
    <w:rsid w:val="003547E2"/>
    <w:rsid w:val="00354D5C"/>
    <w:rsid w:val="00355484"/>
    <w:rsid w:val="00355B6B"/>
    <w:rsid w:val="00355EB4"/>
    <w:rsid w:val="00355F07"/>
    <w:rsid w:val="003565EF"/>
    <w:rsid w:val="003566D3"/>
    <w:rsid w:val="00356BD7"/>
    <w:rsid w:val="00356C93"/>
    <w:rsid w:val="0035711F"/>
    <w:rsid w:val="003575EF"/>
    <w:rsid w:val="003576DB"/>
    <w:rsid w:val="00357824"/>
    <w:rsid w:val="00357E15"/>
    <w:rsid w:val="0036055D"/>
    <w:rsid w:val="00360584"/>
    <w:rsid w:val="003609C4"/>
    <w:rsid w:val="00360A0B"/>
    <w:rsid w:val="00360DFD"/>
    <w:rsid w:val="00360FA8"/>
    <w:rsid w:val="00361036"/>
    <w:rsid w:val="00361156"/>
    <w:rsid w:val="00361808"/>
    <w:rsid w:val="00361BF1"/>
    <w:rsid w:val="00361BFF"/>
    <w:rsid w:val="00362281"/>
    <w:rsid w:val="0036237D"/>
    <w:rsid w:val="003624A3"/>
    <w:rsid w:val="003627EB"/>
    <w:rsid w:val="00362813"/>
    <w:rsid w:val="003628A3"/>
    <w:rsid w:val="00362B10"/>
    <w:rsid w:val="00362C79"/>
    <w:rsid w:val="0036317D"/>
    <w:rsid w:val="003632BB"/>
    <w:rsid w:val="00363833"/>
    <w:rsid w:val="003638E4"/>
    <w:rsid w:val="003639C0"/>
    <w:rsid w:val="00363A5B"/>
    <w:rsid w:val="00363ABA"/>
    <w:rsid w:val="00363ADF"/>
    <w:rsid w:val="00363C1C"/>
    <w:rsid w:val="00364308"/>
    <w:rsid w:val="003643DA"/>
    <w:rsid w:val="00364505"/>
    <w:rsid w:val="003645EA"/>
    <w:rsid w:val="003649AD"/>
    <w:rsid w:val="00364C39"/>
    <w:rsid w:val="00364C6B"/>
    <w:rsid w:val="00364C7F"/>
    <w:rsid w:val="00364CA5"/>
    <w:rsid w:val="00364D89"/>
    <w:rsid w:val="00364F2D"/>
    <w:rsid w:val="003653AA"/>
    <w:rsid w:val="00365C8F"/>
    <w:rsid w:val="00365DBB"/>
    <w:rsid w:val="00365E93"/>
    <w:rsid w:val="003660F4"/>
    <w:rsid w:val="003661F5"/>
    <w:rsid w:val="003661FE"/>
    <w:rsid w:val="0036620F"/>
    <w:rsid w:val="00366316"/>
    <w:rsid w:val="0036649A"/>
    <w:rsid w:val="003664C4"/>
    <w:rsid w:val="003664FF"/>
    <w:rsid w:val="0036654B"/>
    <w:rsid w:val="0036687B"/>
    <w:rsid w:val="00366A8A"/>
    <w:rsid w:val="00366D4C"/>
    <w:rsid w:val="003672EE"/>
    <w:rsid w:val="003676C9"/>
    <w:rsid w:val="00367EC6"/>
    <w:rsid w:val="00370303"/>
    <w:rsid w:val="0037033F"/>
    <w:rsid w:val="00370347"/>
    <w:rsid w:val="0037057A"/>
    <w:rsid w:val="003706CD"/>
    <w:rsid w:val="003706E5"/>
    <w:rsid w:val="0037076D"/>
    <w:rsid w:val="003709A6"/>
    <w:rsid w:val="00370AF8"/>
    <w:rsid w:val="00370FEF"/>
    <w:rsid w:val="00371411"/>
    <w:rsid w:val="00371802"/>
    <w:rsid w:val="00371829"/>
    <w:rsid w:val="00371848"/>
    <w:rsid w:val="003718A8"/>
    <w:rsid w:val="00371E0C"/>
    <w:rsid w:val="00371FAC"/>
    <w:rsid w:val="00372429"/>
    <w:rsid w:val="00372559"/>
    <w:rsid w:val="00372A0E"/>
    <w:rsid w:val="00373561"/>
    <w:rsid w:val="003735E0"/>
    <w:rsid w:val="0037365C"/>
    <w:rsid w:val="003736EE"/>
    <w:rsid w:val="00373C28"/>
    <w:rsid w:val="00373D1F"/>
    <w:rsid w:val="00373D2E"/>
    <w:rsid w:val="00373DC4"/>
    <w:rsid w:val="00373FBD"/>
    <w:rsid w:val="00374009"/>
    <w:rsid w:val="00374480"/>
    <w:rsid w:val="003744BE"/>
    <w:rsid w:val="003744CA"/>
    <w:rsid w:val="00374966"/>
    <w:rsid w:val="00374BDB"/>
    <w:rsid w:val="00374C15"/>
    <w:rsid w:val="00374E89"/>
    <w:rsid w:val="00375078"/>
    <w:rsid w:val="00375610"/>
    <w:rsid w:val="00375833"/>
    <w:rsid w:val="0037589F"/>
    <w:rsid w:val="00375B0D"/>
    <w:rsid w:val="00375CE0"/>
    <w:rsid w:val="00375D6D"/>
    <w:rsid w:val="00375FED"/>
    <w:rsid w:val="0037621B"/>
    <w:rsid w:val="00376241"/>
    <w:rsid w:val="0037642E"/>
    <w:rsid w:val="0037647B"/>
    <w:rsid w:val="0037647E"/>
    <w:rsid w:val="00376527"/>
    <w:rsid w:val="003765C4"/>
    <w:rsid w:val="00376601"/>
    <w:rsid w:val="00376965"/>
    <w:rsid w:val="00376ACC"/>
    <w:rsid w:val="00376CB1"/>
    <w:rsid w:val="003772BC"/>
    <w:rsid w:val="0037791A"/>
    <w:rsid w:val="00377AC5"/>
    <w:rsid w:val="00380400"/>
    <w:rsid w:val="00380476"/>
    <w:rsid w:val="00380625"/>
    <w:rsid w:val="003806FD"/>
    <w:rsid w:val="00380DFD"/>
    <w:rsid w:val="003816F2"/>
    <w:rsid w:val="0038188B"/>
    <w:rsid w:val="00381D3E"/>
    <w:rsid w:val="003823E2"/>
    <w:rsid w:val="0038285A"/>
    <w:rsid w:val="00382A8A"/>
    <w:rsid w:val="00382B5B"/>
    <w:rsid w:val="00382BEE"/>
    <w:rsid w:val="00382CCD"/>
    <w:rsid w:val="003830AC"/>
    <w:rsid w:val="0038311F"/>
    <w:rsid w:val="00383123"/>
    <w:rsid w:val="00383171"/>
    <w:rsid w:val="00383229"/>
    <w:rsid w:val="0038335A"/>
    <w:rsid w:val="003833E9"/>
    <w:rsid w:val="0038370B"/>
    <w:rsid w:val="00383724"/>
    <w:rsid w:val="00383981"/>
    <w:rsid w:val="00383A20"/>
    <w:rsid w:val="00383CD5"/>
    <w:rsid w:val="00383D76"/>
    <w:rsid w:val="00384098"/>
    <w:rsid w:val="00384211"/>
    <w:rsid w:val="00384A27"/>
    <w:rsid w:val="00384C1A"/>
    <w:rsid w:val="00384D57"/>
    <w:rsid w:val="0038577E"/>
    <w:rsid w:val="00385A46"/>
    <w:rsid w:val="00385C46"/>
    <w:rsid w:val="00385D26"/>
    <w:rsid w:val="00385FDE"/>
    <w:rsid w:val="003866DF"/>
    <w:rsid w:val="00386CB8"/>
    <w:rsid w:val="00386E0D"/>
    <w:rsid w:val="00386E2A"/>
    <w:rsid w:val="00386E2F"/>
    <w:rsid w:val="00386FC4"/>
    <w:rsid w:val="00387505"/>
    <w:rsid w:val="00387529"/>
    <w:rsid w:val="0038764F"/>
    <w:rsid w:val="0038794F"/>
    <w:rsid w:val="00387A49"/>
    <w:rsid w:val="00387F09"/>
    <w:rsid w:val="00387FB4"/>
    <w:rsid w:val="0039023C"/>
    <w:rsid w:val="0039029A"/>
    <w:rsid w:val="003906C1"/>
    <w:rsid w:val="003908A5"/>
    <w:rsid w:val="003908C2"/>
    <w:rsid w:val="00390A67"/>
    <w:rsid w:val="00390F1A"/>
    <w:rsid w:val="0039137C"/>
    <w:rsid w:val="00391642"/>
    <w:rsid w:val="00391656"/>
    <w:rsid w:val="003916C2"/>
    <w:rsid w:val="00391816"/>
    <w:rsid w:val="00391903"/>
    <w:rsid w:val="00391C5E"/>
    <w:rsid w:val="00391C8B"/>
    <w:rsid w:val="00391CBC"/>
    <w:rsid w:val="00391E57"/>
    <w:rsid w:val="00391F6D"/>
    <w:rsid w:val="0039207C"/>
    <w:rsid w:val="00392225"/>
    <w:rsid w:val="003924CF"/>
    <w:rsid w:val="00392606"/>
    <w:rsid w:val="003929CD"/>
    <w:rsid w:val="003937D1"/>
    <w:rsid w:val="003938CD"/>
    <w:rsid w:val="0039391D"/>
    <w:rsid w:val="00393BF4"/>
    <w:rsid w:val="00393C36"/>
    <w:rsid w:val="00393D23"/>
    <w:rsid w:val="00393DDC"/>
    <w:rsid w:val="00393FE9"/>
    <w:rsid w:val="00394347"/>
    <w:rsid w:val="003946E0"/>
    <w:rsid w:val="003946F3"/>
    <w:rsid w:val="00394864"/>
    <w:rsid w:val="00394B21"/>
    <w:rsid w:val="003952BC"/>
    <w:rsid w:val="00395757"/>
    <w:rsid w:val="00395D74"/>
    <w:rsid w:val="00396273"/>
    <w:rsid w:val="003967F9"/>
    <w:rsid w:val="00396865"/>
    <w:rsid w:val="003968F0"/>
    <w:rsid w:val="0039693A"/>
    <w:rsid w:val="00396B2E"/>
    <w:rsid w:val="00396D5B"/>
    <w:rsid w:val="00396E4B"/>
    <w:rsid w:val="0039796B"/>
    <w:rsid w:val="00397F9F"/>
    <w:rsid w:val="003A00BC"/>
    <w:rsid w:val="003A0508"/>
    <w:rsid w:val="003A07D5"/>
    <w:rsid w:val="003A094A"/>
    <w:rsid w:val="003A09F1"/>
    <w:rsid w:val="003A0E96"/>
    <w:rsid w:val="003A0F4D"/>
    <w:rsid w:val="003A1126"/>
    <w:rsid w:val="003A155D"/>
    <w:rsid w:val="003A1860"/>
    <w:rsid w:val="003A18DA"/>
    <w:rsid w:val="003A1C60"/>
    <w:rsid w:val="003A1DDB"/>
    <w:rsid w:val="003A1EDB"/>
    <w:rsid w:val="003A200C"/>
    <w:rsid w:val="003A2148"/>
    <w:rsid w:val="003A228E"/>
    <w:rsid w:val="003A2511"/>
    <w:rsid w:val="003A256A"/>
    <w:rsid w:val="003A25DF"/>
    <w:rsid w:val="003A26BC"/>
    <w:rsid w:val="003A29F5"/>
    <w:rsid w:val="003A2AEA"/>
    <w:rsid w:val="003A2D3D"/>
    <w:rsid w:val="003A3190"/>
    <w:rsid w:val="003A32B9"/>
    <w:rsid w:val="003A3377"/>
    <w:rsid w:val="003A350F"/>
    <w:rsid w:val="003A355D"/>
    <w:rsid w:val="003A3C3A"/>
    <w:rsid w:val="003A3DFB"/>
    <w:rsid w:val="003A3E1C"/>
    <w:rsid w:val="003A3E80"/>
    <w:rsid w:val="003A4002"/>
    <w:rsid w:val="003A4502"/>
    <w:rsid w:val="003A465B"/>
    <w:rsid w:val="003A4839"/>
    <w:rsid w:val="003A4850"/>
    <w:rsid w:val="003A4B1A"/>
    <w:rsid w:val="003A4CF8"/>
    <w:rsid w:val="003A4DB3"/>
    <w:rsid w:val="003A4EF3"/>
    <w:rsid w:val="003A4F3E"/>
    <w:rsid w:val="003A50A9"/>
    <w:rsid w:val="003A5187"/>
    <w:rsid w:val="003A53CD"/>
    <w:rsid w:val="003A5470"/>
    <w:rsid w:val="003A5C13"/>
    <w:rsid w:val="003A5EC5"/>
    <w:rsid w:val="003A6405"/>
    <w:rsid w:val="003A6680"/>
    <w:rsid w:val="003A684D"/>
    <w:rsid w:val="003A7438"/>
    <w:rsid w:val="003A76F7"/>
    <w:rsid w:val="003A780C"/>
    <w:rsid w:val="003A78BD"/>
    <w:rsid w:val="003A7B43"/>
    <w:rsid w:val="003A7B63"/>
    <w:rsid w:val="003A7CD4"/>
    <w:rsid w:val="003A7F1D"/>
    <w:rsid w:val="003A7FA6"/>
    <w:rsid w:val="003B01A0"/>
    <w:rsid w:val="003B029A"/>
    <w:rsid w:val="003B02B1"/>
    <w:rsid w:val="003B0516"/>
    <w:rsid w:val="003B059E"/>
    <w:rsid w:val="003B05A1"/>
    <w:rsid w:val="003B05E7"/>
    <w:rsid w:val="003B07D6"/>
    <w:rsid w:val="003B0A8A"/>
    <w:rsid w:val="003B0BE1"/>
    <w:rsid w:val="003B0DCC"/>
    <w:rsid w:val="003B1546"/>
    <w:rsid w:val="003B1832"/>
    <w:rsid w:val="003B1833"/>
    <w:rsid w:val="003B1A02"/>
    <w:rsid w:val="003B1B4F"/>
    <w:rsid w:val="003B1C1D"/>
    <w:rsid w:val="003B1D8A"/>
    <w:rsid w:val="003B1FB9"/>
    <w:rsid w:val="003B1FBE"/>
    <w:rsid w:val="003B20AB"/>
    <w:rsid w:val="003B21A8"/>
    <w:rsid w:val="003B22A8"/>
    <w:rsid w:val="003B231C"/>
    <w:rsid w:val="003B2D3C"/>
    <w:rsid w:val="003B2DCC"/>
    <w:rsid w:val="003B317B"/>
    <w:rsid w:val="003B3409"/>
    <w:rsid w:val="003B35CD"/>
    <w:rsid w:val="003B3792"/>
    <w:rsid w:val="003B3BB2"/>
    <w:rsid w:val="003B3C00"/>
    <w:rsid w:val="003B3F76"/>
    <w:rsid w:val="003B4124"/>
    <w:rsid w:val="003B41F6"/>
    <w:rsid w:val="003B4840"/>
    <w:rsid w:val="003B48D6"/>
    <w:rsid w:val="003B49A3"/>
    <w:rsid w:val="003B4A1E"/>
    <w:rsid w:val="003B4F41"/>
    <w:rsid w:val="003B50B1"/>
    <w:rsid w:val="003B51F4"/>
    <w:rsid w:val="003B55E3"/>
    <w:rsid w:val="003B567F"/>
    <w:rsid w:val="003B5B34"/>
    <w:rsid w:val="003B5E35"/>
    <w:rsid w:val="003B6217"/>
    <w:rsid w:val="003B638D"/>
    <w:rsid w:val="003B639F"/>
    <w:rsid w:val="003B68D1"/>
    <w:rsid w:val="003B6AAB"/>
    <w:rsid w:val="003B6E06"/>
    <w:rsid w:val="003B6E88"/>
    <w:rsid w:val="003B7177"/>
    <w:rsid w:val="003B734F"/>
    <w:rsid w:val="003B746A"/>
    <w:rsid w:val="003B75F3"/>
    <w:rsid w:val="003B7733"/>
    <w:rsid w:val="003B77BE"/>
    <w:rsid w:val="003C0190"/>
    <w:rsid w:val="003C04EA"/>
    <w:rsid w:val="003C0548"/>
    <w:rsid w:val="003C05FC"/>
    <w:rsid w:val="003C0D86"/>
    <w:rsid w:val="003C0DB6"/>
    <w:rsid w:val="003C1282"/>
    <w:rsid w:val="003C1360"/>
    <w:rsid w:val="003C139B"/>
    <w:rsid w:val="003C1547"/>
    <w:rsid w:val="003C1582"/>
    <w:rsid w:val="003C1727"/>
    <w:rsid w:val="003C185B"/>
    <w:rsid w:val="003C1C58"/>
    <w:rsid w:val="003C1E60"/>
    <w:rsid w:val="003C1FE0"/>
    <w:rsid w:val="003C2076"/>
    <w:rsid w:val="003C232C"/>
    <w:rsid w:val="003C2472"/>
    <w:rsid w:val="003C2634"/>
    <w:rsid w:val="003C2651"/>
    <w:rsid w:val="003C2BE0"/>
    <w:rsid w:val="003C2CFB"/>
    <w:rsid w:val="003C2D55"/>
    <w:rsid w:val="003C2E3F"/>
    <w:rsid w:val="003C344F"/>
    <w:rsid w:val="003C363C"/>
    <w:rsid w:val="003C3A7A"/>
    <w:rsid w:val="003C3B09"/>
    <w:rsid w:val="003C3FB7"/>
    <w:rsid w:val="003C448C"/>
    <w:rsid w:val="003C4539"/>
    <w:rsid w:val="003C4599"/>
    <w:rsid w:val="003C46A7"/>
    <w:rsid w:val="003C4785"/>
    <w:rsid w:val="003C4818"/>
    <w:rsid w:val="003C4883"/>
    <w:rsid w:val="003C49A2"/>
    <w:rsid w:val="003C4B2A"/>
    <w:rsid w:val="003C4F3B"/>
    <w:rsid w:val="003C516E"/>
    <w:rsid w:val="003C52A5"/>
    <w:rsid w:val="003C52F2"/>
    <w:rsid w:val="003C5316"/>
    <w:rsid w:val="003C534B"/>
    <w:rsid w:val="003C549A"/>
    <w:rsid w:val="003C559D"/>
    <w:rsid w:val="003C5A0F"/>
    <w:rsid w:val="003C5CB7"/>
    <w:rsid w:val="003C6608"/>
    <w:rsid w:val="003C6BF2"/>
    <w:rsid w:val="003C6DE7"/>
    <w:rsid w:val="003C7358"/>
    <w:rsid w:val="003C74F9"/>
    <w:rsid w:val="003C76B2"/>
    <w:rsid w:val="003C76B8"/>
    <w:rsid w:val="003C7E07"/>
    <w:rsid w:val="003D01CD"/>
    <w:rsid w:val="003D0202"/>
    <w:rsid w:val="003D060A"/>
    <w:rsid w:val="003D0977"/>
    <w:rsid w:val="003D09D6"/>
    <w:rsid w:val="003D0E66"/>
    <w:rsid w:val="003D0EB9"/>
    <w:rsid w:val="003D12A5"/>
    <w:rsid w:val="003D143E"/>
    <w:rsid w:val="003D14AF"/>
    <w:rsid w:val="003D14C5"/>
    <w:rsid w:val="003D15E9"/>
    <w:rsid w:val="003D1725"/>
    <w:rsid w:val="003D19EC"/>
    <w:rsid w:val="003D19EF"/>
    <w:rsid w:val="003D1A18"/>
    <w:rsid w:val="003D1B4E"/>
    <w:rsid w:val="003D1D44"/>
    <w:rsid w:val="003D1DF5"/>
    <w:rsid w:val="003D1E0C"/>
    <w:rsid w:val="003D1E2D"/>
    <w:rsid w:val="003D2224"/>
    <w:rsid w:val="003D264F"/>
    <w:rsid w:val="003D27CE"/>
    <w:rsid w:val="003D28C6"/>
    <w:rsid w:val="003D291E"/>
    <w:rsid w:val="003D2BC2"/>
    <w:rsid w:val="003D2D01"/>
    <w:rsid w:val="003D2D83"/>
    <w:rsid w:val="003D2E6D"/>
    <w:rsid w:val="003D302B"/>
    <w:rsid w:val="003D37FA"/>
    <w:rsid w:val="003D3A90"/>
    <w:rsid w:val="003D3C63"/>
    <w:rsid w:val="003D3E98"/>
    <w:rsid w:val="003D3F18"/>
    <w:rsid w:val="003D3F7A"/>
    <w:rsid w:val="003D442E"/>
    <w:rsid w:val="003D44F9"/>
    <w:rsid w:val="003D491F"/>
    <w:rsid w:val="003D4C96"/>
    <w:rsid w:val="003D5132"/>
    <w:rsid w:val="003D548B"/>
    <w:rsid w:val="003D54EA"/>
    <w:rsid w:val="003D55DB"/>
    <w:rsid w:val="003D5961"/>
    <w:rsid w:val="003D59A4"/>
    <w:rsid w:val="003D5A41"/>
    <w:rsid w:val="003D5A9D"/>
    <w:rsid w:val="003D5BD2"/>
    <w:rsid w:val="003D6343"/>
    <w:rsid w:val="003D6464"/>
    <w:rsid w:val="003D6B86"/>
    <w:rsid w:val="003D6DAE"/>
    <w:rsid w:val="003D6DE9"/>
    <w:rsid w:val="003D6E67"/>
    <w:rsid w:val="003D6E86"/>
    <w:rsid w:val="003D71AC"/>
    <w:rsid w:val="003D791F"/>
    <w:rsid w:val="003D7C6E"/>
    <w:rsid w:val="003E0299"/>
    <w:rsid w:val="003E02F0"/>
    <w:rsid w:val="003E0561"/>
    <w:rsid w:val="003E0D31"/>
    <w:rsid w:val="003E0E72"/>
    <w:rsid w:val="003E12C9"/>
    <w:rsid w:val="003E152E"/>
    <w:rsid w:val="003E1B04"/>
    <w:rsid w:val="003E1FE9"/>
    <w:rsid w:val="003E20D7"/>
    <w:rsid w:val="003E2488"/>
    <w:rsid w:val="003E2547"/>
    <w:rsid w:val="003E289E"/>
    <w:rsid w:val="003E28B1"/>
    <w:rsid w:val="003E2C8B"/>
    <w:rsid w:val="003E2DAA"/>
    <w:rsid w:val="003E3070"/>
    <w:rsid w:val="003E330F"/>
    <w:rsid w:val="003E3A4B"/>
    <w:rsid w:val="003E3AA1"/>
    <w:rsid w:val="003E3FC8"/>
    <w:rsid w:val="003E40A9"/>
    <w:rsid w:val="003E42F0"/>
    <w:rsid w:val="003E445D"/>
    <w:rsid w:val="003E4662"/>
    <w:rsid w:val="003E488D"/>
    <w:rsid w:val="003E4B4C"/>
    <w:rsid w:val="003E4C67"/>
    <w:rsid w:val="003E51B8"/>
    <w:rsid w:val="003E5254"/>
    <w:rsid w:val="003E532E"/>
    <w:rsid w:val="003E5762"/>
    <w:rsid w:val="003E5803"/>
    <w:rsid w:val="003E5881"/>
    <w:rsid w:val="003E5E11"/>
    <w:rsid w:val="003E5EFC"/>
    <w:rsid w:val="003E608B"/>
    <w:rsid w:val="003E6664"/>
    <w:rsid w:val="003E6881"/>
    <w:rsid w:val="003E6D54"/>
    <w:rsid w:val="003E6DB0"/>
    <w:rsid w:val="003E6E71"/>
    <w:rsid w:val="003E6E80"/>
    <w:rsid w:val="003E7288"/>
    <w:rsid w:val="003E7364"/>
    <w:rsid w:val="003E73A2"/>
    <w:rsid w:val="003E7EC3"/>
    <w:rsid w:val="003F01EE"/>
    <w:rsid w:val="003F0718"/>
    <w:rsid w:val="003F084A"/>
    <w:rsid w:val="003F087B"/>
    <w:rsid w:val="003F0DE9"/>
    <w:rsid w:val="003F0E0B"/>
    <w:rsid w:val="003F0ECF"/>
    <w:rsid w:val="003F0F84"/>
    <w:rsid w:val="003F11DC"/>
    <w:rsid w:val="003F12D5"/>
    <w:rsid w:val="003F14E9"/>
    <w:rsid w:val="003F1647"/>
    <w:rsid w:val="003F180E"/>
    <w:rsid w:val="003F1B8D"/>
    <w:rsid w:val="003F1BAF"/>
    <w:rsid w:val="003F1CE5"/>
    <w:rsid w:val="003F1F27"/>
    <w:rsid w:val="003F2337"/>
    <w:rsid w:val="003F240C"/>
    <w:rsid w:val="003F2601"/>
    <w:rsid w:val="003F26A3"/>
    <w:rsid w:val="003F2B31"/>
    <w:rsid w:val="003F2B7F"/>
    <w:rsid w:val="003F2C80"/>
    <w:rsid w:val="003F319D"/>
    <w:rsid w:val="003F3497"/>
    <w:rsid w:val="003F353D"/>
    <w:rsid w:val="003F385B"/>
    <w:rsid w:val="003F39E0"/>
    <w:rsid w:val="003F3C21"/>
    <w:rsid w:val="003F3FAD"/>
    <w:rsid w:val="003F40C7"/>
    <w:rsid w:val="003F41A0"/>
    <w:rsid w:val="003F4719"/>
    <w:rsid w:val="003F4982"/>
    <w:rsid w:val="003F4F0C"/>
    <w:rsid w:val="003F4FEF"/>
    <w:rsid w:val="003F51CC"/>
    <w:rsid w:val="003F57CE"/>
    <w:rsid w:val="003F5A43"/>
    <w:rsid w:val="003F5A47"/>
    <w:rsid w:val="003F5AEE"/>
    <w:rsid w:val="003F5C2B"/>
    <w:rsid w:val="003F5D20"/>
    <w:rsid w:val="003F5E0D"/>
    <w:rsid w:val="003F5F20"/>
    <w:rsid w:val="003F606C"/>
    <w:rsid w:val="003F6159"/>
    <w:rsid w:val="003F621D"/>
    <w:rsid w:val="003F652C"/>
    <w:rsid w:val="003F653F"/>
    <w:rsid w:val="003F6A87"/>
    <w:rsid w:val="003F6B98"/>
    <w:rsid w:val="003F6BC2"/>
    <w:rsid w:val="003F6D0A"/>
    <w:rsid w:val="003F6E11"/>
    <w:rsid w:val="003F6E5F"/>
    <w:rsid w:val="003F6F46"/>
    <w:rsid w:val="003F6F98"/>
    <w:rsid w:val="003F6FFF"/>
    <w:rsid w:val="003F741E"/>
    <w:rsid w:val="003F7570"/>
    <w:rsid w:val="003F785E"/>
    <w:rsid w:val="003F7AA5"/>
    <w:rsid w:val="003F7ACF"/>
    <w:rsid w:val="003F7C28"/>
    <w:rsid w:val="003F7EBB"/>
    <w:rsid w:val="003F7EDF"/>
    <w:rsid w:val="003F7F2D"/>
    <w:rsid w:val="00400099"/>
    <w:rsid w:val="004002FF"/>
    <w:rsid w:val="004005A5"/>
    <w:rsid w:val="004005AD"/>
    <w:rsid w:val="00400767"/>
    <w:rsid w:val="004009E2"/>
    <w:rsid w:val="00400A2B"/>
    <w:rsid w:val="004012BA"/>
    <w:rsid w:val="0040137D"/>
    <w:rsid w:val="00401710"/>
    <w:rsid w:val="00401A2E"/>
    <w:rsid w:val="00401A7A"/>
    <w:rsid w:val="00401DC9"/>
    <w:rsid w:val="004025A7"/>
    <w:rsid w:val="0040282D"/>
    <w:rsid w:val="004028A8"/>
    <w:rsid w:val="00402932"/>
    <w:rsid w:val="00402941"/>
    <w:rsid w:val="00402EA2"/>
    <w:rsid w:val="00402FF0"/>
    <w:rsid w:val="00403049"/>
    <w:rsid w:val="00403074"/>
    <w:rsid w:val="0040310E"/>
    <w:rsid w:val="00403302"/>
    <w:rsid w:val="004036A4"/>
    <w:rsid w:val="00403A7F"/>
    <w:rsid w:val="00404241"/>
    <w:rsid w:val="004042BE"/>
    <w:rsid w:val="00404311"/>
    <w:rsid w:val="004047F1"/>
    <w:rsid w:val="00404859"/>
    <w:rsid w:val="004049E2"/>
    <w:rsid w:val="00404C00"/>
    <w:rsid w:val="00404C6A"/>
    <w:rsid w:val="00404F0C"/>
    <w:rsid w:val="004052F8"/>
    <w:rsid w:val="00405377"/>
    <w:rsid w:val="00405405"/>
    <w:rsid w:val="0040542F"/>
    <w:rsid w:val="0040567E"/>
    <w:rsid w:val="00405B14"/>
    <w:rsid w:val="00405B5E"/>
    <w:rsid w:val="00405D3F"/>
    <w:rsid w:val="00405EC8"/>
    <w:rsid w:val="00405F21"/>
    <w:rsid w:val="00405FB4"/>
    <w:rsid w:val="00406127"/>
    <w:rsid w:val="00406190"/>
    <w:rsid w:val="0040666F"/>
    <w:rsid w:val="00406772"/>
    <w:rsid w:val="00406D5E"/>
    <w:rsid w:val="00406F76"/>
    <w:rsid w:val="0040724E"/>
    <w:rsid w:val="004072BA"/>
    <w:rsid w:val="004074CA"/>
    <w:rsid w:val="00407A2F"/>
    <w:rsid w:val="00407DCB"/>
    <w:rsid w:val="00407FE9"/>
    <w:rsid w:val="00410174"/>
    <w:rsid w:val="0041039A"/>
    <w:rsid w:val="00410805"/>
    <w:rsid w:val="00410D56"/>
    <w:rsid w:val="0041106F"/>
    <w:rsid w:val="004113B7"/>
    <w:rsid w:val="004119E6"/>
    <w:rsid w:val="00411A7D"/>
    <w:rsid w:val="00411AF4"/>
    <w:rsid w:val="00411BC8"/>
    <w:rsid w:val="00411DCE"/>
    <w:rsid w:val="00412004"/>
    <w:rsid w:val="0041206F"/>
    <w:rsid w:val="00412128"/>
    <w:rsid w:val="0041244C"/>
    <w:rsid w:val="004125D3"/>
    <w:rsid w:val="004126C4"/>
    <w:rsid w:val="00412908"/>
    <w:rsid w:val="0041298E"/>
    <w:rsid w:val="004129D6"/>
    <w:rsid w:val="00412C01"/>
    <w:rsid w:val="00412C33"/>
    <w:rsid w:val="00412D92"/>
    <w:rsid w:val="00412E70"/>
    <w:rsid w:val="004138A4"/>
    <w:rsid w:val="00413E12"/>
    <w:rsid w:val="00413E44"/>
    <w:rsid w:val="00414059"/>
    <w:rsid w:val="004140B7"/>
    <w:rsid w:val="00414192"/>
    <w:rsid w:val="0041421D"/>
    <w:rsid w:val="0041456C"/>
    <w:rsid w:val="004145E4"/>
    <w:rsid w:val="00414A3B"/>
    <w:rsid w:val="00414D83"/>
    <w:rsid w:val="00414D8C"/>
    <w:rsid w:val="00414DF3"/>
    <w:rsid w:val="004150C9"/>
    <w:rsid w:val="00415244"/>
    <w:rsid w:val="00415330"/>
    <w:rsid w:val="0041537D"/>
    <w:rsid w:val="00415507"/>
    <w:rsid w:val="0041587D"/>
    <w:rsid w:val="00415A55"/>
    <w:rsid w:val="00415A84"/>
    <w:rsid w:val="00415C9E"/>
    <w:rsid w:val="00415E2F"/>
    <w:rsid w:val="00415F2D"/>
    <w:rsid w:val="00416319"/>
    <w:rsid w:val="0041652D"/>
    <w:rsid w:val="00416AC9"/>
    <w:rsid w:val="00416CBC"/>
    <w:rsid w:val="00416D13"/>
    <w:rsid w:val="00416D98"/>
    <w:rsid w:val="00416EFC"/>
    <w:rsid w:val="004179A5"/>
    <w:rsid w:val="00417E52"/>
    <w:rsid w:val="00417FB2"/>
    <w:rsid w:val="004202DF"/>
    <w:rsid w:val="004202FE"/>
    <w:rsid w:val="00420640"/>
    <w:rsid w:val="004206D2"/>
    <w:rsid w:val="004207CB"/>
    <w:rsid w:val="00420999"/>
    <w:rsid w:val="00420DC6"/>
    <w:rsid w:val="00421036"/>
    <w:rsid w:val="004210F9"/>
    <w:rsid w:val="004213A8"/>
    <w:rsid w:val="00421475"/>
    <w:rsid w:val="00421698"/>
    <w:rsid w:val="0042186D"/>
    <w:rsid w:val="00421A5F"/>
    <w:rsid w:val="00421BDC"/>
    <w:rsid w:val="00421BF8"/>
    <w:rsid w:val="00421C94"/>
    <w:rsid w:val="00421F2E"/>
    <w:rsid w:val="00422637"/>
    <w:rsid w:val="0042274C"/>
    <w:rsid w:val="004227CE"/>
    <w:rsid w:val="004228D7"/>
    <w:rsid w:val="00422E60"/>
    <w:rsid w:val="00423385"/>
    <w:rsid w:val="004234F9"/>
    <w:rsid w:val="00423623"/>
    <w:rsid w:val="004236BA"/>
    <w:rsid w:val="004238C5"/>
    <w:rsid w:val="00423B99"/>
    <w:rsid w:val="00423C2A"/>
    <w:rsid w:val="00423EA4"/>
    <w:rsid w:val="004243F1"/>
    <w:rsid w:val="00424594"/>
    <w:rsid w:val="004245F2"/>
    <w:rsid w:val="00424899"/>
    <w:rsid w:val="00424C01"/>
    <w:rsid w:val="00424CC0"/>
    <w:rsid w:val="00424D6C"/>
    <w:rsid w:val="0042533B"/>
    <w:rsid w:val="00425481"/>
    <w:rsid w:val="004257F5"/>
    <w:rsid w:val="00425F2E"/>
    <w:rsid w:val="00426A93"/>
    <w:rsid w:val="00426CC3"/>
    <w:rsid w:val="00426F3B"/>
    <w:rsid w:val="00427079"/>
    <w:rsid w:val="00427171"/>
    <w:rsid w:val="0042743E"/>
    <w:rsid w:val="004274C3"/>
    <w:rsid w:val="00427916"/>
    <w:rsid w:val="0042791D"/>
    <w:rsid w:val="00427D40"/>
    <w:rsid w:val="00427E2B"/>
    <w:rsid w:val="00427E7D"/>
    <w:rsid w:val="00427E86"/>
    <w:rsid w:val="00427FBB"/>
    <w:rsid w:val="0043008B"/>
    <w:rsid w:val="004305AA"/>
    <w:rsid w:val="00430848"/>
    <w:rsid w:val="00430ACA"/>
    <w:rsid w:val="00430BE7"/>
    <w:rsid w:val="00430D88"/>
    <w:rsid w:val="00430DCB"/>
    <w:rsid w:val="00430E92"/>
    <w:rsid w:val="004312F2"/>
    <w:rsid w:val="0043148A"/>
    <w:rsid w:val="00431B81"/>
    <w:rsid w:val="00431C3D"/>
    <w:rsid w:val="00431C84"/>
    <w:rsid w:val="00431F9E"/>
    <w:rsid w:val="00432178"/>
    <w:rsid w:val="00432189"/>
    <w:rsid w:val="00432272"/>
    <w:rsid w:val="00432292"/>
    <w:rsid w:val="0043258B"/>
    <w:rsid w:val="00432871"/>
    <w:rsid w:val="00432C5C"/>
    <w:rsid w:val="00432EC5"/>
    <w:rsid w:val="00432F7A"/>
    <w:rsid w:val="00432F9B"/>
    <w:rsid w:val="0043334B"/>
    <w:rsid w:val="004335F2"/>
    <w:rsid w:val="00433F92"/>
    <w:rsid w:val="00434337"/>
    <w:rsid w:val="004343AD"/>
    <w:rsid w:val="004343D6"/>
    <w:rsid w:val="00434922"/>
    <w:rsid w:val="00434977"/>
    <w:rsid w:val="004349E7"/>
    <w:rsid w:val="00434A3F"/>
    <w:rsid w:val="0043528F"/>
    <w:rsid w:val="004355ED"/>
    <w:rsid w:val="0043578D"/>
    <w:rsid w:val="0043625A"/>
    <w:rsid w:val="00436419"/>
    <w:rsid w:val="0043642E"/>
    <w:rsid w:val="00436624"/>
    <w:rsid w:val="00437003"/>
    <w:rsid w:val="0043736C"/>
    <w:rsid w:val="0043751E"/>
    <w:rsid w:val="00437662"/>
    <w:rsid w:val="004379BC"/>
    <w:rsid w:val="00437B52"/>
    <w:rsid w:val="00437E7F"/>
    <w:rsid w:val="00437F02"/>
    <w:rsid w:val="004402B5"/>
    <w:rsid w:val="00440386"/>
    <w:rsid w:val="004403D5"/>
    <w:rsid w:val="004408CB"/>
    <w:rsid w:val="00440C53"/>
    <w:rsid w:val="00440CAD"/>
    <w:rsid w:val="00440E98"/>
    <w:rsid w:val="00440FDD"/>
    <w:rsid w:val="0044126A"/>
    <w:rsid w:val="004419B2"/>
    <w:rsid w:val="00441A06"/>
    <w:rsid w:val="00441A8A"/>
    <w:rsid w:val="00441AA3"/>
    <w:rsid w:val="00441C36"/>
    <w:rsid w:val="00441C74"/>
    <w:rsid w:val="004422BA"/>
    <w:rsid w:val="004423F5"/>
    <w:rsid w:val="00442C7B"/>
    <w:rsid w:val="00442D22"/>
    <w:rsid w:val="00442EA6"/>
    <w:rsid w:val="00442FEB"/>
    <w:rsid w:val="00443041"/>
    <w:rsid w:val="00443091"/>
    <w:rsid w:val="00443418"/>
    <w:rsid w:val="00443602"/>
    <w:rsid w:val="004436FD"/>
    <w:rsid w:val="00445060"/>
    <w:rsid w:val="00445191"/>
    <w:rsid w:val="004457EF"/>
    <w:rsid w:val="00445982"/>
    <w:rsid w:val="00445C22"/>
    <w:rsid w:val="00445DCB"/>
    <w:rsid w:val="00445E98"/>
    <w:rsid w:val="00445F71"/>
    <w:rsid w:val="00446050"/>
    <w:rsid w:val="004464DA"/>
    <w:rsid w:val="004464EA"/>
    <w:rsid w:val="00446AC2"/>
    <w:rsid w:val="00446CC5"/>
    <w:rsid w:val="004473D8"/>
    <w:rsid w:val="00447421"/>
    <w:rsid w:val="0044749E"/>
    <w:rsid w:val="00447520"/>
    <w:rsid w:val="0044766A"/>
    <w:rsid w:val="004476E0"/>
    <w:rsid w:val="00447842"/>
    <w:rsid w:val="00447D98"/>
    <w:rsid w:val="004503B8"/>
    <w:rsid w:val="0045064F"/>
    <w:rsid w:val="004507E6"/>
    <w:rsid w:val="004508AB"/>
    <w:rsid w:val="0045095A"/>
    <w:rsid w:val="00450A94"/>
    <w:rsid w:val="00450D70"/>
    <w:rsid w:val="00450DA2"/>
    <w:rsid w:val="00450F81"/>
    <w:rsid w:val="00451665"/>
    <w:rsid w:val="00451689"/>
    <w:rsid w:val="004518D2"/>
    <w:rsid w:val="004519EA"/>
    <w:rsid w:val="00451B60"/>
    <w:rsid w:val="00451BD6"/>
    <w:rsid w:val="00451BF3"/>
    <w:rsid w:val="00451C0A"/>
    <w:rsid w:val="004521F7"/>
    <w:rsid w:val="00452BC9"/>
    <w:rsid w:val="00453001"/>
    <w:rsid w:val="004531FA"/>
    <w:rsid w:val="004533F6"/>
    <w:rsid w:val="00453662"/>
    <w:rsid w:val="00453805"/>
    <w:rsid w:val="0045398A"/>
    <w:rsid w:val="00453BBA"/>
    <w:rsid w:val="00453BC8"/>
    <w:rsid w:val="00453BD2"/>
    <w:rsid w:val="00453CA1"/>
    <w:rsid w:val="00453CC0"/>
    <w:rsid w:val="00453DBF"/>
    <w:rsid w:val="00453E4C"/>
    <w:rsid w:val="00453E77"/>
    <w:rsid w:val="0045408A"/>
    <w:rsid w:val="00454150"/>
    <w:rsid w:val="00454BDF"/>
    <w:rsid w:val="00454C80"/>
    <w:rsid w:val="004550DC"/>
    <w:rsid w:val="00455E39"/>
    <w:rsid w:val="004564F7"/>
    <w:rsid w:val="00456506"/>
    <w:rsid w:val="00456875"/>
    <w:rsid w:val="0045690D"/>
    <w:rsid w:val="00456C47"/>
    <w:rsid w:val="004570B2"/>
    <w:rsid w:val="004572B9"/>
    <w:rsid w:val="00457B20"/>
    <w:rsid w:val="00457C62"/>
    <w:rsid w:val="00457C7A"/>
    <w:rsid w:val="00457F55"/>
    <w:rsid w:val="004602C4"/>
    <w:rsid w:val="004603D6"/>
    <w:rsid w:val="004606D4"/>
    <w:rsid w:val="004606DA"/>
    <w:rsid w:val="0046096D"/>
    <w:rsid w:val="004609C6"/>
    <w:rsid w:val="00460E5E"/>
    <w:rsid w:val="00461026"/>
    <w:rsid w:val="0046126F"/>
    <w:rsid w:val="004613FE"/>
    <w:rsid w:val="00461589"/>
    <w:rsid w:val="0046169A"/>
    <w:rsid w:val="00461AA1"/>
    <w:rsid w:val="00461AAE"/>
    <w:rsid w:val="00461BD2"/>
    <w:rsid w:val="00461C76"/>
    <w:rsid w:val="004620DB"/>
    <w:rsid w:val="0046270C"/>
    <w:rsid w:val="0046280A"/>
    <w:rsid w:val="00462D36"/>
    <w:rsid w:val="00462D50"/>
    <w:rsid w:val="00462DEC"/>
    <w:rsid w:val="00462EE0"/>
    <w:rsid w:val="00462F6B"/>
    <w:rsid w:val="00463738"/>
    <w:rsid w:val="004637F5"/>
    <w:rsid w:val="00463C2F"/>
    <w:rsid w:val="00463DFE"/>
    <w:rsid w:val="00463F6F"/>
    <w:rsid w:val="00464040"/>
    <w:rsid w:val="004642D1"/>
    <w:rsid w:val="004643F0"/>
    <w:rsid w:val="004644A0"/>
    <w:rsid w:val="00464544"/>
    <w:rsid w:val="00464885"/>
    <w:rsid w:val="00464DC6"/>
    <w:rsid w:val="00464EF7"/>
    <w:rsid w:val="00464FA2"/>
    <w:rsid w:val="0046505D"/>
    <w:rsid w:val="004650B8"/>
    <w:rsid w:val="0046526E"/>
    <w:rsid w:val="00465314"/>
    <w:rsid w:val="00465550"/>
    <w:rsid w:val="004655B2"/>
    <w:rsid w:val="00465646"/>
    <w:rsid w:val="00465BEE"/>
    <w:rsid w:val="00465F2F"/>
    <w:rsid w:val="004660A1"/>
    <w:rsid w:val="004662F9"/>
    <w:rsid w:val="0046631E"/>
    <w:rsid w:val="00466422"/>
    <w:rsid w:val="00466559"/>
    <w:rsid w:val="004665E1"/>
    <w:rsid w:val="004665E8"/>
    <w:rsid w:val="004665F8"/>
    <w:rsid w:val="00466ACC"/>
    <w:rsid w:val="004670E6"/>
    <w:rsid w:val="00467339"/>
    <w:rsid w:val="004674CC"/>
    <w:rsid w:val="00467619"/>
    <w:rsid w:val="00467657"/>
    <w:rsid w:val="0046786A"/>
    <w:rsid w:val="00467DDC"/>
    <w:rsid w:val="00470153"/>
    <w:rsid w:val="00470192"/>
    <w:rsid w:val="0047026A"/>
    <w:rsid w:val="00470634"/>
    <w:rsid w:val="004706C8"/>
    <w:rsid w:val="0047087B"/>
    <w:rsid w:val="00470A80"/>
    <w:rsid w:val="004711AE"/>
    <w:rsid w:val="00471282"/>
    <w:rsid w:val="004719C6"/>
    <w:rsid w:val="00471C06"/>
    <w:rsid w:val="00472175"/>
    <w:rsid w:val="004723F1"/>
    <w:rsid w:val="00472453"/>
    <w:rsid w:val="00472653"/>
    <w:rsid w:val="00472E44"/>
    <w:rsid w:val="00473094"/>
    <w:rsid w:val="004730DC"/>
    <w:rsid w:val="004732C2"/>
    <w:rsid w:val="00473549"/>
    <w:rsid w:val="00473557"/>
    <w:rsid w:val="00473569"/>
    <w:rsid w:val="00473B21"/>
    <w:rsid w:val="00473BE5"/>
    <w:rsid w:val="00473F5C"/>
    <w:rsid w:val="00473FF4"/>
    <w:rsid w:val="004741A2"/>
    <w:rsid w:val="00474247"/>
    <w:rsid w:val="0047440B"/>
    <w:rsid w:val="00474727"/>
    <w:rsid w:val="004753DC"/>
    <w:rsid w:val="00475594"/>
    <w:rsid w:val="004756D8"/>
    <w:rsid w:val="0047582C"/>
    <w:rsid w:val="00475AF8"/>
    <w:rsid w:val="00476661"/>
    <w:rsid w:val="004766A7"/>
    <w:rsid w:val="004768C9"/>
    <w:rsid w:val="00476983"/>
    <w:rsid w:val="00476A97"/>
    <w:rsid w:val="00476CB5"/>
    <w:rsid w:val="0047712E"/>
    <w:rsid w:val="004771D9"/>
    <w:rsid w:val="004771F6"/>
    <w:rsid w:val="00477722"/>
    <w:rsid w:val="004777C4"/>
    <w:rsid w:val="00477DD9"/>
    <w:rsid w:val="00477F2F"/>
    <w:rsid w:val="00477F3E"/>
    <w:rsid w:val="0048065B"/>
    <w:rsid w:val="00480A81"/>
    <w:rsid w:val="00480BD6"/>
    <w:rsid w:val="004810CD"/>
    <w:rsid w:val="0048126F"/>
    <w:rsid w:val="00481577"/>
    <w:rsid w:val="0048174A"/>
    <w:rsid w:val="004817D4"/>
    <w:rsid w:val="00481803"/>
    <w:rsid w:val="00481B8F"/>
    <w:rsid w:val="00482168"/>
    <w:rsid w:val="0048267D"/>
    <w:rsid w:val="00482845"/>
    <w:rsid w:val="00482AF6"/>
    <w:rsid w:val="00482C3C"/>
    <w:rsid w:val="00482CFA"/>
    <w:rsid w:val="00482D0C"/>
    <w:rsid w:val="00482D8E"/>
    <w:rsid w:val="00482EE2"/>
    <w:rsid w:val="004836F3"/>
    <w:rsid w:val="004839B0"/>
    <w:rsid w:val="00483F25"/>
    <w:rsid w:val="00483FAF"/>
    <w:rsid w:val="0048436B"/>
    <w:rsid w:val="004844BB"/>
    <w:rsid w:val="004849A3"/>
    <w:rsid w:val="00484A9E"/>
    <w:rsid w:val="00484BEE"/>
    <w:rsid w:val="00484F9D"/>
    <w:rsid w:val="0048511C"/>
    <w:rsid w:val="0048579A"/>
    <w:rsid w:val="0048587C"/>
    <w:rsid w:val="00485AFA"/>
    <w:rsid w:val="00485E43"/>
    <w:rsid w:val="0048609E"/>
    <w:rsid w:val="0048664B"/>
    <w:rsid w:val="00486905"/>
    <w:rsid w:val="0048698B"/>
    <w:rsid w:val="004869BF"/>
    <w:rsid w:val="00486AF6"/>
    <w:rsid w:val="00486D20"/>
    <w:rsid w:val="00486F08"/>
    <w:rsid w:val="0048708F"/>
    <w:rsid w:val="00487371"/>
    <w:rsid w:val="004874E5"/>
    <w:rsid w:val="00487557"/>
    <w:rsid w:val="004875D7"/>
    <w:rsid w:val="0048769A"/>
    <w:rsid w:val="00487AF6"/>
    <w:rsid w:val="00487CCA"/>
    <w:rsid w:val="00487FAD"/>
    <w:rsid w:val="00490014"/>
    <w:rsid w:val="004906F4"/>
    <w:rsid w:val="0049096F"/>
    <w:rsid w:val="00490BAF"/>
    <w:rsid w:val="00490D44"/>
    <w:rsid w:val="00490EEA"/>
    <w:rsid w:val="00490FD6"/>
    <w:rsid w:val="00491784"/>
    <w:rsid w:val="00491A6D"/>
    <w:rsid w:val="004920D5"/>
    <w:rsid w:val="0049292D"/>
    <w:rsid w:val="0049296F"/>
    <w:rsid w:val="00492C13"/>
    <w:rsid w:val="00492C7B"/>
    <w:rsid w:val="00492D00"/>
    <w:rsid w:val="00493042"/>
    <w:rsid w:val="0049327F"/>
    <w:rsid w:val="0049346B"/>
    <w:rsid w:val="00493B34"/>
    <w:rsid w:val="00493BEF"/>
    <w:rsid w:val="00493BF8"/>
    <w:rsid w:val="00493D71"/>
    <w:rsid w:val="00493DD1"/>
    <w:rsid w:val="00493F05"/>
    <w:rsid w:val="0049401B"/>
    <w:rsid w:val="00494157"/>
    <w:rsid w:val="00494B3F"/>
    <w:rsid w:val="00494DC6"/>
    <w:rsid w:val="00494EAF"/>
    <w:rsid w:val="00495000"/>
    <w:rsid w:val="0049509F"/>
    <w:rsid w:val="00495114"/>
    <w:rsid w:val="004953F2"/>
    <w:rsid w:val="00495650"/>
    <w:rsid w:val="0049572E"/>
    <w:rsid w:val="00495849"/>
    <w:rsid w:val="00496185"/>
    <w:rsid w:val="004961A2"/>
    <w:rsid w:val="004962E5"/>
    <w:rsid w:val="0049652A"/>
    <w:rsid w:val="00496550"/>
    <w:rsid w:val="00496754"/>
    <w:rsid w:val="00496821"/>
    <w:rsid w:val="00496ADA"/>
    <w:rsid w:val="00496F9E"/>
    <w:rsid w:val="00496FA7"/>
    <w:rsid w:val="00497044"/>
    <w:rsid w:val="004972D1"/>
    <w:rsid w:val="00497435"/>
    <w:rsid w:val="00497439"/>
    <w:rsid w:val="004974C0"/>
    <w:rsid w:val="004976C2"/>
    <w:rsid w:val="00497700"/>
    <w:rsid w:val="00497A66"/>
    <w:rsid w:val="00497BF1"/>
    <w:rsid w:val="00497C70"/>
    <w:rsid w:val="00497DAB"/>
    <w:rsid w:val="00497E38"/>
    <w:rsid w:val="004A019D"/>
    <w:rsid w:val="004A0432"/>
    <w:rsid w:val="004A0442"/>
    <w:rsid w:val="004A058D"/>
    <w:rsid w:val="004A0B1C"/>
    <w:rsid w:val="004A0BEC"/>
    <w:rsid w:val="004A0F15"/>
    <w:rsid w:val="004A10BC"/>
    <w:rsid w:val="004A10DE"/>
    <w:rsid w:val="004A11DC"/>
    <w:rsid w:val="004A12D8"/>
    <w:rsid w:val="004A131A"/>
    <w:rsid w:val="004A13DA"/>
    <w:rsid w:val="004A16E6"/>
    <w:rsid w:val="004A17CF"/>
    <w:rsid w:val="004A17D6"/>
    <w:rsid w:val="004A1B7D"/>
    <w:rsid w:val="004A1C7E"/>
    <w:rsid w:val="004A1D17"/>
    <w:rsid w:val="004A1F72"/>
    <w:rsid w:val="004A2061"/>
    <w:rsid w:val="004A214F"/>
    <w:rsid w:val="004A2229"/>
    <w:rsid w:val="004A2368"/>
    <w:rsid w:val="004A238C"/>
    <w:rsid w:val="004A28B1"/>
    <w:rsid w:val="004A28CF"/>
    <w:rsid w:val="004A2926"/>
    <w:rsid w:val="004A2D0E"/>
    <w:rsid w:val="004A2E41"/>
    <w:rsid w:val="004A30FC"/>
    <w:rsid w:val="004A3261"/>
    <w:rsid w:val="004A328D"/>
    <w:rsid w:val="004A3306"/>
    <w:rsid w:val="004A34B4"/>
    <w:rsid w:val="004A352C"/>
    <w:rsid w:val="004A379C"/>
    <w:rsid w:val="004A39F1"/>
    <w:rsid w:val="004A3CC0"/>
    <w:rsid w:val="004A3D2A"/>
    <w:rsid w:val="004A4152"/>
    <w:rsid w:val="004A4641"/>
    <w:rsid w:val="004A556A"/>
    <w:rsid w:val="004A5946"/>
    <w:rsid w:val="004A5B09"/>
    <w:rsid w:val="004A5B6C"/>
    <w:rsid w:val="004A5C05"/>
    <w:rsid w:val="004A634B"/>
    <w:rsid w:val="004A6504"/>
    <w:rsid w:val="004A65D3"/>
    <w:rsid w:val="004A6702"/>
    <w:rsid w:val="004A6D72"/>
    <w:rsid w:val="004A6FF9"/>
    <w:rsid w:val="004A7064"/>
    <w:rsid w:val="004A7084"/>
    <w:rsid w:val="004A7460"/>
    <w:rsid w:val="004A757A"/>
    <w:rsid w:val="004A7742"/>
    <w:rsid w:val="004A7757"/>
    <w:rsid w:val="004A779F"/>
    <w:rsid w:val="004A77D6"/>
    <w:rsid w:val="004A78D9"/>
    <w:rsid w:val="004A7AD5"/>
    <w:rsid w:val="004A7CAB"/>
    <w:rsid w:val="004A7D0D"/>
    <w:rsid w:val="004A7F86"/>
    <w:rsid w:val="004B00B1"/>
    <w:rsid w:val="004B05F9"/>
    <w:rsid w:val="004B07B3"/>
    <w:rsid w:val="004B086D"/>
    <w:rsid w:val="004B0AE6"/>
    <w:rsid w:val="004B0DD6"/>
    <w:rsid w:val="004B0DE2"/>
    <w:rsid w:val="004B107A"/>
    <w:rsid w:val="004B132C"/>
    <w:rsid w:val="004B138A"/>
    <w:rsid w:val="004B146B"/>
    <w:rsid w:val="004B1B72"/>
    <w:rsid w:val="004B1CA0"/>
    <w:rsid w:val="004B1EA5"/>
    <w:rsid w:val="004B1ECE"/>
    <w:rsid w:val="004B2212"/>
    <w:rsid w:val="004B24EE"/>
    <w:rsid w:val="004B2590"/>
    <w:rsid w:val="004B2B02"/>
    <w:rsid w:val="004B2C9D"/>
    <w:rsid w:val="004B2CB8"/>
    <w:rsid w:val="004B2E03"/>
    <w:rsid w:val="004B3094"/>
    <w:rsid w:val="004B32CD"/>
    <w:rsid w:val="004B33B7"/>
    <w:rsid w:val="004B3D16"/>
    <w:rsid w:val="004B3D29"/>
    <w:rsid w:val="004B403A"/>
    <w:rsid w:val="004B41D5"/>
    <w:rsid w:val="004B4657"/>
    <w:rsid w:val="004B4E31"/>
    <w:rsid w:val="004B5199"/>
    <w:rsid w:val="004B5204"/>
    <w:rsid w:val="004B53A6"/>
    <w:rsid w:val="004B53EB"/>
    <w:rsid w:val="004B565F"/>
    <w:rsid w:val="004B5761"/>
    <w:rsid w:val="004B5972"/>
    <w:rsid w:val="004B5E3E"/>
    <w:rsid w:val="004B61A9"/>
    <w:rsid w:val="004B61B1"/>
    <w:rsid w:val="004B6226"/>
    <w:rsid w:val="004B6411"/>
    <w:rsid w:val="004B64CC"/>
    <w:rsid w:val="004B67F3"/>
    <w:rsid w:val="004B6B61"/>
    <w:rsid w:val="004B7393"/>
    <w:rsid w:val="004B75C1"/>
    <w:rsid w:val="004B7C18"/>
    <w:rsid w:val="004B7F3D"/>
    <w:rsid w:val="004C02BD"/>
    <w:rsid w:val="004C03DA"/>
    <w:rsid w:val="004C05C3"/>
    <w:rsid w:val="004C06F2"/>
    <w:rsid w:val="004C1052"/>
    <w:rsid w:val="004C1075"/>
    <w:rsid w:val="004C1929"/>
    <w:rsid w:val="004C1A32"/>
    <w:rsid w:val="004C1ABE"/>
    <w:rsid w:val="004C1CB1"/>
    <w:rsid w:val="004C1CE7"/>
    <w:rsid w:val="004C20A3"/>
    <w:rsid w:val="004C20AD"/>
    <w:rsid w:val="004C20FF"/>
    <w:rsid w:val="004C2674"/>
    <w:rsid w:val="004C270F"/>
    <w:rsid w:val="004C27DA"/>
    <w:rsid w:val="004C2A44"/>
    <w:rsid w:val="004C2CE7"/>
    <w:rsid w:val="004C2EEE"/>
    <w:rsid w:val="004C31B1"/>
    <w:rsid w:val="004C3368"/>
    <w:rsid w:val="004C3715"/>
    <w:rsid w:val="004C37C2"/>
    <w:rsid w:val="004C398B"/>
    <w:rsid w:val="004C3E36"/>
    <w:rsid w:val="004C3F4A"/>
    <w:rsid w:val="004C4104"/>
    <w:rsid w:val="004C4432"/>
    <w:rsid w:val="004C449F"/>
    <w:rsid w:val="004C4540"/>
    <w:rsid w:val="004C4585"/>
    <w:rsid w:val="004C466D"/>
    <w:rsid w:val="004C48E9"/>
    <w:rsid w:val="004C5090"/>
    <w:rsid w:val="004C6126"/>
    <w:rsid w:val="004C6247"/>
    <w:rsid w:val="004C625F"/>
    <w:rsid w:val="004C639D"/>
    <w:rsid w:val="004C6500"/>
    <w:rsid w:val="004C6687"/>
    <w:rsid w:val="004C66E8"/>
    <w:rsid w:val="004C6852"/>
    <w:rsid w:val="004C6BDB"/>
    <w:rsid w:val="004C6F36"/>
    <w:rsid w:val="004C70EC"/>
    <w:rsid w:val="004C711B"/>
    <w:rsid w:val="004C7143"/>
    <w:rsid w:val="004C74A5"/>
    <w:rsid w:val="004C7649"/>
    <w:rsid w:val="004C77D8"/>
    <w:rsid w:val="004C7A20"/>
    <w:rsid w:val="004C7C54"/>
    <w:rsid w:val="004C7CDA"/>
    <w:rsid w:val="004C7F2F"/>
    <w:rsid w:val="004D050B"/>
    <w:rsid w:val="004D083E"/>
    <w:rsid w:val="004D0B78"/>
    <w:rsid w:val="004D1745"/>
    <w:rsid w:val="004D199C"/>
    <w:rsid w:val="004D2361"/>
    <w:rsid w:val="004D24BD"/>
    <w:rsid w:val="004D298F"/>
    <w:rsid w:val="004D2A8B"/>
    <w:rsid w:val="004D2E14"/>
    <w:rsid w:val="004D2EFA"/>
    <w:rsid w:val="004D30DB"/>
    <w:rsid w:val="004D310E"/>
    <w:rsid w:val="004D3784"/>
    <w:rsid w:val="004D3A4D"/>
    <w:rsid w:val="004D4005"/>
    <w:rsid w:val="004D4315"/>
    <w:rsid w:val="004D438F"/>
    <w:rsid w:val="004D447A"/>
    <w:rsid w:val="004D44DC"/>
    <w:rsid w:val="004D462B"/>
    <w:rsid w:val="004D4683"/>
    <w:rsid w:val="004D4733"/>
    <w:rsid w:val="004D4B84"/>
    <w:rsid w:val="004D4D67"/>
    <w:rsid w:val="004D4E9B"/>
    <w:rsid w:val="004D4F95"/>
    <w:rsid w:val="004D5032"/>
    <w:rsid w:val="004D5055"/>
    <w:rsid w:val="004D5115"/>
    <w:rsid w:val="004D539D"/>
    <w:rsid w:val="004D56BC"/>
    <w:rsid w:val="004D595E"/>
    <w:rsid w:val="004D5A6C"/>
    <w:rsid w:val="004D5B6F"/>
    <w:rsid w:val="004D5D88"/>
    <w:rsid w:val="004D5DA8"/>
    <w:rsid w:val="004D5DCA"/>
    <w:rsid w:val="004D61F9"/>
    <w:rsid w:val="004D62E3"/>
    <w:rsid w:val="004D64BD"/>
    <w:rsid w:val="004D6687"/>
    <w:rsid w:val="004D6B05"/>
    <w:rsid w:val="004D6BDC"/>
    <w:rsid w:val="004D6DD7"/>
    <w:rsid w:val="004D6E05"/>
    <w:rsid w:val="004D6E91"/>
    <w:rsid w:val="004D6FE1"/>
    <w:rsid w:val="004D7083"/>
    <w:rsid w:val="004D7223"/>
    <w:rsid w:val="004D73F7"/>
    <w:rsid w:val="004D77D4"/>
    <w:rsid w:val="004D7A7C"/>
    <w:rsid w:val="004D7B43"/>
    <w:rsid w:val="004D7B60"/>
    <w:rsid w:val="004D7C82"/>
    <w:rsid w:val="004D7D3C"/>
    <w:rsid w:val="004E0018"/>
    <w:rsid w:val="004E0291"/>
    <w:rsid w:val="004E0299"/>
    <w:rsid w:val="004E0306"/>
    <w:rsid w:val="004E0376"/>
    <w:rsid w:val="004E040C"/>
    <w:rsid w:val="004E0596"/>
    <w:rsid w:val="004E07AF"/>
    <w:rsid w:val="004E0ACF"/>
    <w:rsid w:val="004E1177"/>
    <w:rsid w:val="004E117B"/>
    <w:rsid w:val="004E12BC"/>
    <w:rsid w:val="004E1356"/>
    <w:rsid w:val="004E15DA"/>
    <w:rsid w:val="004E1776"/>
    <w:rsid w:val="004E196D"/>
    <w:rsid w:val="004E1B77"/>
    <w:rsid w:val="004E1D72"/>
    <w:rsid w:val="004E21E7"/>
    <w:rsid w:val="004E2797"/>
    <w:rsid w:val="004E28C9"/>
    <w:rsid w:val="004E2A29"/>
    <w:rsid w:val="004E2F29"/>
    <w:rsid w:val="004E3224"/>
    <w:rsid w:val="004E34EA"/>
    <w:rsid w:val="004E352B"/>
    <w:rsid w:val="004E366A"/>
    <w:rsid w:val="004E36AC"/>
    <w:rsid w:val="004E37E8"/>
    <w:rsid w:val="004E3B7B"/>
    <w:rsid w:val="004E3F25"/>
    <w:rsid w:val="004E4195"/>
    <w:rsid w:val="004E41DC"/>
    <w:rsid w:val="004E44AC"/>
    <w:rsid w:val="004E44FA"/>
    <w:rsid w:val="004E46D6"/>
    <w:rsid w:val="004E4866"/>
    <w:rsid w:val="004E486D"/>
    <w:rsid w:val="004E519E"/>
    <w:rsid w:val="004E5255"/>
    <w:rsid w:val="004E5294"/>
    <w:rsid w:val="004E5323"/>
    <w:rsid w:val="004E545A"/>
    <w:rsid w:val="004E5554"/>
    <w:rsid w:val="004E55D7"/>
    <w:rsid w:val="004E5F73"/>
    <w:rsid w:val="004E630C"/>
    <w:rsid w:val="004E6773"/>
    <w:rsid w:val="004E6D78"/>
    <w:rsid w:val="004E6E73"/>
    <w:rsid w:val="004E700C"/>
    <w:rsid w:val="004E713C"/>
    <w:rsid w:val="004E714B"/>
    <w:rsid w:val="004E7279"/>
    <w:rsid w:val="004E7280"/>
    <w:rsid w:val="004E7641"/>
    <w:rsid w:val="004E7951"/>
    <w:rsid w:val="004E7B73"/>
    <w:rsid w:val="004F009E"/>
    <w:rsid w:val="004F010A"/>
    <w:rsid w:val="004F041C"/>
    <w:rsid w:val="004F041D"/>
    <w:rsid w:val="004F04C3"/>
    <w:rsid w:val="004F05A2"/>
    <w:rsid w:val="004F095B"/>
    <w:rsid w:val="004F13EA"/>
    <w:rsid w:val="004F149E"/>
    <w:rsid w:val="004F1F94"/>
    <w:rsid w:val="004F20BA"/>
    <w:rsid w:val="004F211E"/>
    <w:rsid w:val="004F2142"/>
    <w:rsid w:val="004F217B"/>
    <w:rsid w:val="004F2396"/>
    <w:rsid w:val="004F2469"/>
    <w:rsid w:val="004F24E9"/>
    <w:rsid w:val="004F2C33"/>
    <w:rsid w:val="004F2F05"/>
    <w:rsid w:val="004F2F86"/>
    <w:rsid w:val="004F3014"/>
    <w:rsid w:val="004F308C"/>
    <w:rsid w:val="004F30B7"/>
    <w:rsid w:val="004F30C6"/>
    <w:rsid w:val="004F326D"/>
    <w:rsid w:val="004F326F"/>
    <w:rsid w:val="004F3399"/>
    <w:rsid w:val="004F354E"/>
    <w:rsid w:val="004F356F"/>
    <w:rsid w:val="004F3875"/>
    <w:rsid w:val="004F3A57"/>
    <w:rsid w:val="004F3AEA"/>
    <w:rsid w:val="004F3BD1"/>
    <w:rsid w:val="004F3BDF"/>
    <w:rsid w:val="004F3D45"/>
    <w:rsid w:val="004F439B"/>
    <w:rsid w:val="004F4410"/>
    <w:rsid w:val="004F4441"/>
    <w:rsid w:val="004F4AAE"/>
    <w:rsid w:val="004F4C18"/>
    <w:rsid w:val="004F4D34"/>
    <w:rsid w:val="004F4DD1"/>
    <w:rsid w:val="004F4E2E"/>
    <w:rsid w:val="004F4FEF"/>
    <w:rsid w:val="004F51DD"/>
    <w:rsid w:val="004F53E9"/>
    <w:rsid w:val="004F5421"/>
    <w:rsid w:val="004F5442"/>
    <w:rsid w:val="004F566C"/>
    <w:rsid w:val="004F5783"/>
    <w:rsid w:val="004F578B"/>
    <w:rsid w:val="004F5BEE"/>
    <w:rsid w:val="004F5FF6"/>
    <w:rsid w:val="004F6178"/>
    <w:rsid w:val="004F6538"/>
    <w:rsid w:val="004F6544"/>
    <w:rsid w:val="004F6905"/>
    <w:rsid w:val="004F697E"/>
    <w:rsid w:val="004F6A33"/>
    <w:rsid w:val="004F6BBD"/>
    <w:rsid w:val="004F6F38"/>
    <w:rsid w:val="004F6F5C"/>
    <w:rsid w:val="004F739B"/>
    <w:rsid w:val="004F7514"/>
    <w:rsid w:val="004F79CF"/>
    <w:rsid w:val="004F7E43"/>
    <w:rsid w:val="004F7EF6"/>
    <w:rsid w:val="0050000E"/>
    <w:rsid w:val="00500160"/>
    <w:rsid w:val="0050017C"/>
    <w:rsid w:val="00500345"/>
    <w:rsid w:val="00500510"/>
    <w:rsid w:val="005005BC"/>
    <w:rsid w:val="00500BBD"/>
    <w:rsid w:val="00500E3B"/>
    <w:rsid w:val="00500EC1"/>
    <w:rsid w:val="00500FFC"/>
    <w:rsid w:val="00501043"/>
    <w:rsid w:val="005016DB"/>
    <w:rsid w:val="0050171B"/>
    <w:rsid w:val="005017C7"/>
    <w:rsid w:val="005017EF"/>
    <w:rsid w:val="00502105"/>
    <w:rsid w:val="00502286"/>
    <w:rsid w:val="005026DC"/>
    <w:rsid w:val="005027C6"/>
    <w:rsid w:val="00502FFC"/>
    <w:rsid w:val="005030C1"/>
    <w:rsid w:val="005031A4"/>
    <w:rsid w:val="005031C8"/>
    <w:rsid w:val="005034D6"/>
    <w:rsid w:val="005034E9"/>
    <w:rsid w:val="00504155"/>
    <w:rsid w:val="00504696"/>
    <w:rsid w:val="00504BC1"/>
    <w:rsid w:val="00504F43"/>
    <w:rsid w:val="005050C6"/>
    <w:rsid w:val="00505248"/>
    <w:rsid w:val="00505364"/>
    <w:rsid w:val="00505449"/>
    <w:rsid w:val="00505E3E"/>
    <w:rsid w:val="005060C3"/>
    <w:rsid w:val="0050618D"/>
    <w:rsid w:val="00506379"/>
    <w:rsid w:val="005064DD"/>
    <w:rsid w:val="0050672C"/>
    <w:rsid w:val="0050683D"/>
    <w:rsid w:val="00506E34"/>
    <w:rsid w:val="0050719E"/>
    <w:rsid w:val="00507274"/>
    <w:rsid w:val="005077A3"/>
    <w:rsid w:val="0050794D"/>
    <w:rsid w:val="00507C19"/>
    <w:rsid w:val="00507C78"/>
    <w:rsid w:val="00507F67"/>
    <w:rsid w:val="0051007E"/>
    <w:rsid w:val="005100E8"/>
    <w:rsid w:val="005101F9"/>
    <w:rsid w:val="0051043B"/>
    <w:rsid w:val="00510582"/>
    <w:rsid w:val="005106F9"/>
    <w:rsid w:val="005107B3"/>
    <w:rsid w:val="00510D11"/>
    <w:rsid w:val="00511602"/>
    <w:rsid w:val="00511EF5"/>
    <w:rsid w:val="005120DE"/>
    <w:rsid w:val="0051247E"/>
    <w:rsid w:val="005125E0"/>
    <w:rsid w:val="005126C3"/>
    <w:rsid w:val="00512802"/>
    <w:rsid w:val="0051289C"/>
    <w:rsid w:val="00512C2D"/>
    <w:rsid w:val="00513067"/>
    <w:rsid w:val="00513610"/>
    <w:rsid w:val="0051371F"/>
    <w:rsid w:val="00513760"/>
    <w:rsid w:val="005144D7"/>
    <w:rsid w:val="005144DC"/>
    <w:rsid w:val="005144E2"/>
    <w:rsid w:val="005148B2"/>
    <w:rsid w:val="00514ED2"/>
    <w:rsid w:val="00514FDD"/>
    <w:rsid w:val="00515047"/>
    <w:rsid w:val="005150AD"/>
    <w:rsid w:val="0051511F"/>
    <w:rsid w:val="00515157"/>
    <w:rsid w:val="005151A0"/>
    <w:rsid w:val="00515231"/>
    <w:rsid w:val="005152B6"/>
    <w:rsid w:val="005153BC"/>
    <w:rsid w:val="005153DA"/>
    <w:rsid w:val="005153EA"/>
    <w:rsid w:val="005154FE"/>
    <w:rsid w:val="005156E0"/>
    <w:rsid w:val="0051579F"/>
    <w:rsid w:val="0051583B"/>
    <w:rsid w:val="005158C6"/>
    <w:rsid w:val="00515BCE"/>
    <w:rsid w:val="00515D44"/>
    <w:rsid w:val="00515D9B"/>
    <w:rsid w:val="00515FB9"/>
    <w:rsid w:val="005163EB"/>
    <w:rsid w:val="005166FB"/>
    <w:rsid w:val="00516AC2"/>
    <w:rsid w:val="00516C0F"/>
    <w:rsid w:val="00517203"/>
    <w:rsid w:val="005173B1"/>
    <w:rsid w:val="005173E8"/>
    <w:rsid w:val="005178D4"/>
    <w:rsid w:val="00517998"/>
    <w:rsid w:val="00517B45"/>
    <w:rsid w:val="00517B59"/>
    <w:rsid w:val="00517F1B"/>
    <w:rsid w:val="00520090"/>
    <w:rsid w:val="0052063B"/>
    <w:rsid w:val="00520641"/>
    <w:rsid w:val="00520660"/>
    <w:rsid w:val="005207CF"/>
    <w:rsid w:val="00520CCB"/>
    <w:rsid w:val="005210A6"/>
    <w:rsid w:val="005211AB"/>
    <w:rsid w:val="005212E8"/>
    <w:rsid w:val="005212FC"/>
    <w:rsid w:val="00521A07"/>
    <w:rsid w:val="00521CF8"/>
    <w:rsid w:val="00522251"/>
    <w:rsid w:val="00522401"/>
    <w:rsid w:val="00522456"/>
    <w:rsid w:val="0052258B"/>
    <w:rsid w:val="0052261D"/>
    <w:rsid w:val="005226FE"/>
    <w:rsid w:val="005227C0"/>
    <w:rsid w:val="005229AE"/>
    <w:rsid w:val="00522C4B"/>
    <w:rsid w:val="00522C81"/>
    <w:rsid w:val="00522CA7"/>
    <w:rsid w:val="00522D41"/>
    <w:rsid w:val="00522EEB"/>
    <w:rsid w:val="005231FE"/>
    <w:rsid w:val="00523238"/>
    <w:rsid w:val="005232E8"/>
    <w:rsid w:val="005236D3"/>
    <w:rsid w:val="00523ED9"/>
    <w:rsid w:val="00524084"/>
    <w:rsid w:val="00524479"/>
    <w:rsid w:val="00524645"/>
    <w:rsid w:val="005246EF"/>
    <w:rsid w:val="0052495F"/>
    <w:rsid w:val="00524A3A"/>
    <w:rsid w:val="00524FD5"/>
    <w:rsid w:val="005252DC"/>
    <w:rsid w:val="00525309"/>
    <w:rsid w:val="0052536F"/>
    <w:rsid w:val="005256C3"/>
    <w:rsid w:val="005257B7"/>
    <w:rsid w:val="00525C30"/>
    <w:rsid w:val="00526126"/>
    <w:rsid w:val="005261BF"/>
    <w:rsid w:val="005261F3"/>
    <w:rsid w:val="005262A8"/>
    <w:rsid w:val="0052648A"/>
    <w:rsid w:val="005270F3"/>
    <w:rsid w:val="00527212"/>
    <w:rsid w:val="00527771"/>
    <w:rsid w:val="00527772"/>
    <w:rsid w:val="00527844"/>
    <w:rsid w:val="00527984"/>
    <w:rsid w:val="00527A16"/>
    <w:rsid w:val="00527A1A"/>
    <w:rsid w:val="00527C53"/>
    <w:rsid w:val="00527C81"/>
    <w:rsid w:val="00527D49"/>
    <w:rsid w:val="00527DE1"/>
    <w:rsid w:val="0053093A"/>
    <w:rsid w:val="00530AF8"/>
    <w:rsid w:val="00530DC8"/>
    <w:rsid w:val="0053214C"/>
    <w:rsid w:val="005322E7"/>
    <w:rsid w:val="005322F7"/>
    <w:rsid w:val="0053245D"/>
    <w:rsid w:val="005326D9"/>
    <w:rsid w:val="005328DD"/>
    <w:rsid w:val="00532999"/>
    <w:rsid w:val="00532C59"/>
    <w:rsid w:val="005334A7"/>
    <w:rsid w:val="00533540"/>
    <w:rsid w:val="00533767"/>
    <w:rsid w:val="005337DE"/>
    <w:rsid w:val="00533A07"/>
    <w:rsid w:val="00533A97"/>
    <w:rsid w:val="00533B43"/>
    <w:rsid w:val="00533C14"/>
    <w:rsid w:val="00533C16"/>
    <w:rsid w:val="00533D10"/>
    <w:rsid w:val="00533D3E"/>
    <w:rsid w:val="00533D54"/>
    <w:rsid w:val="00533F32"/>
    <w:rsid w:val="00534196"/>
    <w:rsid w:val="00534454"/>
    <w:rsid w:val="00534475"/>
    <w:rsid w:val="00534589"/>
    <w:rsid w:val="0053465A"/>
    <w:rsid w:val="0053473E"/>
    <w:rsid w:val="005348CB"/>
    <w:rsid w:val="00534AE1"/>
    <w:rsid w:val="00534BCA"/>
    <w:rsid w:val="00534CCF"/>
    <w:rsid w:val="00534FA0"/>
    <w:rsid w:val="0053565C"/>
    <w:rsid w:val="0053583F"/>
    <w:rsid w:val="005358C9"/>
    <w:rsid w:val="00535A4A"/>
    <w:rsid w:val="00535C15"/>
    <w:rsid w:val="005360BF"/>
    <w:rsid w:val="00536C00"/>
    <w:rsid w:val="00536F0B"/>
    <w:rsid w:val="00536F67"/>
    <w:rsid w:val="00537454"/>
    <w:rsid w:val="00537A9C"/>
    <w:rsid w:val="00537B84"/>
    <w:rsid w:val="00537B93"/>
    <w:rsid w:val="00537C1A"/>
    <w:rsid w:val="00537F26"/>
    <w:rsid w:val="0054033A"/>
    <w:rsid w:val="00540557"/>
    <w:rsid w:val="005405A7"/>
    <w:rsid w:val="00540619"/>
    <w:rsid w:val="00540694"/>
    <w:rsid w:val="00540F1C"/>
    <w:rsid w:val="005410EB"/>
    <w:rsid w:val="00541400"/>
    <w:rsid w:val="00541699"/>
    <w:rsid w:val="005419EA"/>
    <w:rsid w:val="00541BDB"/>
    <w:rsid w:val="00541BEB"/>
    <w:rsid w:val="00541D1D"/>
    <w:rsid w:val="00541E53"/>
    <w:rsid w:val="005420A6"/>
    <w:rsid w:val="00542618"/>
    <w:rsid w:val="00542997"/>
    <w:rsid w:val="00542B1E"/>
    <w:rsid w:val="0054349D"/>
    <w:rsid w:val="005435C0"/>
    <w:rsid w:val="0054362F"/>
    <w:rsid w:val="00543974"/>
    <w:rsid w:val="00543B11"/>
    <w:rsid w:val="00543DB7"/>
    <w:rsid w:val="005442E8"/>
    <w:rsid w:val="005448EF"/>
    <w:rsid w:val="00544A65"/>
    <w:rsid w:val="00544C37"/>
    <w:rsid w:val="00544DF1"/>
    <w:rsid w:val="005451CA"/>
    <w:rsid w:val="0054529D"/>
    <w:rsid w:val="00545308"/>
    <w:rsid w:val="005454B1"/>
    <w:rsid w:val="005456E8"/>
    <w:rsid w:val="00545AE5"/>
    <w:rsid w:val="00545B58"/>
    <w:rsid w:val="00546388"/>
    <w:rsid w:val="005463D4"/>
    <w:rsid w:val="00546550"/>
    <w:rsid w:val="005466C8"/>
    <w:rsid w:val="00546BF1"/>
    <w:rsid w:val="00546FB9"/>
    <w:rsid w:val="00547251"/>
    <w:rsid w:val="005475C1"/>
    <w:rsid w:val="005477F7"/>
    <w:rsid w:val="005478BA"/>
    <w:rsid w:val="005478ED"/>
    <w:rsid w:val="005479FF"/>
    <w:rsid w:val="00550136"/>
    <w:rsid w:val="005504F0"/>
    <w:rsid w:val="005508F2"/>
    <w:rsid w:val="00550FA9"/>
    <w:rsid w:val="005515B3"/>
    <w:rsid w:val="005516F2"/>
    <w:rsid w:val="00551827"/>
    <w:rsid w:val="00551839"/>
    <w:rsid w:val="005518ED"/>
    <w:rsid w:val="00551922"/>
    <w:rsid w:val="005519FE"/>
    <w:rsid w:val="00551BA0"/>
    <w:rsid w:val="00551CFA"/>
    <w:rsid w:val="00552086"/>
    <w:rsid w:val="005524B2"/>
    <w:rsid w:val="00552A75"/>
    <w:rsid w:val="00552EFC"/>
    <w:rsid w:val="005530D5"/>
    <w:rsid w:val="005530FA"/>
    <w:rsid w:val="00553329"/>
    <w:rsid w:val="0055335E"/>
    <w:rsid w:val="00553471"/>
    <w:rsid w:val="00553D61"/>
    <w:rsid w:val="00553D83"/>
    <w:rsid w:val="005540AA"/>
    <w:rsid w:val="005543DF"/>
    <w:rsid w:val="00554925"/>
    <w:rsid w:val="005549E7"/>
    <w:rsid w:val="00554B90"/>
    <w:rsid w:val="00554EE4"/>
    <w:rsid w:val="00554F31"/>
    <w:rsid w:val="005552B5"/>
    <w:rsid w:val="00555666"/>
    <w:rsid w:val="005556B8"/>
    <w:rsid w:val="0055594A"/>
    <w:rsid w:val="00555994"/>
    <w:rsid w:val="00555C4B"/>
    <w:rsid w:val="00555CDF"/>
    <w:rsid w:val="005560F4"/>
    <w:rsid w:val="005561B9"/>
    <w:rsid w:val="005562EA"/>
    <w:rsid w:val="00556568"/>
    <w:rsid w:val="00556783"/>
    <w:rsid w:val="0055680F"/>
    <w:rsid w:val="005569C8"/>
    <w:rsid w:val="005569E9"/>
    <w:rsid w:val="00556D61"/>
    <w:rsid w:val="005575CC"/>
    <w:rsid w:val="00557707"/>
    <w:rsid w:val="00557937"/>
    <w:rsid w:val="00557BFA"/>
    <w:rsid w:val="00557D1D"/>
    <w:rsid w:val="00557D99"/>
    <w:rsid w:val="00557EC0"/>
    <w:rsid w:val="005603F8"/>
    <w:rsid w:val="00560462"/>
    <w:rsid w:val="0056064F"/>
    <w:rsid w:val="0056085E"/>
    <w:rsid w:val="0056091F"/>
    <w:rsid w:val="00560D90"/>
    <w:rsid w:val="0056129C"/>
    <w:rsid w:val="00561362"/>
    <w:rsid w:val="0056145F"/>
    <w:rsid w:val="00561752"/>
    <w:rsid w:val="00561873"/>
    <w:rsid w:val="005618CC"/>
    <w:rsid w:val="00561BDD"/>
    <w:rsid w:val="00561C3B"/>
    <w:rsid w:val="00561C43"/>
    <w:rsid w:val="00562171"/>
    <w:rsid w:val="00562530"/>
    <w:rsid w:val="0056254E"/>
    <w:rsid w:val="00562759"/>
    <w:rsid w:val="00562790"/>
    <w:rsid w:val="00562C46"/>
    <w:rsid w:val="00562DC9"/>
    <w:rsid w:val="00562E65"/>
    <w:rsid w:val="00562FE4"/>
    <w:rsid w:val="0056343B"/>
    <w:rsid w:val="00563792"/>
    <w:rsid w:val="005637A8"/>
    <w:rsid w:val="00563C82"/>
    <w:rsid w:val="00564019"/>
    <w:rsid w:val="00564387"/>
    <w:rsid w:val="005643E7"/>
    <w:rsid w:val="00564406"/>
    <w:rsid w:val="0056441B"/>
    <w:rsid w:val="005644EC"/>
    <w:rsid w:val="00564576"/>
    <w:rsid w:val="00564589"/>
    <w:rsid w:val="005645AA"/>
    <w:rsid w:val="005649DD"/>
    <w:rsid w:val="00564AB8"/>
    <w:rsid w:val="00564B17"/>
    <w:rsid w:val="00564C2C"/>
    <w:rsid w:val="00564D48"/>
    <w:rsid w:val="00565045"/>
    <w:rsid w:val="005650A1"/>
    <w:rsid w:val="005651D3"/>
    <w:rsid w:val="0056527A"/>
    <w:rsid w:val="0056551A"/>
    <w:rsid w:val="0056570E"/>
    <w:rsid w:val="00565AE7"/>
    <w:rsid w:val="00565C06"/>
    <w:rsid w:val="00565D74"/>
    <w:rsid w:val="00565E74"/>
    <w:rsid w:val="00565F83"/>
    <w:rsid w:val="00566111"/>
    <w:rsid w:val="00566336"/>
    <w:rsid w:val="005667B3"/>
    <w:rsid w:val="00566997"/>
    <w:rsid w:val="00566A61"/>
    <w:rsid w:val="00566C26"/>
    <w:rsid w:val="00566C6A"/>
    <w:rsid w:val="00567026"/>
    <w:rsid w:val="00567094"/>
    <w:rsid w:val="005671AE"/>
    <w:rsid w:val="0056733F"/>
    <w:rsid w:val="0056776A"/>
    <w:rsid w:val="005678EC"/>
    <w:rsid w:val="00567A6E"/>
    <w:rsid w:val="00567DD9"/>
    <w:rsid w:val="00567DF9"/>
    <w:rsid w:val="00567FA2"/>
    <w:rsid w:val="005701AC"/>
    <w:rsid w:val="00570203"/>
    <w:rsid w:val="00570A6B"/>
    <w:rsid w:val="00570B25"/>
    <w:rsid w:val="00570F32"/>
    <w:rsid w:val="005715C6"/>
    <w:rsid w:val="005716A1"/>
    <w:rsid w:val="00571AD8"/>
    <w:rsid w:val="00572602"/>
    <w:rsid w:val="00572A3D"/>
    <w:rsid w:val="00572B8C"/>
    <w:rsid w:val="005731E9"/>
    <w:rsid w:val="0057322C"/>
    <w:rsid w:val="00573514"/>
    <w:rsid w:val="005739C3"/>
    <w:rsid w:val="00573A3B"/>
    <w:rsid w:val="005740C3"/>
    <w:rsid w:val="005740D1"/>
    <w:rsid w:val="0057444C"/>
    <w:rsid w:val="00574504"/>
    <w:rsid w:val="00574655"/>
    <w:rsid w:val="00574855"/>
    <w:rsid w:val="00575022"/>
    <w:rsid w:val="005751F1"/>
    <w:rsid w:val="0057549B"/>
    <w:rsid w:val="0057557E"/>
    <w:rsid w:val="00575ABC"/>
    <w:rsid w:val="00575C14"/>
    <w:rsid w:val="005762A5"/>
    <w:rsid w:val="005769F0"/>
    <w:rsid w:val="00576D16"/>
    <w:rsid w:val="00576DB1"/>
    <w:rsid w:val="00576F01"/>
    <w:rsid w:val="00577102"/>
    <w:rsid w:val="00577333"/>
    <w:rsid w:val="00577558"/>
    <w:rsid w:val="005777BD"/>
    <w:rsid w:val="00577A52"/>
    <w:rsid w:val="00577AE0"/>
    <w:rsid w:val="00577B11"/>
    <w:rsid w:val="00577BD0"/>
    <w:rsid w:val="00577F21"/>
    <w:rsid w:val="00577F51"/>
    <w:rsid w:val="00577F7B"/>
    <w:rsid w:val="00577FAF"/>
    <w:rsid w:val="0058009A"/>
    <w:rsid w:val="005802DD"/>
    <w:rsid w:val="00580785"/>
    <w:rsid w:val="00580CE9"/>
    <w:rsid w:val="00580EB2"/>
    <w:rsid w:val="00581140"/>
    <w:rsid w:val="0058157C"/>
    <w:rsid w:val="00581AFB"/>
    <w:rsid w:val="00581BCF"/>
    <w:rsid w:val="00581C23"/>
    <w:rsid w:val="00581C6C"/>
    <w:rsid w:val="00581E2B"/>
    <w:rsid w:val="00581ED4"/>
    <w:rsid w:val="00581F20"/>
    <w:rsid w:val="00582146"/>
    <w:rsid w:val="0058227B"/>
    <w:rsid w:val="005826EF"/>
    <w:rsid w:val="005827B4"/>
    <w:rsid w:val="0058295C"/>
    <w:rsid w:val="005829A8"/>
    <w:rsid w:val="00582D3C"/>
    <w:rsid w:val="0058300C"/>
    <w:rsid w:val="00583013"/>
    <w:rsid w:val="00583061"/>
    <w:rsid w:val="005831EC"/>
    <w:rsid w:val="005835B0"/>
    <w:rsid w:val="005837AC"/>
    <w:rsid w:val="00583B60"/>
    <w:rsid w:val="00583B9C"/>
    <w:rsid w:val="00583CFD"/>
    <w:rsid w:val="00583D72"/>
    <w:rsid w:val="00583DA6"/>
    <w:rsid w:val="00583EA1"/>
    <w:rsid w:val="0058405D"/>
    <w:rsid w:val="00584383"/>
    <w:rsid w:val="005844D7"/>
    <w:rsid w:val="00584A1D"/>
    <w:rsid w:val="00584AB1"/>
    <w:rsid w:val="00584DF5"/>
    <w:rsid w:val="00584EE8"/>
    <w:rsid w:val="00584F46"/>
    <w:rsid w:val="00585075"/>
    <w:rsid w:val="005852FE"/>
    <w:rsid w:val="00585380"/>
    <w:rsid w:val="0058585B"/>
    <w:rsid w:val="00585A82"/>
    <w:rsid w:val="00585BEF"/>
    <w:rsid w:val="005860CB"/>
    <w:rsid w:val="00586342"/>
    <w:rsid w:val="00586499"/>
    <w:rsid w:val="00586563"/>
    <w:rsid w:val="00586901"/>
    <w:rsid w:val="00586E54"/>
    <w:rsid w:val="005871B4"/>
    <w:rsid w:val="0058745E"/>
    <w:rsid w:val="0058749D"/>
    <w:rsid w:val="005875A6"/>
    <w:rsid w:val="005876D5"/>
    <w:rsid w:val="00587731"/>
    <w:rsid w:val="00587E16"/>
    <w:rsid w:val="0059023B"/>
    <w:rsid w:val="0059054C"/>
    <w:rsid w:val="005905CB"/>
    <w:rsid w:val="00590A04"/>
    <w:rsid w:val="00590C48"/>
    <w:rsid w:val="00590C5B"/>
    <w:rsid w:val="00590CA0"/>
    <w:rsid w:val="00590CE7"/>
    <w:rsid w:val="00590E39"/>
    <w:rsid w:val="00591224"/>
    <w:rsid w:val="005912DE"/>
    <w:rsid w:val="005916CF"/>
    <w:rsid w:val="0059186F"/>
    <w:rsid w:val="005919B5"/>
    <w:rsid w:val="005919CE"/>
    <w:rsid w:val="00591B9B"/>
    <w:rsid w:val="0059202B"/>
    <w:rsid w:val="00592164"/>
    <w:rsid w:val="00592185"/>
    <w:rsid w:val="005922AD"/>
    <w:rsid w:val="0059256A"/>
    <w:rsid w:val="0059257E"/>
    <w:rsid w:val="00592742"/>
    <w:rsid w:val="00592881"/>
    <w:rsid w:val="0059288F"/>
    <w:rsid w:val="00592FD5"/>
    <w:rsid w:val="00593236"/>
    <w:rsid w:val="00593709"/>
    <w:rsid w:val="0059377F"/>
    <w:rsid w:val="00593989"/>
    <w:rsid w:val="00593EB4"/>
    <w:rsid w:val="00594508"/>
    <w:rsid w:val="0059464F"/>
    <w:rsid w:val="0059475C"/>
    <w:rsid w:val="00594840"/>
    <w:rsid w:val="0059485A"/>
    <w:rsid w:val="00594EB2"/>
    <w:rsid w:val="00594FA3"/>
    <w:rsid w:val="00594FDF"/>
    <w:rsid w:val="005951EF"/>
    <w:rsid w:val="0059525B"/>
    <w:rsid w:val="00595299"/>
    <w:rsid w:val="00595628"/>
    <w:rsid w:val="00595782"/>
    <w:rsid w:val="00595A1F"/>
    <w:rsid w:val="00595D2A"/>
    <w:rsid w:val="00596161"/>
    <w:rsid w:val="005964E4"/>
    <w:rsid w:val="0059655F"/>
    <w:rsid w:val="00596561"/>
    <w:rsid w:val="00596714"/>
    <w:rsid w:val="00596962"/>
    <w:rsid w:val="00596A76"/>
    <w:rsid w:val="00596AA6"/>
    <w:rsid w:val="00597103"/>
    <w:rsid w:val="00597197"/>
    <w:rsid w:val="0059761B"/>
    <w:rsid w:val="0059779F"/>
    <w:rsid w:val="005977DE"/>
    <w:rsid w:val="005A009D"/>
    <w:rsid w:val="005A027C"/>
    <w:rsid w:val="005A05D3"/>
    <w:rsid w:val="005A07C5"/>
    <w:rsid w:val="005A081F"/>
    <w:rsid w:val="005A0C8D"/>
    <w:rsid w:val="005A0D2A"/>
    <w:rsid w:val="005A1136"/>
    <w:rsid w:val="005A1291"/>
    <w:rsid w:val="005A1397"/>
    <w:rsid w:val="005A14A3"/>
    <w:rsid w:val="005A1543"/>
    <w:rsid w:val="005A17B5"/>
    <w:rsid w:val="005A1853"/>
    <w:rsid w:val="005A189C"/>
    <w:rsid w:val="005A1A7B"/>
    <w:rsid w:val="005A1DC7"/>
    <w:rsid w:val="005A1F5C"/>
    <w:rsid w:val="005A2219"/>
    <w:rsid w:val="005A2384"/>
    <w:rsid w:val="005A23C5"/>
    <w:rsid w:val="005A2A38"/>
    <w:rsid w:val="005A3268"/>
    <w:rsid w:val="005A32F0"/>
    <w:rsid w:val="005A338F"/>
    <w:rsid w:val="005A34CE"/>
    <w:rsid w:val="005A3803"/>
    <w:rsid w:val="005A3A42"/>
    <w:rsid w:val="005A3A7C"/>
    <w:rsid w:val="005A3CE2"/>
    <w:rsid w:val="005A3D2D"/>
    <w:rsid w:val="005A4011"/>
    <w:rsid w:val="005A4190"/>
    <w:rsid w:val="005A427F"/>
    <w:rsid w:val="005A4319"/>
    <w:rsid w:val="005A4408"/>
    <w:rsid w:val="005A45B1"/>
    <w:rsid w:val="005A465A"/>
    <w:rsid w:val="005A4873"/>
    <w:rsid w:val="005A494F"/>
    <w:rsid w:val="005A4C46"/>
    <w:rsid w:val="005A4CFB"/>
    <w:rsid w:val="005A4E21"/>
    <w:rsid w:val="005A52B1"/>
    <w:rsid w:val="005A5330"/>
    <w:rsid w:val="005A5474"/>
    <w:rsid w:val="005A5592"/>
    <w:rsid w:val="005A5697"/>
    <w:rsid w:val="005A5864"/>
    <w:rsid w:val="005A5A1F"/>
    <w:rsid w:val="005A5A49"/>
    <w:rsid w:val="005A5C24"/>
    <w:rsid w:val="005A5D2E"/>
    <w:rsid w:val="005A5E64"/>
    <w:rsid w:val="005A5FEA"/>
    <w:rsid w:val="005A61C6"/>
    <w:rsid w:val="005A6232"/>
    <w:rsid w:val="005A6310"/>
    <w:rsid w:val="005A647C"/>
    <w:rsid w:val="005A6537"/>
    <w:rsid w:val="005A657D"/>
    <w:rsid w:val="005A6893"/>
    <w:rsid w:val="005A68C9"/>
    <w:rsid w:val="005A6A25"/>
    <w:rsid w:val="005A6A44"/>
    <w:rsid w:val="005A6D93"/>
    <w:rsid w:val="005A6F8D"/>
    <w:rsid w:val="005A70BD"/>
    <w:rsid w:val="005A720A"/>
    <w:rsid w:val="005A7222"/>
    <w:rsid w:val="005A7772"/>
    <w:rsid w:val="005A785B"/>
    <w:rsid w:val="005A7864"/>
    <w:rsid w:val="005A78C2"/>
    <w:rsid w:val="005A7CE4"/>
    <w:rsid w:val="005A7EAD"/>
    <w:rsid w:val="005A7F16"/>
    <w:rsid w:val="005A7FC8"/>
    <w:rsid w:val="005B0020"/>
    <w:rsid w:val="005B0695"/>
    <w:rsid w:val="005B074B"/>
    <w:rsid w:val="005B1494"/>
    <w:rsid w:val="005B15C4"/>
    <w:rsid w:val="005B1BB7"/>
    <w:rsid w:val="005B1BF4"/>
    <w:rsid w:val="005B1CD8"/>
    <w:rsid w:val="005B2125"/>
    <w:rsid w:val="005B2160"/>
    <w:rsid w:val="005B2260"/>
    <w:rsid w:val="005B23E8"/>
    <w:rsid w:val="005B268A"/>
    <w:rsid w:val="005B2C3B"/>
    <w:rsid w:val="005B2F36"/>
    <w:rsid w:val="005B2F9E"/>
    <w:rsid w:val="005B3541"/>
    <w:rsid w:val="005B3554"/>
    <w:rsid w:val="005B35C0"/>
    <w:rsid w:val="005B384F"/>
    <w:rsid w:val="005B3A5C"/>
    <w:rsid w:val="005B3D39"/>
    <w:rsid w:val="005B3E90"/>
    <w:rsid w:val="005B45FC"/>
    <w:rsid w:val="005B4784"/>
    <w:rsid w:val="005B4AEC"/>
    <w:rsid w:val="005B4C1E"/>
    <w:rsid w:val="005B5046"/>
    <w:rsid w:val="005B53B0"/>
    <w:rsid w:val="005B57FA"/>
    <w:rsid w:val="005B58DD"/>
    <w:rsid w:val="005B5B25"/>
    <w:rsid w:val="005B5BD1"/>
    <w:rsid w:val="005B5DDF"/>
    <w:rsid w:val="005B67CD"/>
    <w:rsid w:val="005B6FE4"/>
    <w:rsid w:val="005B7153"/>
    <w:rsid w:val="005B7834"/>
    <w:rsid w:val="005B7B21"/>
    <w:rsid w:val="005B7BBF"/>
    <w:rsid w:val="005B7C4C"/>
    <w:rsid w:val="005C0B26"/>
    <w:rsid w:val="005C1091"/>
    <w:rsid w:val="005C1746"/>
    <w:rsid w:val="005C1808"/>
    <w:rsid w:val="005C1898"/>
    <w:rsid w:val="005C1929"/>
    <w:rsid w:val="005C1B29"/>
    <w:rsid w:val="005C1E44"/>
    <w:rsid w:val="005C1F4B"/>
    <w:rsid w:val="005C1FD6"/>
    <w:rsid w:val="005C2072"/>
    <w:rsid w:val="005C208C"/>
    <w:rsid w:val="005C227E"/>
    <w:rsid w:val="005C2347"/>
    <w:rsid w:val="005C25D9"/>
    <w:rsid w:val="005C2714"/>
    <w:rsid w:val="005C27C6"/>
    <w:rsid w:val="005C28ED"/>
    <w:rsid w:val="005C2D1F"/>
    <w:rsid w:val="005C2D59"/>
    <w:rsid w:val="005C2E84"/>
    <w:rsid w:val="005C2F3D"/>
    <w:rsid w:val="005C31E3"/>
    <w:rsid w:val="005C35C5"/>
    <w:rsid w:val="005C3954"/>
    <w:rsid w:val="005C3B26"/>
    <w:rsid w:val="005C3B2C"/>
    <w:rsid w:val="005C3C66"/>
    <w:rsid w:val="005C3E86"/>
    <w:rsid w:val="005C3EB6"/>
    <w:rsid w:val="005C3EBA"/>
    <w:rsid w:val="005C3F60"/>
    <w:rsid w:val="005C411C"/>
    <w:rsid w:val="005C439A"/>
    <w:rsid w:val="005C45B7"/>
    <w:rsid w:val="005C4782"/>
    <w:rsid w:val="005C4830"/>
    <w:rsid w:val="005C4967"/>
    <w:rsid w:val="005C49F5"/>
    <w:rsid w:val="005C4B20"/>
    <w:rsid w:val="005C4DE8"/>
    <w:rsid w:val="005C4ECA"/>
    <w:rsid w:val="005C5086"/>
    <w:rsid w:val="005C52A8"/>
    <w:rsid w:val="005C52E6"/>
    <w:rsid w:val="005C5307"/>
    <w:rsid w:val="005C5AC2"/>
    <w:rsid w:val="005C5C93"/>
    <w:rsid w:val="005C5CF7"/>
    <w:rsid w:val="005C5EE5"/>
    <w:rsid w:val="005C6030"/>
    <w:rsid w:val="005C6172"/>
    <w:rsid w:val="005C623D"/>
    <w:rsid w:val="005C6545"/>
    <w:rsid w:val="005C66D4"/>
    <w:rsid w:val="005C677F"/>
    <w:rsid w:val="005C6B95"/>
    <w:rsid w:val="005C6C1C"/>
    <w:rsid w:val="005C6CCC"/>
    <w:rsid w:val="005C70EB"/>
    <w:rsid w:val="005C71D8"/>
    <w:rsid w:val="005C72A8"/>
    <w:rsid w:val="005C7425"/>
    <w:rsid w:val="005C775A"/>
    <w:rsid w:val="005C794F"/>
    <w:rsid w:val="005C7C47"/>
    <w:rsid w:val="005C7C94"/>
    <w:rsid w:val="005C7F21"/>
    <w:rsid w:val="005D014B"/>
    <w:rsid w:val="005D01F6"/>
    <w:rsid w:val="005D02BA"/>
    <w:rsid w:val="005D0328"/>
    <w:rsid w:val="005D0370"/>
    <w:rsid w:val="005D06B1"/>
    <w:rsid w:val="005D06EB"/>
    <w:rsid w:val="005D0AA5"/>
    <w:rsid w:val="005D0E16"/>
    <w:rsid w:val="005D1518"/>
    <w:rsid w:val="005D15A1"/>
    <w:rsid w:val="005D18CD"/>
    <w:rsid w:val="005D191E"/>
    <w:rsid w:val="005D1C14"/>
    <w:rsid w:val="005D1D1C"/>
    <w:rsid w:val="005D1DAD"/>
    <w:rsid w:val="005D1E3B"/>
    <w:rsid w:val="005D2835"/>
    <w:rsid w:val="005D2D03"/>
    <w:rsid w:val="005D2E8E"/>
    <w:rsid w:val="005D2F31"/>
    <w:rsid w:val="005D2F6A"/>
    <w:rsid w:val="005D2FC0"/>
    <w:rsid w:val="005D3087"/>
    <w:rsid w:val="005D30CB"/>
    <w:rsid w:val="005D31CF"/>
    <w:rsid w:val="005D34A7"/>
    <w:rsid w:val="005D35CD"/>
    <w:rsid w:val="005D3B06"/>
    <w:rsid w:val="005D3DB8"/>
    <w:rsid w:val="005D4068"/>
    <w:rsid w:val="005D4820"/>
    <w:rsid w:val="005D49C7"/>
    <w:rsid w:val="005D4BDB"/>
    <w:rsid w:val="005D4CA5"/>
    <w:rsid w:val="005D4EAE"/>
    <w:rsid w:val="005D53D1"/>
    <w:rsid w:val="005D590E"/>
    <w:rsid w:val="005D5A80"/>
    <w:rsid w:val="005D5DA7"/>
    <w:rsid w:val="005D6325"/>
    <w:rsid w:val="005D691A"/>
    <w:rsid w:val="005D6BDC"/>
    <w:rsid w:val="005D6C4A"/>
    <w:rsid w:val="005D6D54"/>
    <w:rsid w:val="005D74C3"/>
    <w:rsid w:val="005D7711"/>
    <w:rsid w:val="005D7831"/>
    <w:rsid w:val="005D7903"/>
    <w:rsid w:val="005D7CEE"/>
    <w:rsid w:val="005D7E9B"/>
    <w:rsid w:val="005E00B0"/>
    <w:rsid w:val="005E038C"/>
    <w:rsid w:val="005E043B"/>
    <w:rsid w:val="005E06D1"/>
    <w:rsid w:val="005E0AC6"/>
    <w:rsid w:val="005E0CD0"/>
    <w:rsid w:val="005E0E9A"/>
    <w:rsid w:val="005E0FF4"/>
    <w:rsid w:val="005E134F"/>
    <w:rsid w:val="005E14E6"/>
    <w:rsid w:val="005E1EA7"/>
    <w:rsid w:val="005E22B3"/>
    <w:rsid w:val="005E238B"/>
    <w:rsid w:val="005E26E7"/>
    <w:rsid w:val="005E2D5C"/>
    <w:rsid w:val="005E2DD6"/>
    <w:rsid w:val="005E2E99"/>
    <w:rsid w:val="005E2ED3"/>
    <w:rsid w:val="005E3299"/>
    <w:rsid w:val="005E32D1"/>
    <w:rsid w:val="005E341B"/>
    <w:rsid w:val="005E395C"/>
    <w:rsid w:val="005E3995"/>
    <w:rsid w:val="005E3A0B"/>
    <w:rsid w:val="005E3A75"/>
    <w:rsid w:val="005E3C5B"/>
    <w:rsid w:val="005E3DAE"/>
    <w:rsid w:val="005E403A"/>
    <w:rsid w:val="005E42EE"/>
    <w:rsid w:val="005E48C9"/>
    <w:rsid w:val="005E4A2D"/>
    <w:rsid w:val="005E4A51"/>
    <w:rsid w:val="005E4C85"/>
    <w:rsid w:val="005E4D4F"/>
    <w:rsid w:val="005E50D5"/>
    <w:rsid w:val="005E5116"/>
    <w:rsid w:val="005E5229"/>
    <w:rsid w:val="005E5265"/>
    <w:rsid w:val="005E5A37"/>
    <w:rsid w:val="005E5D77"/>
    <w:rsid w:val="005E5E61"/>
    <w:rsid w:val="005E5F19"/>
    <w:rsid w:val="005E6079"/>
    <w:rsid w:val="005E610F"/>
    <w:rsid w:val="005E633C"/>
    <w:rsid w:val="005E65A2"/>
    <w:rsid w:val="005E6866"/>
    <w:rsid w:val="005E6E39"/>
    <w:rsid w:val="005E76C1"/>
    <w:rsid w:val="005E78BD"/>
    <w:rsid w:val="005E7B6B"/>
    <w:rsid w:val="005E7EA4"/>
    <w:rsid w:val="005E7EC4"/>
    <w:rsid w:val="005F0608"/>
    <w:rsid w:val="005F06ED"/>
    <w:rsid w:val="005F0A82"/>
    <w:rsid w:val="005F1163"/>
    <w:rsid w:val="005F1194"/>
    <w:rsid w:val="005F2120"/>
    <w:rsid w:val="005F239D"/>
    <w:rsid w:val="005F2A2B"/>
    <w:rsid w:val="005F2AE0"/>
    <w:rsid w:val="005F2B79"/>
    <w:rsid w:val="005F2D9C"/>
    <w:rsid w:val="005F2F1A"/>
    <w:rsid w:val="005F30D1"/>
    <w:rsid w:val="005F371B"/>
    <w:rsid w:val="005F3B85"/>
    <w:rsid w:val="005F3F44"/>
    <w:rsid w:val="005F3F7C"/>
    <w:rsid w:val="005F4312"/>
    <w:rsid w:val="005F446D"/>
    <w:rsid w:val="005F46F6"/>
    <w:rsid w:val="005F4937"/>
    <w:rsid w:val="005F4C4D"/>
    <w:rsid w:val="005F4D86"/>
    <w:rsid w:val="005F4FBC"/>
    <w:rsid w:val="005F519B"/>
    <w:rsid w:val="005F53B9"/>
    <w:rsid w:val="005F552A"/>
    <w:rsid w:val="005F5848"/>
    <w:rsid w:val="005F59CE"/>
    <w:rsid w:val="005F5D02"/>
    <w:rsid w:val="005F5D9A"/>
    <w:rsid w:val="005F6389"/>
    <w:rsid w:val="005F6A46"/>
    <w:rsid w:val="005F6B89"/>
    <w:rsid w:val="005F6FEF"/>
    <w:rsid w:val="005F7067"/>
    <w:rsid w:val="005F7157"/>
    <w:rsid w:val="005F7185"/>
    <w:rsid w:val="005F720A"/>
    <w:rsid w:val="005F7AFB"/>
    <w:rsid w:val="005F7BE5"/>
    <w:rsid w:val="006000E8"/>
    <w:rsid w:val="00600122"/>
    <w:rsid w:val="006005FF"/>
    <w:rsid w:val="0060080B"/>
    <w:rsid w:val="00600904"/>
    <w:rsid w:val="00600A36"/>
    <w:rsid w:val="00600D61"/>
    <w:rsid w:val="00600DF0"/>
    <w:rsid w:val="00601386"/>
    <w:rsid w:val="0060193E"/>
    <w:rsid w:val="00601B15"/>
    <w:rsid w:val="00601B2D"/>
    <w:rsid w:val="006023DC"/>
    <w:rsid w:val="00602666"/>
    <w:rsid w:val="00602936"/>
    <w:rsid w:val="0060294C"/>
    <w:rsid w:val="00602CAA"/>
    <w:rsid w:val="006033D6"/>
    <w:rsid w:val="00603440"/>
    <w:rsid w:val="006034B3"/>
    <w:rsid w:val="00603715"/>
    <w:rsid w:val="00603BF9"/>
    <w:rsid w:val="00603D26"/>
    <w:rsid w:val="00603DB2"/>
    <w:rsid w:val="0060415A"/>
    <w:rsid w:val="006048D8"/>
    <w:rsid w:val="00604BAE"/>
    <w:rsid w:val="00604D2E"/>
    <w:rsid w:val="006051E6"/>
    <w:rsid w:val="006054B3"/>
    <w:rsid w:val="0060553C"/>
    <w:rsid w:val="0060565F"/>
    <w:rsid w:val="0060573A"/>
    <w:rsid w:val="00605BBB"/>
    <w:rsid w:val="0060671E"/>
    <w:rsid w:val="00606A65"/>
    <w:rsid w:val="00606D6C"/>
    <w:rsid w:val="00607055"/>
    <w:rsid w:val="00607056"/>
    <w:rsid w:val="0060716B"/>
    <w:rsid w:val="006071AF"/>
    <w:rsid w:val="0060744D"/>
    <w:rsid w:val="00607771"/>
    <w:rsid w:val="00607A8C"/>
    <w:rsid w:val="00607B4F"/>
    <w:rsid w:val="00607C27"/>
    <w:rsid w:val="00607FC7"/>
    <w:rsid w:val="0061053C"/>
    <w:rsid w:val="006105DC"/>
    <w:rsid w:val="00610651"/>
    <w:rsid w:val="00610964"/>
    <w:rsid w:val="00610B4B"/>
    <w:rsid w:val="006111E9"/>
    <w:rsid w:val="006113AA"/>
    <w:rsid w:val="0061144B"/>
    <w:rsid w:val="006115A0"/>
    <w:rsid w:val="006115A5"/>
    <w:rsid w:val="00611806"/>
    <w:rsid w:val="00611B1E"/>
    <w:rsid w:val="00611B25"/>
    <w:rsid w:val="00611E8D"/>
    <w:rsid w:val="00612DBF"/>
    <w:rsid w:val="00612E49"/>
    <w:rsid w:val="0061317D"/>
    <w:rsid w:val="0061348E"/>
    <w:rsid w:val="006134F6"/>
    <w:rsid w:val="0061358A"/>
    <w:rsid w:val="00613609"/>
    <w:rsid w:val="00613660"/>
    <w:rsid w:val="00613A49"/>
    <w:rsid w:val="00613AC6"/>
    <w:rsid w:val="00613C88"/>
    <w:rsid w:val="00613F74"/>
    <w:rsid w:val="006141B3"/>
    <w:rsid w:val="006142B9"/>
    <w:rsid w:val="00614337"/>
    <w:rsid w:val="00614411"/>
    <w:rsid w:val="0061490E"/>
    <w:rsid w:val="006149C6"/>
    <w:rsid w:val="00614CD2"/>
    <w:rsid w:val="00614D05"/>
    <w:rsid w:val="0061526D"/>
    <w:rsid w:val="00615333"/>
    <w:rsid w:val="006158E1"/>
    <w:rsid w:val="00615B07"/>
    <w:rsid w:val="00615D56"/>
    <w:rsid w:val="00615E55"/>
    <w:rsid w:val="00615E69"/>
    <w:rsid w:val="006164F1"/>
    <w:rsid w:val="006169B3"/>
    <w:rsid w:val="00617021"/>
    <w:rsid w:val="0061719C"/>
    <w:rsid w:val="00617273"/>
    <w:rsid w:val="006178B1"/>
    <w:rsid w:val="00617E44"/>
    <w:rsid w:val="00617F0C"/>
    <w:rsid w:val="006203AD"/>
    <w:rsid w:val="00620423"/>
    <w:rsid w:val="006204CB"/>
    <w:rsid w:val="00620756"/>
    <w:rsid w:val="00620AC3"/>
    <w:rsid w:val="00620D99"/>
    <w:rsid w:val="00620FCF"/>
    <w:rsid w:val="00621250"/>
    <w:rsid w:val="006212CE"/>
    <w:rsid w:val="00621548"/>
    <w:rsid w:val="00621A48"/>
    <w:rsid w:val="00621CCA"/>
    <w:rsid w:val="00621CE2"/>
    <w:rsid w:val="00621CE3"/>
    <w:rsid w:val="00621D96"/>
    <w:rsid w:val="00621E39"/>
    <w:rsid w:val="00621F0B"/>
    <w:rsid w:val="0062204C"/>
    <w:rsid w:val="00622142"/>
    <w:rsid w:val="006221FB"/>
    <w:rsid w:val="00622266"/>
    <w:rsid w:val="00622366"/>
    <w:rsid w:val="006225D2"/>
    <w:rsid w:val="0062261B"/>
    <w:rsid w:val="00622689"/>
    <w:rsid w:val="00622ABC"/>
    <w:rsid w:val="00622BC2"/>
    <w:rsid w:val="00622C08"/>
    <w:rsid w:val="00622D38"/>
    <w:rsid w:val="00622EEA"/>
    <w:rsid w:val="00622FA3"/>
    <w:rsid w:val="0062310C"/>
    <w:rsid w:val="006234E2"/>
    <w:rsid w:val="006237FA"/>
    <w:rsid w:val="0062381E"/>
    <w:rsid w:val="00623D04"/>
    <w:rsid w:val="00623DAE"/>
    <w:rsid w:val="006241D4"/>
    <w:rsid w:val="006243B6"/>
    <w:rsid w:val="00624814"/>
    <w:rsid w:val="006248CA"/>
    <w:rsid w:val="00624A53"/>
    <w:rsid w:val="00624A5A"/>
    <w:rsid w:val="00624A74"/>
    <w:rsid w:val="00624B87"/>
    <w:rsid w:val="00624C17"/>
    <w:rsid w:val="00624CCF"/>
    <w:rsid w:val="0062514F"/>
    <w:rsid w:val="006251E0"/>
    <w:rsid w:val="006253DA"/>
    <w:rsid w:val="006255CF"/>
    <w:rsid w:val="0062595B"/>
    <w:rsid w:val="00625CC1"/>
    <w:rsid w:val="0062610E"/>
    <w:rsid w:val="00626257"/>
    <w:rsid w:val="00626410"/>
    <w:rsid w:val="00626494"/>
    <w:rsid w:val="006266F2"/>
    <w:rsid w:val="00626B5C"/>
    <w:rsid w:val="006274C7"/>
    <w:rsid w:val="006277A2"/>
    <w:rsid w:val="00627A82"/>
    <w:rsid w:val="00627AA5"/>
    <w:rsid w:val="00627B82"/>
    <w:rsid w:val="00627BB3"/>
    <w:rsid w:val="00627CA4"/>
    <w:rsid w:val="00627E4E"/>
    <w:rsid w:val="00627EA1"/>
    <w:rsid w:val="00630067"/>
    <w:rsid w:val="0063013B"/>
    <w:rsid w:val="006301A4"/>
    <w:rsid w:val="006302D7"/>
    <w:rsid w:val="0063051B"/>
    <w:rsid w:val="00630859"/>
    <w:rsid w:val="00630AA3"/>
    <w:rsid w:val="00630AD8"/>
    <w:rsid w:val="00630CE8"/>
    <w:rsid w:val="00630DFA"/>
    <w:rsid w:val="00631093"/>
    <w:rsid w:val="00631112"/>
    <w:rsid w:val="006312B4"/>
    <w:rsid w:val="0063153C"/>
    <w:rsid w:val="006316F6"/>
    <w:rsid w:val="00631860"/>
    <w:rsid w:val="0063186F"/>
    <w:rsid w:val="00631EAF"/>
    <w:rsid w:val="006320B0"/>
    <w:rsid w:val="00632153"/>
    <w:rsid w:val="00632235"/>
    <w:rsid w:val="006325C8"/>
    <w:rsid w:val="006325D3"/>
    <w:rsid w:val="00632958"/>
    <w:rsid w:val="00632A6F"/>
    <w:rsid w:val="00632C90"/>
    <w:rsid w:val="006330F9"/>
    <w:rsid w:val="006331A8"/>
    <w:rsid w:val="006334C6"/>
    <w:rsid w:val="00633978"/>
    <w:rsid w:val="00633B6A"/>
    <w:rsid w:val="00633CBA"/>
    <w:rsid w:val="0063414C"/>
    <w:rsid w:val="00634308"/>
    <w:rsid w:val="006348D7"/>
    <w:rsid w:val="00634A9C"/>
    <w:rsid w:val="00634BD5"/>
    <w:rsid w:val="00634CDB"/>
    <w:rsid w:val="00634D58"/>
    <w:rsid w:val="00634F47"/>
    <w:rsid w:val="00634FF0"/>
    <w:rsid w:val="0063529C"/>
    <w:rsid w:val="00635480"/>
    <w:rsid w:val="00635558"/>
    <w:rsid w:val="00635577"/>
    <w:rsid w:val="00635961"/>
    <w:rsid w:val="00635973"/>
    <w:rsid w:val="006359C4"/>
    <w:rsid w:val="00635D1E"/>
    <w:rsid w:val="00635D45"/>
    <w:rsid w:val="00635E8F"/>
    <w:rsid w:val="00635EA8"/>
    <w:rsid w:val="00635F80"/>
    <w:rsid w:val="00636067"/>
    <w:rsid w:val="00636145"/>
    <w:rsid w:val="006365ED"/>
    <w:rsid w:val="006366FA"/>
    <w:rsid w:val="00636C11"/>
    <w:rsid w:val="0063741F"/>
    <w:rsid w:val="00637727"/>
    <w:rsid w:val="00637935"/>
    <w:rsid w:val="006379BD"/>
    <w:rsid w:val="00637B31"/>
    <w:rsid w:val="00637D2F"/>
    <w:rsid w:val="00637E1E"/>
    <w:rsid w:val="00637FCA"/>
    <w:rsid w:val="00640794"/>
    <w:rsid w:val="006407A1"/>
    <w:rsid w:val="006408E1"/>
    <w:rsid w:val="0064094A"/>
    <w:rsid w:val="00640A4B"/>
    <w:rsid w:val="00640BC0"/>
    <w:rsid w:val="00640D0D"/>
    <w:rsid w:val="00640D47"/>
    <w:rsid w:val="00641006"/>
    <w:rsid w:val="0064103B"/>
    <w:rsid w:val="0064136C"/>
    <w:rsid w:val="0064165B"/>
    <w:rsid w:val="00641BE4"/>
    <w:rsid w:val="00641BF3"/>
    <w:rsid w:val="00641EC7"/>
    <w:rsid w:val="00641ED0"/>
    <w:rsid w:val="00641EFF"/>
    <w:rsid w:val="00642077"/>
    <w:rsid w:val="00642174"/>
    <w:rsid w:val="006424F0"/>
    <w:rsid w:val="006424F4"/>
    <w:rsid w:val="00642819"/>
    <w:rsid w:val="0064287B"/>
    <w:rsid w:val="0064292C"/>
    <w:rsid w:val="00642AB6"/>
    <w:rsid w:val="00642CA5"/>
    <w:rsid w:val="00642D6A"/>
    <w:rsid w:val="00642DEB"/>
    <w:rsid w:val="00642E88"/>
    <w:rsid w:val="0064311C"/>
    <w:rsid w:val="00643183"/>
    <w:rsid w:val="0064355F"/>
    <w:rsid w:val="00643635"/>
    <w:rsid w:val="0064389C"/>
    <w:rsid w:val="00643960"/>
    <w:rsid w:val="00643BED"/>
    <w:rsid w:val="006440BD"/>
    <w:rsid w:val="0064481E"/>
    <w:rsid w:val="00644D7E"/>
    <w:rsid w:val="00644E96"/>
    <w:rsid w:val="00645097"/>
    <w:rsid w:val="0064522E"/>
    <w:rsid w:val="0064533B"/>
    <w:rsid w:val="006453F0"/>
    <w:rsid w:val="0064550D"/>
    <w:rsid w:val="00645811"/>
    <w:rsid w:val="006459EF"/>
    <w:rsid w:val="00645C66"/>
    <w:rsid w:val="00645FF9"/>
    <w:rsid w:val="0064613A"/>
    <w:rsid w:val="00646669"/>
    <w:rsid w:val="00646AB4"/>
    <w:rsid w:val="0064713F"/>
    <w:rsid w:val="00647337"/>
    <w:rsid w:val="00647427"/>
    <w:rsid w:val="00647741"/>
    <w:rsid w:val="00647B0B"/>
    <w:rsid w:val="00647B6F"/>
    <w:rsid w:val="00647BBA"/>
    <w:rsid w:val="00647D25"/>
    <w:rsid w:val="0065043F"/>
    <w:rsid w:val="0065069A"/>
    <w:rsid w:val="006506F9"/>
    <w:rsid w:val="00650D84"/>
    <w:rsid w:val="00650DB7"/>
    <w:rsid w:val="00650FDD"/>
    <w:rsid w:val="00651266"/>
    <w:rsid w:val="006512C4"/>
    <w:rsid w:val="00651305"/>
    <w:rsid w:val="00651660"/>
    <w:rsid w:val="00651A5B"/>
    <w:rsid w:val="00651FF5"/>
    <w:rsid w:val="006521A1"/>
    <w:rsid w:val="00652298"/>
    <w:rsid w:val="00652546"/>
    <w:rsid w:val="00652727"/>
    <w:rsid w:val="0065277D"/>
    <w:rsid w:val="00652A41"/>
    <w:rsid w:val="006530ED"/>
    <w:rsid w:val="006531B0"/>
    <w:rsid w:val="00653558"/>
    <w:rsid w:val="00653CD5"/>
    <w:rsid w:val="00653CDF"/>
    <w:rsid w:val="00653F0F"/>
    <w:rsid w:val="006542E4"/>
    <w:rsid w:val="006544A6"/>
    <w:rsid w:val="006544FE"/>
    <w:rsid w:val="0065464D"/>
    <w:rsid w:val="00654714"/>
    <w:rsid w:val="00654CAF"/>
    <w:rsid w:val="00654DCE"/>
    <w:rsid w:val="00654EE7"/>
    <w:rsid w:val="00655250"/>
    <w:rsid w:val="0065526E"/>
    <w:rsid w:val="00655318"/>
    <w:rsid w:val="006555EF"/>
    <w:rsid w:val="00655823"/>
    <w:rsid w:val="00655891"/>
    <w:rsid w:val="00655AA6"/>
    <w:rsid w:val="00655AE4"/>
    <w:rsid w:val="00655AFC"/>
    <w:rsid w:val="00655EB1"/>
    <w:rsid w:val="00655F3B"/>
    <w:rsid w:val="00655F54"/>
    <w:rsid w:val="00655F68"/>
    <w:rsid w:val="00655FBA"/>
    <w:rsid w:val="00656058"/>
    <w:rsid w:val="0065639C"/>
    <w:rsid w:val="00656485"/>
    <w:rsid w:val="00656519"/>
    <w:rsid w:val="00656706"/>
    <w:rsid w:val="0065689D"/>
    <w:rsid w:val="00656AEB"/>
    <w:rsid w:val="00656F28"/>
    <w:rsid w:val="00657075"/>
    <w:rsid w:val="00657101"/>
    <w:rsid w:val="006574A1"/>
    <w:rsid w:val="006578BC"/>
    <w:rsid w:val="0065794F"/>
    <w:rsid w:val="00657A78"/>
    <w:rsid w:val="00657D44"/>
    <w:rsid w:val="00657DFF"/>
    <w:rsid w:val="00657E9D"/>
    <w:rsid w:val="00657F3C"/>
    <w:rsid w:val="00660290"/>
    <w:rsid w:val="006602A6"/>
    <w:rsid w:val="00660385"/>
    <w:rsid w:val="0066090E"/>
    <w:rsid w:val="006609DE"/>
    <w:rsid w:val="00660B14"/>
    <w:rsid w:val="00660CA8"/>
    <w:rsid w:val="00660DEF"/>
    <w:rsid w:val="00660FF8"/>
    <w:rsid w:val="00661487"/>
    <w:rsid w:val="0066156B"/>
    <w:rsid w:val="00661C0B"/>
    <w:rsid w:val="00661C77"/>
    <w:rsid w:val="00661EE3"/>
    <w:rsid w:val="0066201F"/>
    <w:rsid w:val="00662116"/>
    <w:rsid w:val="006624DE"/>
    <w:rsid w:val="0066267B"/>
    <w:rsid w:val="00662A56"/>
    <w:rsid w:val="00662B0A"/>
    <w:rsid w:val="00662E10"/>
    <w:rsid w:val="00662E36"/>
    <w:rsid w:val="00662EF8"/>
    <w:rsid w:val="00662F66"/>
    <w:rsid w:val="00662FE2"/>
    <w:rsid w:val="0066308D"/>
    <w:rsid w:val="00663282"/>
    <w:rsid w:val="006634A1"/>
    <w:rsid w:val="006634C6"/>
    <w:rsid w:val="00663609"/>
    <w:rsid w:val="006636F7"/>
    <w:rsid w:val="00663715"/>
    <w:rsid w:val="00663889"/>
    <w:rsid w:val="00663FBA"/>
    <w:rsid w:val="00664027"/>
    <w:rsid w:val="006643CD"/>
    <w:rsid w:val="0066470C"/>
    <w:rsid w:val="006647DE"/>
    <w:rsid w:val="00664C69"/>
    <w:rsid w:val="00664ED1"/>
    <w:rsid w:val="006650BF"/>
    <w:rsid w:val="00665433"/>
    <w:rsid w:val="00665B50"/>
    <w:rsid w:val="00665D95"/>
    <w:rsid w:val="00665DE5"/>
    <w:rsid w:val="00665FF1"/>
    <w:rsid w:val="0066612B"/>
    <w:rsid w:val="00666159"/>
    <w:rsid w:val="006664B7"/>
    <w:rsid w:val="006667DD"/>
    <w:rsid w:val="006668B7"/>
    <w:rsid w:val="00666BBB"/>
    <w:rsid w:val="00666BEB"/>
    <w:rsid w:val="00666C22"/>
    <w:rsid w:val="00666C70"/>
    <w:rsid w:val="00666E99"/>
    <w:rsid w:val="00666EC1"/>
    <w:rsid w:val="006670DB"/>
    <w:rsid w:val="006670F3"/>
    <w:rsid w:val="00667259"/>
    <w:rsid w:val="00667920"/>
    <w:rsid w:val="00667AF2"/>
    <w:rsid w:val="00667B39"/>
    <w:rsid w:val="00667FBF"/>
    <w:rsid w:val="0067013E"/>
    <w:rsid w:val="006701F0"/>
    <w:rsid w:val="00670367"/>
    <w:rsid w:val="006703E3"/>
    <w:rsid w:val="006704E3"/>
    <w:rsid w:val="0067083A"/>
    <w:rsid w:val="00670B17"/>
    <w:rsid w:val="00670C9B"/>
    <w:rsid w:val="00670CD0"/>
    <w:rsid w:val="006710B9"/>
    <w:rsid w:val="0067124C"/>
    <w:rsid w:val="00671288"/>
    <w:rsid w:val="006713A7"/>
    <w:rsid w:val="006714C1"/>
    <w:rsid w:val="00671628"/>
    <w:rsid w:val="0067163C"/>
    <w:rsid w:val="00671AC8"/>
    <w:rsid w:val="00672578"/>
    <w:rsid w:val="0067266A"/>
    <w:rsid w:val="006726E2"/>
    <w:rsid w:val="00672873"/>
    <w:rsid w:val="00673042"/>
    <w:rsid w:val="006731ED"/>
    <w:rsid w:val="00673611"/>
    <w:rsid w:val="0067371C"/>
    <w:rsid w:val="0067393B"/>
    <w:rsid w:val="00673AFF"/>
    <w:rsid w:val="00673E01"/>
    <w:rsid w:val="006740CD"/>
    <w:rsid w:val="0067427E"/>
    <w:rsid w:val="006742EE"/>
    <w:rsid w:val="0067432E"/>
    <w:rsid w:val="006747EE"/>
    <w:rsid w:val="006748DA"/>
    <w:rsid w:val="00674B04"/>
    <w:rsid w:val="00674D1C"/>
    <w:rsid w:val="00674FFD"/>
    <w:rsid w:val="006750F0"/>
    <w:rsid w:val="00675529"/>
    <w:rsid w:val="00675769"/>
    <w:rsid w:val="00675812"/>
    <w:rsid w:val="0067583C"/>
    <w:rsid w:val="00675C60"/>
    <w:rsid w:val="00675D89"/>
    <w:rsid w:val="00676275"/>
    <w:rsid w:val="00676724"/>
    <w:rsid w:val="0067686E"/>
    <w:rsid w:val="00676D28"/>
    <w:rsid w:val="00677412"/>
    <w:rsid w:val="006774B6"/>
    <w:rsid w:val="006774D6"/>
    <w:rsid w:val="00677AEA"/>
    <w:rsid w:val="00677D31"/>
    <w:rsid w:val="00677FD9"/>
    <w:rsid w:val="0068007F"/>
    <w:rsid w:val="006800AF"/>
    <w:rsid w:val="00680259"/>
    <w:rsid w:val="006803EF"/>
    <w:rsid w:val="00680618"/>
    <w:rsid w:val="0068071E"/>
    <w:rsid w:val="00680A31"/>
    <w:rsid w:val="00680B4F"/>
    <w:rsid w:val="00680ED3"/>
    <w:rsid w:val="006810C6"/>
    <w:rsid w:val="0068134A"/>
    <w:rsid w:val="00681413"/>
    <w:rsid w:val="006817D2"/>
    <w:rsid w:val="00681AB9"/>
    <w:rsid w:val="00681ABC"/>
    <w:rsid w:val="00681C60"/>
    <w:rsid w:val="00682236"/>
    <w:rsid w:val="0068250A"/>
    <w:rsid w:val="00682619"/>
    <w:rsid w:val="006826B1"/>
    <w:rsid w:val="006827E6"/>
    <w:rsid w:val="00682922"/>
    <w:rsid w:val="00682E71"/>
    <w:rsid w:val="00683097"/>
    <w:rsid w:val="0068309E"/>
    <w:rsid w:val="006830B8"/>
    <w:rsid w:val="00683366"/>
    <w:rsid w:val="0068347B"/>
    <w:rsid w:val="0068358D"/>
    <w:rsid w:val="00683762"/>
    <w:rsid w:val="0068381A"/>
    <w:rsid w:val="00683B69"/>
    <w:rsid w:val="00683FE2"/>
    <w:rsid w:val="006841FA"/>
    <w:rsid w:val="00684360"/>
    <w:rsid w:val="00684805"/>
    <w:rsid w:val="00684B6E"/>
    <w:rsid w:val="00684C2E"/>
    <w:rsid w:val="00684D03"/>
    <w:rsid w:val="00684E10"/>
    <w:rsid w:val="0068534A"/>
    <w:rsid w:val="00685736"/>
    <w:rsid w:val="00685746"/>
    <w:rsid w:val="00685BFF"/>
    <w:rsid w:val="006864BF"/>
    <w:rsid w:val="0068656F"/>
    <w:rsid w:val="0068657B"/>
    <w:rsid w:val="006865AA"/>
    <w:rsid w:val="0068661E"/>
    <w:rsid w:val="0068663E"/>
    <w:rsid w:val="006867EE"/>
    <w:rsid w:val="00686887"/>
    <w:rsid w:val="00686A17"/>
    <w:rsid w:val="00686A72"/>
    <w:rsid w:val="00686CD9"/>
    <w:rsid w:val="00686D1B"/>
    <w:rsid w:val="00686D4B"/>
    <w:rsid w:val="00686E21"/>
    <w:rsid w:val="00687031"/>
    <w:rsid w:val="0068752D"/>
    <w:rsid w:val="00687530"/>
    <w:rsid w:val="006875E7"/>
    <w:rsid w:val="00687F77"/>
    <w:rsid w:val="00690014"/>
    <w:rsid w:val="0069006A"/>
    <w:rsid w:val="00690097"/>
    <w:rsid w:val="0069011D"/>
    <w:rsid w:val="00690145"/>
    <w:rsid w:val="0069020C"/>
    <w:rsid w:val="00690BC3"/>
    <w:rsid w:val="00690C45"/>
    <w:rsid w:val="00690CD3"/>
    <w:rsid w:val="00690CEB"/>
    <w:rsid w:val="00690E8F"/>
    <w:rsid w:val="00690FA2"/>
    <w:rsid w:val="00691CC3"/>
    <w:rsid w:val="00691E41"/>
    <w:rsid w:val="0069213C"/>
    <w:rsid w:val="00692191"/>
    <w:rsid w:val="006921E8"/>
    <w:rsid w:val="006922BE"/>
    <w:rsid w:val="006923D8"/>
    <w:rsid w:val="00692662"/>
    <w:rsid w:val="006926BE"/>
    <w:rsid w:val="006928CA"/>
    <w:rsid w:val="00692906"/>
    <w:rsid w:val="00692BF0"/>
    <w:rsid w:val="00692FF7"/>
    <w:rsid w:val="0069337D"/>
    <w:rsid w:val="0069376D"/>
    <w:rsid w:val="00693F02"/>
    <w:rsid w:val="00693F42"/>
    <w:rsid w:val="00693FDD"/>
    <w:rsid w:val="0069415C"/>
    <w:rsid w:val="006943B2"/>
    <w:rsid w:val="00694AF4"/>
    <w:rsid w:val="00694B0E"/>
    <w:rsid w:val="00694C43"/>
    <w:rsid w:val="00694F23"/>
    <w:rsid w:val="0069531A"/>
    <w:rsid w:val="0069544F"/>
    <w:rsid w:val="0069571C"/>
    <w:rsid w:val="00695823"/>
    <w:rsid w:val="00695967"/>
    <w:rsid w:val="00695D9E"/>
    <w:rsid w:val="006961D0"/>
    <w:rsid w:val="00696453"/>
    <w:rsid w:val="0069667F"/>
    <w:rsid w:val="00696683"/>
    <w:rsid w:val="00696810"/>
    <w:rsid w:val="00696817"/>
    <w:rsid w:val="006968CE"/>
    <w:rsid w:val="00696D7F"/>
    <w:rsid w:val="00696E74"/>
    <w:rsid w:val="00697327"/>
    <w:rsid w:val="006976C3"/>
    <w:rsid w:val="006979A7"/>
    <w:rsid w:val="00697CCE"/>
    <w:rsid w:val="00697D4B"/>
    <w:rsid w:val="006A0488"/>
    <w:rsid w:val="006A0603"/>
    <w:rsid w:val="006A0CEA"/>
    <w:rsid w:val="006A10B5"/>
    <w:rsid w:val="006A16FF"/>
    <w:rsid w:val="006A173D"/>
    <w:rsid w:val="006A1780"/>
    <w:rsid w:val="006A1A10"/>
    <w:rsid w:val="006A1A27"/>
    <w:rsid w:val="006A1BCD"/>
    <w:rsid w:val="006A1C7D"/>
    <w:rsid w:val="006A1DA1"/>
    <w:rsid w:val="006A1DA3"/>
    <w:rsid w:val="006A2204"/>
    <w:rsid w:val="006A28C5"/>
    <w:rsid w:val="006A2C00"/>
    <w:rsid w:val="006A2FF4"/>
    <w:rsid w:val="006A323E"/>
    <w:rsid w:val="006A32CD"/>
    <w:rsid w:val="006A32FB"/>
    <w:rsid w:val="006A344D"/>
    <w:rsid w:val="006A34A3"/>
    <w:rsid w:val="006A372E"/>
    <w:rsid w:val="006A39D0"/>
    <w:rsid w:val="006A3F91"/>
    <w:rsid w:val="006A45AC"/>
    <w:rsid w:val="006A4886"/>
    <w:rsid w:val="006A49BE"/>
    <w:rsid w:val="006A4DD7"/>
    <w:rsid w:val="006A50BD"/>
    <w:rsid w:val="006A5233"/>
    <w:rsid w:val="006A536C"/>
    <w:rsid w:val="006A552A"/>
    <w:rsid w:val="006A55D2"/>
    <w:rsid w:val="006A57F1"/>
    <w:rsid w:val="006A583F"/>
    <w:rsid w:val="006A59CD"/>
    <w:rsid w:val="006A5A45"/>
    <w:rsid w:val="006A5B96"/>
    <w:rsid w:val="006A5C3D"/>
    <w:rsid w:val="006A5CBB"/>
    <w:rsid w:val="006A5CE5"/>
    <w:rsid w:val="006A5D8A"/>
    <w:rsid w:val="006A5FB5"/>
    <w:rsid w:val="006A6437"/>
    <w:rsid w:val="006A64C3"/>
    <w:rsid w:val="006A6DCA"/>
    <w:rsid w:val="006A7387"/>
    <w:rsid w:val="006A74D6"/>
    <w:rsid w:val="006A78A6"/>
    <w:rsid w:val="006A79D4"/>
    <w:rsid w:val="006A7DE1"/>
    <w:rsid w:val="006A7E19"/>
    <w:rsid w:val="006A7EC3"/>
    <w:rsid w:val="006B0162"/>
    <w:rsid w:val="006B0193"/>
    <w:rsid w:val="006B0293"/>
    <w:rsid w:val="006B08B4"/>
    <w:rsid w:val="006B0D3E"/>
    <w:rsid w:val="006B1142"/>
    <w:rsid w:val="006B14AC"/>
    <w:rsid w:val="006B1676"/>
    <w:rsid w:val="006B19C6"/>
    <w:rsid w:val="006B1A97"/>
    <w:rsid w:val="006B1BA8"/>
    <w:rsid w:val="006B2301"/>
    <w:rsid w:val="006B2660"/>
    <w:rsid w:val="006B26B8"/>
    <w:rsid w:val="006B28A4"/>
    <w:rsid w:val="006B2A28"/>
    <w:rsid w:val="006B2B0C"/>
    <w:rsid w:val="006B2B7F"/>
    <w:rsid w:val="006B2CCD"/>
    <w:rsid w:val="006B306B"/>
    <w:rsid w:val="006B31D6"/>
    <w:rsid w:val="006B3294"/>
    <w:rsid w:val="006B336F"/>
    <w:rsid w:val="006B34DA"/>
    <w:rsid w:val="006B362F"/>
    <w:rsid w:val="006B36F3"/>
    <w:rsid w:val="006B375E"/>
    <w:rsid w:val="006B3A9A"/>
    <w:rsid w:val="006B3B02"/>
    <w:rsid w:val="006B3C4C"/>
    <w:rsid w:val="006B3CDE"/>
    <w:rsid w:val="006B3EFF"/>
    <w:rsid w:val="006B40E2"/>
    <w:rsid w:val="006B48AD"/>
    <w:rsid w:val="006B4A8C"/>
    <w:rsid w:val="006B50E1"/>
    <w:rsid w:val="006B5148"/>
    <w:rsid w:val="006B524C"/>
    <w:rsid w:val="006B529A"/>
    <w:rsid w:val="006B53FB"/>
    <w:rsid w:val="006B5612"/>
    <w:rsid w:val="006B5AD8"/>
    <w:rsid w:val="006B5E31"/>
    <w:rsid w:val="006B5E70"/>
    <w:rsid w:val="006B60AE"/>
    <w:rsid w:val="006B6941"/>
    <w:rsid w:val="006B6D6C"/>
    <w:rsid w:val="006B6F70"/>
    <w:rsid w:val="006B6FC6"/>
    <w:rsid w:val="006B7489"/>
    <w:rsid w:val="006B74BF"/>
    <w:rsid w:val="006B7557"/>
    <w:rsid w:val="006B77E2"/>
    <w:rsid w:val="006B7C7F"/>
    <w:rsid w:val="006B7E73"/>
    <w:rsid w:val="006C0190"/>
    <w:rsid w:val="006C01CC"/>
    <w:rsid w:val="006C0214"/>
    <w:rsid w:val="006C023A"/>
    <w:rsid w:val="006C05E9"/>
    <w:rsid w:val="006C0CF1"/>
    <w:rsid w:val="006C0DE8"/>
    <w:rsid w:val="006C0F92"/>
    <w:rsid w:val="006C1034"/>
    <w:rsid w:val="006C10C3"/>
    <w:rsid w:val="006C1234"/>
    <w:rsid w:val="006C1369"/>
    <w:rsid w:val="006C148B"/>
    <w:rsid w:val="006C1B76"/>
    <w:rsid w:val="006C1D0E"/>
    <w:rsid w:val="006C202A"/>
    <w:rsid w:val="006C208A"/>
    <w:rsid w:val="006C2327"/>
    <w:rsid w:val="006C237E"/>
    <w:rsid w:val="006C2543"/>
    <w:rsid w:val="006C27EC"/>
    <w:rsid w:val="006C29AE"/>
    <w:rsid w:val="006C2BC5"/>
    <w:rsid w:val="006C2FA4"/>
    <w:rsid w:val="006C2FE2"/>
    <w:rsid w:val="006C305E"/>
    <w:rsid w:val="006C30B3"/>
    <w:rsid w:val="006C355A"/>
    <w:rsid w:val="006C378E"/>
    <w:rsid w:val="006C3902"/>
    <w:rsid w:val="006C3907"/>
    <w:rsid w:val="006C3CCC"/>
    <w:rsid w:val="006C3D89"/>
    <w:rsid w:val="006C3E0E"/>
    <w:rsid w:val="006C3E22"/>
    <w:rsid w:val="006C3FE7"/>
    <w:rsid w:val="006C4633"/>
    <w:rsid w:val="006C48A9"/>
    <w:rsid w:val="006C491B"/>
    <w:rsid w:val="006C4D9F"/>
    <w:rsid w:val="006C4F7F"/>
    <w:rsid w:val="006C5145"/>
    <w:rsid w:val="006C519E"/>
    <w:rsid w:val="006C52AD"/>
    <w:rsid w:val="006C52E8"/>
    <w:rsid w:val="006C53BD"/>
    <w:rsid w:val="006C57B7"/>
    <w:rsid w:val="006C5955"/>
    <w:rsid w:val="006C5B00"/>
    <w:rsid w:val="006C5B77"/>
    <w:rsid w:val="006C5C44"/>
    <w:rsid w:val="006C5F20"/>
    <w:rsid w:val="006C5F30"/>
    <w:rsid w:val="006C6054"/>
    <w:rsid w:val="006C606F"/>
    <w:rsid w:val="006C61D3"/>
    <w:rsid w:val="006C64D6"/>
    <w:rsid w:val="006C6700"/>
    <w:rsid w:val="006C6702"/>
    <w:rsid w:val="006C69D0"/>
    <w:rsid w:val="006C6FAB"/>
    <w:rsid w:val="006C7088"/>
    <w:rsid w:val="006C7180"/>
    <w:rsid w:val="006C71D7"/>
    <w:rsid w:val="006C7231"/>
    <w:rsid w:val="006C74F7"/>
    <w:rsid w:val="006C76EB"/>
    <w:rsid w:val="006C77A2"/>
    <w:rsid w:val="006C78A2"/>
    <w:rsid w:val="006C78D2"/>
    <w:rsid w:val="006C7AA6"/>
    <w:rsid w:val="006C7BD8"/>
    <w:rsid w:val="006C7E35"/>
    <w:rsid w:val="006C7FCA"/>
    <w:rsid w:val="006D0110"/>
    <w:rsid w:val="006D025B"/>
    <w:rsid w:val="006D038F"/>
    <w:rsid w:val="006D03DA"/>
    <w:rsid w:val="006D060E"/>
    <w:rsid w:val="006D07EF"/>
    <w:rsid w:val="006D0832"/>
    <w:rsid w:val="006D0902"/>
    <w:rsid w:val="006D09B5"/>
    <w:rsid w:val="006D0DA7"/>
    <w:rsid w:val="006D0FC0"/>
    <w:rsid w:val="006D1406"/>
    <w:rsid w:val="006D19C5"/>
    <w:rsid w:val="006D1BB2"/>
    <w:rsid w:val="006D1F76"/>
    <w:rsid w:val="006D20FB"/>
    <w:rsid w:val="006D23BE"/>
    <w:rsid w:val="006D23CB"/>
    <w:rsid w:val="006D2842"/>
    <w:rsid w:val="006D28D3"/>
    <w:rsid w:val="006D28F3"/>
    <w:rsid w:val="006D2B37"/>
    <w:rsid w:val="006D3176"/>
    <w:rsid w:val="006D33BB"/>
    <w:rsid w:val="006D3637"/>
    <w:rsid w:val="006D3697"/>
    <w:rsid w:val="006D37D2"/>
    <w:rsid w:val="006D3B3C"/>
    <w:rsid w:val="006D3BA8"/>
    <w:rsid w:val="006D3CD8"/>
    <w:rsid w:val="006D3D3F"/>
    <w:rsid w:val="006D413B"/>
    <w:rsid w:val="006D4350"/>
    <w:rsid w:val="006D4370"/>
    <w:rsid w:val="006D4519"/>
    <w:rsid w:val="006D471C"/>
    <w:rsid w:val="006D496D"/>
    <w:rsid w:val="006D4E18"/>
    <w:rsid w:val="006D516E"/>
    <w:rsid w:val="006D5587"/>
    <w:rsid w:val="006D55DF"/>
    <w:rsid w:val="006D56F7"/>
    <w:rsid w:val="006D5844"/>
    <w:rsid w:val="006D58AE"/>
    <w:rsid w:val="006D5FBB"/>
    <w:rsid w:val="006D61DC"/>
    <w:rsid w:val="006D6233"/>
    <w:rsid w:val="006D63E8"/>
    <w:rsid w:val="006D6770"/>
    <w:rsid w:val="006D6BFB"/>
    <w:rsid w:val="006D6D93"/>
    <w:rsid w:val="006D724D"/>
    <w:rsid w:val="006D730D"/>
    <w:rsid w:val="006D7636"/>
    <w:rsid w:val="006D7729"/>
    <w:rsid w:val="006D77C7"/>
    <w:rsid w:val="006D78CC"/>
    <w:rsid w:val="006D792E"/>
    <w:rsid w:val="006D7A3F"/>
    <w:rsid w:val="006D7C86"/>
    <w:rsid w:val="006D7C8C"/>
    <w:rsid w:val="006D7C9E"/>
    <w:rsid w:val="006D7FD5"/>
    <w:rsid w:val="006E03C6"/>
    <w:rsid w:val="006E0442"/>
    <w:rsid w:val="006E047E"/>
    <w:rsid w:val="006E04A0"/>
    <w:rsid w:val="006E0957"/>
    <w:rsid w:val="006E0B3A"/>
    <w:rsid w:val="006E0BBF"/>
    <w:rsid w:val="006E13A5"/>
    <w:rsid w:val="006E14EC"/>
    <w:rsid w:val="006E1529"/>
    <w:rsid w:val="006E15F2"/>
    <w:rsid w:val="006E1735"/>
    <w:rsid w:val="006E1800"/>
    <w:rsid w:val="006E18C6"/>
    <w:rsid w:val="006E2189"/>
    <w:rsid w:val="006E219A"/>
    <w:rsid w:val="006E23F6"/>
    <w:rsid w:val="006E25A2"/>
    <w:rsid w:val="006E26AF"/>
    <w:rsid w:val="006E2744"/>
    <w:rsid w:val="006E28DF"/>
    <w:rsid w:val="006E2AA1"/>
    <w:rsid w:val="006E3019"/>
    <w:rsid w:val="006E3121"/>
    <w:rsid w:val="006E3157"/>
    <w:rsid w:val="006E31B7"/>
    <w:rsid w:val="006E3240"/>
    <w:rsid w:val="006E368C"/>
    <w:rsid w:val="006E36DD"/>
    <w:rsid w:val="006E3AC7"/>
    <w:rsid w:val="006E3E6A"/>
    <w:rsid w:val="006E3F31"/>
    <w:rsid w:val="006E441E"/>
    <w:rsid w:val="006E44A4"/>
    <w:rsid w:val="006E44B2"/>
    <w:rsid w:val="006E49EE"/>
    <w:rsid w:val="006E4D44"/>
    <w:rsid w:val="006E4D79"/>
    <w:rsid w:val="006E4F2E"/>
    <w:rsid w:val="006E52D2"/>
    <w:rsid w:val="006E5B78"/>
    <w:rsid w:val="006E5F25"/>
    <w:rsid w:val="006E5F94"/>
    <w:rsid w:val="006E6033"/>
    <w:rsid w:val="006E6108"/>
    <w:rsid w:val="006E639B"/>
    <w:rsid w:val="006E63D1"/>
    <w:rsid w:val="006E66EA"/>
    <w:rsid w:val="006E7082"/>
    <w:rsid w:val="006E745A"/>
    <w:rsid w:val="006E74A5"/>
    <w:rsid w:val="006E77C3"/>
    <w:rsid w:val="006E77C9"/>
    <w:rsid w:val="006E7883"/>
    <w:rsid w:val="006E7A44"/>
    <w:rsid w:val="006E7AD2"/>
    <w:rsid w:val="006E7D2B"/>
    <w:rsid w:val="006F03A4"/>
    <w:rsid w:val="006F058B"/>
    <w:rsid w:val="006F0804"/>
    <w:rsid w:val="006F093D"/>
    <w:rsid w:val="006F0BF6"/>
    <w:rsid w:val="006F0E21"/>
    <w:rsid w:val="006F0EE4"/>
    <w:rsid w:val="006F10E0"/>
    <w:rsid w:val="006F1439"/>
    <w:rsid w:val="006F174A"/>
    <w:rsid w:val="006F1975"/>
    <w:rsid w:val="006F1B8E"/>
    <w:rsid w:val="006F1BF2"/>
    <w:rsid w:val="006F1E46"/>
    <w:rsid w:val="006F21AF"/>
    <w:rsid w:val="006F22E0"/>
    <w:rsid w:val="006F237F"/>
    <w:rsid w:val="006F23F1"/>
    <w:rsid w:val="006F2594"/>
    <w:rsid w:val="006F25A1"/>
    <w:rsid w:val="006F2645"/>
    <w:rsid w:val="006F26F9"/>
    <w:rsid w:val="006F2AD1"/>
    <w:rsid w:val="006F2D54"/>
    <w:rsid w:val="006F2DB2"/>
    <w:rsid w:val="006F2E29"/>
    <w:rsid w:val="006F2ED6"/>
    <w:rsid w:val="006F317D"/>
    <w:rsid w:val="006F3181"/>
    <w:rsid w:val="006F322A"/>
    <w:rsid w:val="006F326B"/>
    <w:rsid w:val="006F37C4"/>
    <w:rsid w:val="006F382D"/>
    <w:rsid w:val="006F3902"/>
    <w:rsid w:val="006F3A00"/>
    <w:rsid w:val="006F3B03"/>
    <w:rsid w:val="006F3B73"/>
    <w:rsid w:val="006F3BB6"/>
    <w:rsid w:val="006F3C30"/>
    <w:rsid w:val="006F3F69"/>
    <w:rsid w:val="006F3FE3"/>
    <w:rsid w:val="006F40E4"/>
    <w:rsid w:val="006F4186"/>
    <w:rsid w:val="006F48BA"/>
    <w:rsid w:val="006F4BD7"/>
    <w:rsid w:val="006F4F3E"/>
    <w:rsid w:val="006F5367"/>
    <w:rsid w:val="006F58C5"/>
    <w:rsid w:val="006F5903"/>
    <w:rsid w:val="006F59B0"/>
    <w:rsid w:val="006F5AB2"/>
    <w:rsid w:val="006F5C04"/>
    <w:rsid w:val="006F5EAA"/>
    <w:rsid w:val="006F5F8F"/>
    <w:rsid w:val="006F608B"/>
    <w:rsid w:val="006F6099"/>
    <w:rsid w:val="006F63F0"/>
    <w:rsid w:val="006F6830"/>
    <w:rsid w:val="006F69BE"/>
    <w:rsid w:val="006F6AA7"/>
    <w:rsid w:val="006F70FD"/>
    <w:rsid w:val="006F78D1"/>
    <w:rsid w:val="006F7907"/>
    <w:rsid w:val="006F7B54"/>
    <w:rsid w:val="0070011E"/>
    <w:rsid w:val="007001C8"/>
    <w:rsid w:val="007003D7"/>
    <w:rsid w:val="00700527"/>
    <w:rsid w:val="007007A1"/>
    <w:rsid w:val="00700845"/>
    <w:rsid w:val="00700B12"/>
    <w:rsid w:val="00700C4D"/>
    <w:rsid w:val="00700DBB"/>
    <w:rsid w:val="007012C8"/>
    <w:rsid w:val="007015C3"/>
    <w:rsid w:val="00701D47"/>
    <w:rsid w:val="00701E3D"/>
    <w:rsid w:val="0070226C"/>
    <w:rsid w:val="00702803"/>
    <w:rsid w:val="007028B0"/>
    <w:rsid w:val="00702915"/>
    <w:rsid w:val="00702B42"/>
    <w:rsid w:val="00702CB9"/>
    <w:rsid w:val="00702D03"/>
    <w:rsid w:val="007030B7"/>
    <w:rsid w:val="00703293"/>
    <w:rsid w:val="007035C3"/>
    <w:rsid w:val="0070371C"/>
    <w:rsid w:val="00703868"/>
    <w:rsid w:val="007038B7"/>
    <w:rsid w:val="007038BA"/>
    <w:rsid w:val="007039AB"/>
    <w:rsid w:val="00703AC2"/>
    <w:rsid w:val="00703AF5"/>
    <w:rsid w:val="00703DC8"/>
    <w:rsid w:val="00703E5F"/>
    <w:rsid w:val="007040AF"/>
    <w:rsid w:val="007043B0"/>
    <w:rsid w:val="0070445B"/>
    <w:rsid w:val="00704879"/>
    <w:rsid w:val="0070493A"/>
    <w:rsid w:val="00704A89"/>
    <w:rsid w:val="00704A8B"/>
    <w:rsid w:val="00704E8D"/>
    <w:rsid w:val="00704F00"/>
    <w:rsid w:val="007050B2"/>
    <w:rsid w:val="00705369"/>
    <w:rsid w:val="007055F5"/>
    <w:rsid w:val="00705886"/>
    <w:rsid w:val="0070595C"/>
    <w:rsid w:val="00705AF0"/>
    <w:rsid w:val="00706356"/>
    <w:rsid w:val="0070651E"/>
    <w:rsid w:val="00706835"/>
    <w:rsid w:val="007071B1"/>
    <w:rsid w:val="0070757B"/>
    <w:rsid w:val="007078A5"/>
    <w:rsid w:val="007078B2"/>
    <w:rsid w:val="00707E6F"/>
    <w:rsid w:val="007100D0"/>
    <w:rsid w:val="00710266"/>
    <w:rsid w:val="00710EBF"/>
    <w:rsid w:val="00711141"/>
    <w:rsid w:val="0071125C"/>
    <w:rsid w:val="007115C2"/>
    <w:rsid w:val="0071161F"/>
    <w:rsid w:val="00711921"/>
    <w:rsid w:val="007119A3"/>
    <w:rsid w:val="007119A9"/>
    <w:rsid w:val="00711A8A"/>
    <w:rsid w:val="00711AFB"/>
    <w:rsid w:val="00711CCB"/>
    <w:rsid w:val="00711D0C"/>
    <w:rsid w:val="007122C7"/>
    <w:rsid w:val="007123A2"/>
    <w:rsid w:val="00712513"/>
    <w:rsid w:val="00712EA8"/>
    <w:rsid w:val="007130FA"/>
    <w:rsid w:val="0071380D"/>
    <w:rsid w:val="00713865"/>
    <w:rsid w:val="00713A5A"/>
    <w:rsid w:val="00713D5F"/>
    <w:rsid w:val="00713E6D"/>
    <w:rsid w:val="00713F65"/>
    <w:rsid w:val="00714022"/>
    <w:rsid w:val="007143F2"/>
    <w:rsid w:val="00714822"/>
    <w:rsid w:val="00714D34"/>
    <w:rsid w:val="007150EA"/>
    <w:rsid w:val="00715196"/>
    <w:rsid w:val="00715692"/>
    <w:rsid w:val="007158DC"/>
    <w:rsid w:val="00715E0E"/>
    <w:rsid w:val="00715EA7"/>
    <w:rsid w:val="00715ECC"/>
    <w:rsid w:val="0071601B"/>
    <w:rsid w:val="0071612D"/>
    <w:rsid w:val="007166A1"/>
    <w:rsid w:val="007168D4"/>
    <w:rsid w:val="00716A9F"/>
    <w:rsid w:val="00716E93"/>
    <w:rsid w:val="007170DB"/>
    <w:rsid w:val="007173C6"/>
    <w:rsid w:val="0071750E"/>
    <w:rsid w:val="007179E5"/>
    <w:rsid w:val="00717E46"/>
    <w:rsid w:val="00717F8A"/>
    <w:rsid w:val="007202F0"/>
    <w:rsid w:val="00720416"/>
    <w:rsid w:val="00720785"/>
    <w:rsid w:val="007207AA"/>
    <w:rsid w:val="00720BBB"/>
    <w:rsid w:val="00720DF8"/>
    <w:rsid w:val="007210AF"/>
    <w:rsid w:val="0072116C"/>
    <w:rsid w:val="007213B2"/>
    <w:rsid w:val="007213D3"/>
    <w:rsid w:val="0072150E"/>
    <w:rsid w:val="00721585"/>
    <w:rsid w:val="00721983"/>
    <w:rsid w:val="00721D50"/>
    <w:rsid w:val="00721E93"/>
    <w:rsid w:val="007221A3"/>
    <w:rsid w:val="00722243"/>
    <w:rsid w:val="00722244"/>
    <w:rsid w:val="00722318"/>
    <w:rsid w:val="007223AC"/>
    <w:rsid w:val="00722695"/>
    <w:rsid w:val="007226C2"/>
    <w:rsid w:val="00722F06"/>
    <w:rsid w:val="0072309E"/>
    <w:rsid w:val="0072310F"/>
    <w:rsid w:val="00723277"/>
    <w:rsid w:val="0072346D"/>
    <w:rsid w:val="00723683"/>
    <w:rsid w:val="00723857"/>
    <w:rsid w:val="00723A4C"/>
    <w:rsid w:val="00723C4A"/>
    <w:rsid w:val="00724152"/>
    <w:rsid w:val="00724292"/>
    <w:rsid w:val="007242FB"/>
    <w:rsid w:val="00724560"/>
    <w:rsid w:val="00724922"/>
    <w:rsid w:val="0072499F"/>
    <w:rsid w:val="00724ABD"/>
    <w:rsid w:val="00724B4B"/>
    <w:rsid w:val="00724F84"/>
    <w:rsid w:val="0072504D"/>
    <w:rsid w:val="007250C9"/>
    <w:rsid w:val="007251D1"/>
    <w:rsid w:val="0072576B"/>
    <w:rsid w:val="007259B2"/>
    <w:rsid w:val="00725BC4"/>
    <w:rsid w:val="00725F6F"/>
    <w:rsid w:val="00726131"/>
    <w:rsid w:val="00726AB6"/>
    <w:rsid w:val="00726CBF"/>
    <w:rsid w:val="00726CCA"/>
    <w:rsid w:val="00726EBD"/>
    <w:rsid w:val="00726F29"/>
    <w:rsid w:val="00726F48"/>
    <w:rsid w:val="00726FDC"/>
    <w:rsid w:val="007272D1"/>
    <w:rsid w:val="00727367"/>
    <w:rsid w:val="0072747B"/>
    <w:rsid w:val="007276C3"/>
    <w:rsid w:val="0072772E"/>
    <w:rsid w:val="00727C08"/>
    <w:rsid w:val="00730128"/>
    <w:rsid w:val="00730155"/>
    <w:rsid w:val="007301FC"/>
    <w:rsid w:val="00730661"/>
    <w:rsid w:val="00730815"/>
    <w:rsid w:val="00730CCA"/>
    <w:rsid w:val="007312F9"/>
    <w:rsid w:val="007315B9"/>
    <w:rsid w:val="00731720"/>
    <w:rsid w:val="00731885"/>
    <w:rsid w:val="00731B07"/>
    <w:rsid w:val="00731CDA"/>
    <w:rsid w:val="00731D1F"/>
    <w:rsid w:val="00731E01"/>
    <w:rsid w:val="007321E8"/>
    <w:rsid w:val="00732648"/>
    <w:rsid w:val="0073265F"/>
    <w:rsid w:val="00732788"/>
    <w:rsid w:val="00732974"/>
    <w:rsid w:val="00732AEC"/>
    <w:rsid w:val="00732C96"/>
    <w:rsid w:val="00732FF9"/>
    <w:rsid w:val="00733334"/>
    <w:rsid w:val="007336BC"/>
    <w:rsid w:val="00733701"/>
    <w:rsid w:val="007337FC"/>
    <w:rsid w:val="00733825"/>
    <w:rsid w:val="00733A51"/>
    <w:rsid w:val="00733AF8"/>
    <w:rsid w:val="00733CB6"/>
    <w:rsid w:val="00733CBB"/>
    <w:rsid w:val="00733F1B"/>
    <w:rsid w:val="0073403E"/>
    <w:rsid w:val="00734369"/>
    <w:rsid w:val="0073468F"/>
    <w:rsid w:val="00734DB3"/>
    <w:rsid w:val="00734E1E"/>
    <w:rsid w:val="00734F32"/>
    <w:rsid w:val="00735588"/>
    <w:rsid w:val="0073564A"/>
    <w:rsid w:val="007357FA"/>
    <w:rsid w:val="00735956"/>
    <w:rsid w:val="00736427"/>
    <w:rsid w:val="0073685F"/>
    <w:rsid w:val="007369A3"/>
    <w:rsid w:val="00736ABC"/>
    <w:rsid w:val="00736C7E"/>
    <w:rsid w:val="00736EC1"/>
    <w:rsid w:val="007370A5"/>
    <w:rsid w:val="00737229"/>
    <w:rsid w:val="007374A1"/>
    <w:rsid w:val="0073766D"/>
    <w:rsid w:val="00737678"/>
    <w:rsid w:val="007377C9"/>
    <w:rsid w:val="00737AAA"/>
    <w:rsid w:val="007400BB"/>
    <w:rsid w:val="0074042B"/>
    <w:rsid w:val="007405CB"/>
    <w:rsid w:val="0074076B"/>
    <w:rsid w:val="00740A88"/>
    <w:rsid w:val="00740AA7"/>
    <w:rsid w:val="00740B62"/>
    <w:rsid w:val="00740C7C"/>
    <w:rsid w:val="00740CAF"/>
    <w:rsid w:val="00740F5F"/>
    <w:rsid w:val="0074102F"/>
    <w:rsid w:val="007410ED"/>
    <w:rsid w:val="00741816"/>
    <w:rsid w:val="007418DE"/>
    <w:rsid w:val="00741955"/>
    <w:rsid w:val="00741CAB"/>
    <w:rsid w:val="00741FBF"/>
    <w:rsid w:val="00741FE9"/>
    <w:rsid w:val="007422E7"/>
    <w:rsid w:val="00742354"/>
    <w:rsid w:val="00742364"/>
    <w:rsid w:val="007423D1"/>
    <w:rsid w:val="0074241C"/>
    <w:rsid w:val="007426BA"/>
    <w:rsid w:val="00742884"/>
    <w:rsid w:val="00742EAD"/>
    <w:rsid w:val="00742EDE"/>
    <w:rsid w:val="00743928"/>
    <w:rsid w:val="00743D57"/>
    <w:rsid w:val="00744007"/>
    <w:rsid w:val="0074416D"/>
    <w:rsid w:val="007441F7"/>
    <w:rsid w:val="00744B16"/>
    <w:rsid w:val="00744C46"/>
    <w:rsid w:val="00744E01"/>
    <w:rsid w:val="00744FE5"/>
    <w:rsid w:val="007451B4"/>
    <w:rsid w:val="00745314"/>
    <w:rsid w:val="007453AC"/>
    <w:rsid w:val="0074569B"/>
    <w:rsid w:val="007457F0"/>
    <w:rsid w:val="0074588C"/>
    <w:rsid w:val="00745999"/>
    <w:rsid w:val="007459C5"/>
    <w:rsid w:val="00745F16"/>
    <w:rsid w:val="00746373"/>
    <w:rsid w:val="00746400"/>
    <w:rsid w:val="00746428"/>
    <w:rsid w:val="00746BA0"/>
    <w:rsid w:val="00746E1C"/>
    <w:rsid w:val="00746F7C"/>
    <w:rsid w:val="0074722B"/>
    <w:rsid w:val="007473A4"/>
    <w:rsid w:val="00747469"/>
    <w:rsid w:val="007475BA"/>
    <w:rsid w:val="007479BD"/>
    <w:rsid w:val="00747A0C"/>
    <w:rsid w:val="00747A3B"/>
    <w:rsid w:val="00747ACB"/>
    <w:rsid w:val="00747B76"/>
    <w:rsid w:val="00747D7A"/>
    <w:rsid w:val="00747EC0"/>
    <w:rsid w:val="0075093E"/>
    <w:rsid w:val="00750A91"/>
    <w:rsid w:val="00750B6F"/>
    <w:rsid w:val="00750C9D"/>
    <w:rsid w:val="0075111E"/>
    <w:rsid w:val="007511BE"/>
    <w:rsid w:val="0075128F"/>
    <w:rsid w:val="007513CC"/>
    <w:rsid w:val="00751725"/>
    <w:rsid w:val="00751A5A"/>
    <w:rsid w:val="00751EE3"/>
    <w:rsid w:val="00751FED"/>
    <w:rsid w:val="0075202A"/>
    <w:rsid w:val="007525C8"/>
    <w:rsid w:val="00752B2C"/>
    <w:rsid w:val="00752B33"/>
    <w:rsid w:val="00752D4D"/>
    <w:rsid w:val="00752DE5"/>
    <w:rsid w:val="00753258"/>
    <w:rsid w:val="00753481"/>
    <w:rsid w:val="00753780"/>
    <w:rsid w:val="00753A3A"/>
    <w:rsid w:val="00753C2F"/>
    <w:rsid w:val="00753CFA"/>
    <w:rsid w:val="00753D1C"/>
    <w:rsid w:val="00753D31"/>
    <w:rsid w:val="00753D71"/>
    <w:rsid w:val="007540FF"/>
    <w:rsid w:val="007541A6"/>
    <w:rsid w:val="0075433C"/>
    <w:rsid w:val="0075478F"/>
    <w:rsid w:val="0075486B"/>
    <w:rsid w:val="00754ABA"/>
    <w:rsid w:val="00754BE8"/>
    <w:rsid w:val="00754C11"/>
    <w:rsid w:val="00754FF6"/>
    <w:rsid w:val="007553D5"/>
    <w:rsid w:val="0075569A"/>
    <w:rsid w:val="00755A35"/>
    <w:rsid w:val="00755CB5"/>
    <w:rsid w:val="00755DCD"/>
    <w:rsid w:val="00755EA5"/>
    <w:rsid w:val="00755EF1"/>
    <w:rsid w:val="00755EFC"/>
    <w:rsid w:val="00755F38"/>
    <w:rsid w:val="007562A0"/>
    <w:rsid w:val="0075646C"/>
    <w:rsid w:val="0075649F"/>
    <w:rsid w:val="00756D34"/>
    <w:rsid w:val="00756DA6"/>
    <w:rsid w:val="00756E33"/>
    <w:rsid w:val="00756FC0"/>
    <w:rsid w:val="00757626"/>
    <w:rsid w:val="007578AF"/>
    <w:rsid w:val="007578D0"/>
    <w:rsid w:val="00757989"/>
    <w:rsid w:val="00757A28"/>
    <w:rsid w:val="00757B72"/>
    <w:rsid w:val="00757F66"/>
    <w:rsid w:val="00760035"/>
    <w:rsid w:val="00760277"/>
    <w:rsid w:val="007602F7"/>
    <w:rsid w:val="00760387"/>
    <w:rsid w:val="00760476"/>
    <w:rsid w:val="007604AD"/>
    <w:rsid w:val="007604B7"/>
    <w:rsid w:val="0076064C"/>
    <w:rsid w:val="0076088F"/>
    <w:rsid w:val="00760B8B"/>
    <w:rsid w:val="00760B96"/>
    <w:rsid w:val="00760D60"/>
    <w:rsid w:val="007613B3"/>
    <w:rsid w:val="00761847"/>
    <w:rsid w:val="00761A7F"/>
    <w:rsid w:val="00761B8A"/>
    <w:rsid w:val="00761BCB"/>
    <w:rsid w:val="00762092"/>
    <w:rsid w:val="0076210E"/>
    <w:rsid w:val="0076233F"/>
    <w:rsid w:val="00762499"/>
    <w:rsid w:val="007626F3"/>
    <w:rsid w:val="0076298A"/>
    <w:rsid w:val="00762A4E"/>
    <w:rsid w:val="00762DB0"/>
    <w:rsid w:val="00762E26"/>
    <w:rsid w:val="00762EDB"/>
    <w:rsid w:val="00763085"/>
    <w:rsid w:val="007630D6"/>
    <w:rsid w:val="007631FB"/>
    <w:rsid w:val="00763676"/>
    <w:rsid w:val="00763805"/>
    <w:rsid w:val="00763B2F"/>
    <w:rsid w:val="00763CE3"/>
    <w:rsid w:val="00763D57"/>
    <w:rsid w:val="00764033"/>
    <w:rsid w:val="0076423A"/>
    <w:rsid w:val="00764474"/>
    <w:rsid w:val="00764669"/>
    <w:rsid w:val="0076499C"/>
    <w:rsid w:val="00764AFD"/>
    <w:rsid w:val="00764C4F"/>
    <w:rsid w:val="00764D52"/>
    <w:rsid w:val="00764F8D"/>
    <w:rsid w:val="007650B6"/>
    <w:rsid w:val="00765211"/>
    <w:rsid w:val="007657DD"/>
    <w:rsid w:val="00765950"/>
    <w:rsid w:val="007659E2"/>
    <w:rsid w:val="00765AE3"/>
    <w:rsid w:val="00765BB8"/>
    <w:rsid w:val="00765D8B"/>
    <w:rsid w:val="00765ECA"/>
    <w:rsid w:val="007662CF"/>
    <w:rsid w:val="007663E6"/>
    <w:rsid w:val="0076645D"/>
    <w:rsid w:val="007666F2"/>
    <w:rsid w:val="007667E1"/>
    <w:rsid w:val="00766807"/>
    <w:rsid w:val="00766976"/>
    <w:rsid w:val="007670B0"/>
    <w:rsid w:val="00767375"/>
    <w:rsid w:val="0076749F"/>
    <w:rsid w:val="00767542"/>
    <w:rsid w:val="00767AD9"/>
    <w:rsid w:val="00767BE0"/>
    <w:rsid w:val="00767D32"/>
    <w:rsid w:val="00767FEF"/>
    <w:rsid w:val="00770564"/>
    <w:rsid w:val="007705A7"/>
    <w:rsid w:val="0077095F"/>
    <w:rsid w:val="00770C3B"/>
    <w:rsid w:val="00770F66"/>
    <w:rsid w:val="00770F68"/>
    <w:rsid w:val="00771125"/>
    <w:rsid w:val="0077164C"/>
    <w:rsid w:val="00771A81"/>
    <w:rsid w:val="00771AF3"/>
    <w:rsid w:val="00771C80"/>
    <w:rsid w:val="00771F0E"/>
    <w:rsid w:val="0077202B"/>
    <w:rsid w:val="007723DE"/>
    <w:rsid w:val="00772674"/>
    <w:rsid w:val="00772786"/>
    <w:rsid w:val="00772B44"/>
    <w:rsid w:val="007731FA"/>
    <w:rsid w:val="00773321"/>
    <w:rsid w:val="007733B4"/>
    <w:rsid w:val="007734C1"/>
    <w:rsid w:val="007735A1"/>
    <w:rsid w:val="00773943"/>
    <w:rsid w:val="00773B19"/>
    <w:rsid w:val="00774472"/>
    <w:rsid w:val="0077459D"/>
    <w:rsid w:val="0077460E"/>
    <w:rsid w:val="007746AD"/>
    <w:rsid w:val="007746E5"/>
    <w:rsid w:val="0077470B"/>
    <w:rsid w:val="00774AAD"/>
    <w:rsid w:val="00774B79"/>
    <w:rsid w:val="00774D51"/>
    <w:rsid w:val="00774FD0"/>
    <w:rsid w:val="00775182"/>
    <w:rsid w:val="00775232"/>
    <w:rsid w:val="00775520"/>
    <w:rsid w:val="007759A4"/>
    <w:rsid w:val="00775A01"/>
    <w:rsid w:val="00775C57"/>
    <w:rsid w:val="00775CF5"/>
    <w:rsid w:val="00775DDE"/>
    <w:rsid w:val="00775E79"/>
    <w:rsid w:val="0077677B"/>
    <w:rsid w:val="00776A4C"/>
    <w:rsid w:val="00776A6C"/>
    <w:rsid w:val="00776B39"/>
    <w:rsid w:val="00776B8A"/>
    <w:rsid w:val="00776BBE"/>
    <w:rsid w:val="00776CB2"/>
    <w:rsid w:val="00776E66"/>
    <w:rsid w:val="00777461"/>
    <w:rsid w:val="0077763C"/>
    <w:rsid w:val="00777815"/>
    <w:rsid w:val="007778BF"/>
    <w:rsid w:val="00777BE3"/>
    <w:rsid w:val="00777EF3"/>
    <w:rsid w:val="00777F6C"/>
    <w:rsid w:val="00780175"/>
    <w:rsid w:val="00780310"/>
    <w:rsid w:val="00780CBF"/>
    <w:rsid w:val="00781029"/>
    <w:rsid w:val="0078130E"/>
    <w:rsid w:val="0078155F"/>
    <w:rsid w:val="00781602"/>
    <w:rsid w:val="0078163D"/>
    <w:rsid w:val="00781792"/>
    <w:rsid w:val="0078186E"/>
    <w:rsid w:val="007818CD"/>
    <w:rsid w:val="007819D3"/>
    <w:rsid w:val="00781AD2"/>
    <w:rsid w:val="00781B69"/>
    <w:rsid w:val="00781CF9"/>
    <w:rsid w:val="00781CFE"/>
    <w:rsid w:val="00781D01"/>
    <w:rsid w:val="00781F8C"/>
    <w:rsid w:val="00782197"/>
    <w:rsid w:val="0078242E"/>
    <w:rsid w:val="00782A41"/>
    <w:rsid w:val="00782C3D"/>
    <w:rsid w:val="00782DCE"/>
    <w:rsid w:val="007830C5"/>
    <w:rsid w:val="007839CD"/>
    <w:rsid w:val="00783A27"/>
    <w:rsid w:val="00783C4C"/>
    <w:rsid w:val="0078400B"/>
    <w:rsid w:val="00784114"/>
    <w:rsid w:val="007845D4"/>
    <w:rsid w:val="00784BD1"/>
    <w:rsid w:val="00784DD5"/>
    <w:rsid w:val="00784FEB"/>
    <w:rsid w:val="00785934"/>
    <w:rsid w:val="00785C59"/>
    <w:rsid w:val="00785E9A"/>
    <w:rsid w:val="00785EB6"/>
    <w:rsid w:val="0078631C"/>
    <w:rsid w:val="00786654"/>
    <w:rsid w:val="0078677A"/>
    <w:rsid w:val="00786D2A"/>
    <w:rsid w:val="00786F53"/>
    <w:rsid w:val="00787290"/>
    <w:rsid w:val="007873D9"/>
    <w:rsid w:val="007875A7"/>
    <w:rsid w:val="0078777A"/>
    <w:rsid w:val="00787860"/>
    <w:rsid w:val="00787930"/>
    <w:rsid w:val="00787D1B"/>
    <w:rsid w:val="00787E12"/>
    <w:rsid w:val="00790131"/>
    <w:rsid w:val="00790347"/>
    <w:rsid w:val="0079061A"/>
    <w:rsid w:val="00790FD9"/>
    <w:rsid w:val="007912BE"/>
    <w:rsid w:val="0079130D"/>
    <w:rsid w:val="007916E3"/>
    <w:rsid w:val="00791779"/>
    <w:rsid w:val="007917C5"/>
    <w:rsid w:val="00791C00"/>
    <w:rsid w:val="00791CDA"/>
    <w:rsid w:val="00791D25"/>
    <w:rsid w:val="00792569"/>
    <w:rsid w:val="007925EF"/>
    <w:rsid w:val="00792666"/>
    <w:rsid w:val="0079295C"/>
    <w:rsid w:val="00792AC8"/>
    <w:rsid w:val="00792C0C"/>
    <w:rsid w:val="00792C43"/>
    <w:rsid w:val="00793018"/>
    <w:rsid w:val="007931DF"/>
    <w:rsid w:val="007933C3"/>
    <w:rsid w:val="00793783"/>
    <w:rsid w:val="00793DEB"/>
    <w:rsid w:val="00793ECF"/>
    <w:rsid w:val="00793FAD"/>
    <w:rsid w:val="00794AB4"/>
    <w:rsid w:val="00794CB7"/>
    <w:rsid w:val="00794D18"/>
    <w:rsid w:val="00794FFD"/>
    <w:rsid w:val="007950B6"/>
    <w:rsid w:val="007953DA"/>
    <w:rsid w:val="00795500"/>
    <w:rsid w:val="00795518"/>
    <w:rsid w:val="0079560F"/>
    <w:rsid w:val="007957A5"/>
    <w:rsid w:val="00795977"/>
    <w:rsid w:val="00795B7E"/>
    <w:rsid w:val="00795D45"/>
    <w:rsid w:val="00795ED6"/>
    <w:rsid w:val="00795F5B"/>
    <w:rsid w:val="00795FFF"/>
    <w:rsid w:val="0079657B"/>
    <w:rsid w:val="00796741"/>
    <w:rsid w:val="00796E77"/>
    <w:rsid w:val="00796F9E"/>
    <w:rsid w:val="0079712E"/>
    <w:rsid w:val="0079728F"/>
    <w:rsid w:val="007972FB"/>
    <w:rsid w:val="00797471"/>
    <w:rsid w:val="00797652"/>
    <w:rsid w:val="00797E5C"/>
    <w:rsid w:val="00797FBB"/>
    <w:rsid w:val="007A007F"/>
    <w:rsid w:val="007A011D"/>
    <w:rsid w:val="007A081B"/>
    <w:rsid w:val="007A094C"/>
    <w:rsid w:val="007A0988"/>
    <w:rsid w:val="007A09DB"/>
    <w:rsid w:val="007A0D7B"/>
    <w:rsid w:val="007A0E54"/>
    <w:rsid w:val="007A0F78"/>
    <w:rsid w:val="007A1255"/>
    <w:rsid w:val="007A18A4"/>
    <w:rsid w:val="007A1921"/>
    <w:rsid w:val="007A1933"/>
    <w:rsid w:val="007A19A0"/>
    <w:rsid w:val="007A1D82"/>
    <w:rsid w:val="007A2109"/>
    <w:rsid w:val="007A22CD"/>
    <w:rsid w:val="007A231A"/>
    <w:rsid w:val="007A258C"/>
    <w:rsid w:val="007A26ED"/>
    <w:rsid w:val="007A28C6"/>
    <w:rsid w:val="007A2938"/>
    <w:rsid w:val="007A2A01"/>
    <w:rsid w:val="007A2CE5"/>
    <w:rsid w:val="007A2D53"/>
    <w:rsid w:val="007A2E15"/>
    <w:rsid w:val="007A3146"/>
    <w:rsid w:val="007A32F2"/>
    <w:rsid w:val="007A3345"/>
    <w:rsid w:val="007A3467"/>
    <w:rsid w:val="007A34DE"/>
    <w:rsid w:val="007A3583"/>
    <w:rsid w:val="007A38FD"/>
    <w:rsid w:val="007A3B9A"/>
    <w:rsid w:val="007A3C22"/>
    <w:rsid w:val="007A3DC9"/>
    <w:rsid w:val="007A4072"/>
    <w:rsid w:val="007A46F1"/>
    <w:rsid w:val="007A495A"/>
    <w:rsid w:val="007A4C12"/>
    <w:rsid w:val="007A4E4E"/>
    <w:rsid w:val="007A5049"/>
    <w:rsid w:val="007A530B"/>
    <w:rsid w:val="007A532A"/>
    <w:rsid w:val="007A5526"/>
    <w:rsid w:val="007A55C4"/>
    <w:rsid w:val="007A5616"/>
    <w:rsid w:val="007A5848"/>
    <w:rsid w:val="007A5D15"/>
    <w:rsid w:val="007A5D46"/>
    <w:rsid w:val="007A5EA7"/>
    <w:rsid w:val="007A60D0"/>
    <w:rsid w:val="007A6213"/>
    <w:rsid w:val="007A62B5"/>
    <w:rsid w:val="007A636A"/>
    <w:rsid w:val="007A6444"/>
    <w:rsid w:val="007A6692"/>
    <w:rsid w:val="007A6799"/>
    <w:rsid w:val="007A67F0"/>
    <w:rsid w:val="007A68D2"/>
    <w:rsid w:val="007A6A00"/>
    <w:rsid w:val="007A6BED"/>
    <w:rsid w:val="007A6F8E"/>
    <w:rsid w:val="007A70EF"/>
    <w:rsid w:val="007A7464"/>
    <w:rsid w:val="007A7494"/>
    <w:rsid w:val="007A776D"/>
    <w:rsid w:val="007A78C4"/>
    <w:rsid w:val="007A7967"/>
    <w:rsid w:val="007A798E"/>
    <w:rsid w:val="007B00D8"/>
    <w:rsid w:val="007B029B"/>
    <w:rsid w:val="007B0452"/>
    <w:rsid w:val="007B04FB"/>
    <w:rsid w:val="007B06D3"/>
    <w:rsid w:val="007B0AA9"/>
    <w:rsid w:val="007B0B21"/>
    <w:rsid w:val="007B0B37"/>
    <w:rsid w:val="007B0BCB"/>
    <w:rsid w:val="007B0E94"/>
    <w:rsid w:val="007B0F62"/>
    <w:rsid w:val="007B10DE"/>
    <w:rsid w:val="007B12CF"/>
    <w:rsid w:val="007B147E"/>
    <w:rsid w:val="007B1501"/>
    <w:rsid w:val="007B166C"/>
    <w:rsid w:val="007B179C"/>
    <w:rsid w:val="007B1E12"/>
    <w:rsid w:val="007B1F36"/>
    <w:rsid w:val="007B20B2"/>
    <w:rsid w:val="007B2278"/>
    <w:rsid w:val="007B22DC"/>
    <w:rsid w:val="007B2478"/>
    <w:rsid w:val="007B28EA"/>
    <w:rsid w:val="007B2B40"/>
    <w:rsid w:val="007B2D6F"/>
    <w:rsid w:val="007B3218"/>
    <w:rsid w:val="007B3304"/>
    <w:rsid w:val="007B3F45"/>
    <w:rsid w:val="007B405C"/>
    <w:rsid w:val="007B4401"/>
    <w:rsid w:val="007B4433"/>
    <w:rsid w:val="007B4437"/>
    <w:rsid w:val="007B457C"/>
    <w:rsid w:val="007B45B0"/>
    <w:rsid w:val="007B4866"/>
    <w:rsid w:val="007B4F5E"/>
    <w:rsid w:val="007B568D"/>
    <w:rsid w:val="007B570F"/>
    <w:rsid w:val="007B580F"/>
    <w:rsid w:val="007B58DE"/>
    <w:rsid w:val="007B59DC"/>
    <w:rsid w:val="007B5AFB"/>
    <w:rsid w:val="007B5F03"/>
    <w:rsid w:val="007B60FF"/>
    <w:rsid w:val="007B6806"/>
    <w:rsid w:val="007B6825"/>
    <w:rsid w:val="007B6918"/>
    <w:rsid w:val="007B697E"/>
    <w:rsid w:val="007B6FAC"/>
    <w:rsid w:val="007B72D5"/>
    <w:rsid w:val="007B7524"/>
    <w:rsid w:val="007B77CB"/>
    <w:rsid w:val="007B7A0F"/>
    <w:rsid w:val="007B7BF4"/>
    <w:rsid w:val="007B7C39"/>
    <w:rsid w:val="007B7D2B"/>
    <w:rsid w:val="007B7DCB"/>
    <w:rsid w:val="007B7E59"/>
    <w:rsid w:val="007C043F"/>
    <w:rsid w:val="007C0483"/>
    <w:rsid w:val="007C04C1"/>
    <w:rsid w:val="007C0583"/>
    <w:rsid w:val="007C0A2C"/>
    <w:rsid w:val="007C0BD7"/>
    <w:rsid w:val="007C0D1A"/>
    <w:rsid w:val="007C14B1"/>
    <w:rsid w:val="007C1534"/>
    <w:rsid w:val="007C1A21"/>
    <w:rsid w:val="007C1B2E"/>
    <w:rsid w:val="007C2081"/>
    <w:rsid w:val="007C20CE"/>
    <w:rsid w:val="007C26C9"/>
    <w:rsid w:val="007C293F"/>
    <w:rsid w:val="007C2C4D"/>
    <w:rsid w:val="007C2C9A"/>
    <w:rsid w:val="007C2E39"/>
    <w:rsid w:val="007C3061"/>
    <w:rsid w:val="007C319D"/>
    <w:rsid w:val="007C362C"/>
    <w:rsid w:val="007C36B7"/>
    <w:rsid w:val="007C3725"/>
    <w:rsid w:val="007C37B0"/>
    <w:rsid w:val="007C3AC1"/>
    <w:rsid w:val="007C4192"/>
    <w:rsid w:val="007C457F"/>
    <w:rsid w:val="007C4619"/>
    <w:rsid w:val="007C4762"/>
    <w:rsid w:val="007C485A"/>
    <w:rsid w:val="007C4FD4"/>
    <w:rsid w:val="007C5040"/>
    <w:rsid w:val="007C5147"/>
    <w:rsid w:val="007C52FE"/>
    <w:rsid w:val="007C5926"/>
    <w:rsid w:val="007C59F8"/>
    <w:rsid w:val="007C5DFF"/>
    <w:rsid w:val="007C5EBB"/>
    <w:rsid w:val="007C6046"/>
    <w:rsid w:val="007C6178"/>
    <w:rsid w:val="007C6506"/>
    <w:rsid w:val="007C653E"/>
    <w:rsid w:val="007C657D"/>
    <w:rsid w:val="007C6727"/>
    <w:rsid w:val="007C68A4"/>
    <w:rsid w:val="007C6A96"/>
    <w:rsid w:val="007C6C5A"/>
    <w:rsid w:val="007C7676"/>
    <w:rsid w:val="007C7B52"/>
    <w:rsid w:val="007C7CCB"/>
    <w:rsid w:val="007C7EA7"/>
    <w:rsid w:val="007C7EE3"/>
    <w:rsid w:val="007D0068"/>
    <w:rsid w:val="007D028A"/>
    <w:rsid w:val="007D04C4"/>
    <w:rsid w:val="007D05E5"/>
    <w:rsid w:val="007D0609"/>
    <w:rsid w:val="007D06AB"/>
    <w:rsid w:val="007D06D4"/>
    <w:rsid w:val="007D0B58"/>
    <w:rsid w:val="007D139A"/>
    <w:rsid w:val="007D13A9"/>
    <w:rsid w:val="007D168E"/>
    <w:rsid w:val="007D17C7"/>
    <w:rsid w:val="007D1BD1"/>
    <w:rsid w:val="007D1EA3"/>
    <w:rsid w:val="007D221F"/>
    <w:rsid w:val="007D2484"/>
    <w:rsid w:val="007D26BA"/>
    <w:rsid w:val="007D2724"/>
    <w:rsid w:val="007D27E2"/>
    <w:rsid w:val="007D28A9"/>
    <w:rsid w:val="007D2A4A"/>
    <w:rsid w:val="007D3272"/>
    <w:rsid w:val="007D32B2"/>
    <w:rsid w:val="007D3311"/>
    <w:rsid w:val="007D340E"/>
    <w:rsid w:val="007D36E5"/>
    <w:rsid w:val="007D3780"/>
    <w:rsid w:val="007D37D9"/>
    <w:rsid w:val="007D37DF"/>
    <w:rsid w:val="007D399D"/>
    <w:rsid w:val="007D3A56"/>
    <w:rsid w:val="007D3D1A"/>
    <w:rsid w:val="007D3D5E"/>
    <w:rsid w:val="007D4004"/>
    <w:rsid w:val="007D40A6"/>
    <w:rsid w:val="007D4391"/>
    <w:rsid w:val="007D43EA"/>
    <w:rsid w:val="007D47A9"/>
    <w:rsid w:val="007D4C69"/>
    <w:rsid w:val="007D4DBD"/>
    <w:rsid w:val="007D4E95"/>
    <w:rsid w:val="007D4E98"/>
    <w:rsid w:val="007D5208"/>
    <w:rsid w:val="007D54A9"/>
    <w:rsid w:val="007D57FD"/>
    <w:rsid w:val="007D59E6"/>
    <w:rsid w:val="007D5B5C"/>
    <w:rsid w:val="007D5B82"/>
    <w:rsid w:val="007D5C98"/>
    <w:rsid w:val="007D5CD5"/>
    <w:rsid w:val="007D60F8"/>
    <w:rsid w:val="007D6924"/>
    <w:rsid w:val="007D6DF2"/>
    <w:rsid w:val="007D6ECB"/>
    <w:rsid w:val="007D701B"/>
    <w:rsid w:val="007D7025"/>
    <w:rsid w:val="007D72F8"/>
    <w:rsid w:val="007D73F2"/>
    <w:rsid w:val="007D7481"/>
    <w:rsid w:val="007D7574"/>
    <w:rsid w:val="007D75C2"/>
    <w:rsid w:val="007D79D4"/>
    <w:rsid w:val="007D7AC9"/>
    <w:rsid w:val="007D7BCA"/>
    <w:rsid w:val="007D7C14"/>
    <w:rsid w:val="007D7C2C"/>
    <w:rsid w:val="007D7DBB"/>
    <w:rsid w:val="007E0170"/>
    <w:rsid w:val="007E0A27"/>
    <w:rsid w:val="007E0C65"/>
    <w:rsid w:val="007E0CA1"/>
    <w:rsid w:val="007E0D01"/>
    <w:rsid w:val="007E0EB9"/>
    <w:rsid w:val="007E114B"/>
    <w:rsid w:val="007E1151"/>
    <w:rsid w:val="007E117A"/>
    <w:rsid w:val="007E15E9"/>
    <w:rsid w:val="007E187D"/>
    <w:rsid w:val="007E1899"/>
    <w:rsid w:val="007E1F99"/>
    <w:rsid w:val="007E20EB"/>
    <w:rsid w:val="007E23AC"/>
    <w:rsid w:val="007E282A"/>
    <w:rsid w:val="007E282B"/>
    <w:rsid w:val="007E2BB3"/>
    <w:rsid w:val="007E2D75"/>
    <w:rsid w:val="007E2E38"/>
    <w:rsid w:val="007E3219"/>
    <w:rsid w:val="007E39E9"/>
    <w:rsid w:val="007E3A99"/>
    <w:rsid w:val="007E3E75"/>
    <w:rsid w:val="007E3F43"/>
    <w:rsid w:val="007E4029"/>
    <w:rsid w:val="007E45A9"/>
    <w:rsid w:val="007E472C"/>
    <w:rsid w:val="007E49FB"/>
    <w:rsid w:val="007E4BC3"/>
    <w:rsid w:val="007E4CC6"/>
    <w:rsid w:val="007E516E"/>
    <w:rsid w:val="007E57A6"/>
    <w:rsid w:val="007E57EA"/>
    <w:rsid w:val="007E59C0"/>
    <w:rsid w:val="007E5AF4"/>
    <w:rsid w:val="007E5C74"/>
    <w:rsid w:val="007E5EBC"/>
    <w:rsid w:val="007E5F9E"/>
    <w:rsid w:val="007E60A1"/>
    <w:rsid w:val="007E61B7"/>
    <w:rsid w:val="007E650A"/>
    <w:rsid w:val="007E67B2"/>
    <w:rsid w:val="007E68F3"/>
    <w:rsid w:val="007E6AB8"/>
    <w:rsid w:val="007E6EBE"/>
    <w:rsid w:val="007E7027"/>
    <w:rsid w:val="007E759A"/>
    <w:rsid w:val="007E763C"/>
    <w:rsid w:val="007E7691"/>
    <w:rsid w:val="007E76FD"/>
    <w:rsid w:val="007E77E8"/>
    <w:rsid w:val="007E78E5"/>
    <w:rsid w:val="007E7B96"/>
    <w:rsid w:val="007E7C41"/>
    <w:rsid w:val="007E7E36"/>
    <w:rsid w:val="007E7E4A"/>
    <w:rsid w:val="007F018F"/>
    <w:rsid w:val="007F04C8"/>
    <w:rsid w:val="007F050C"/>
    <w:rsid w:val="007F0536"/>
    <w:rsid w:val="007F0989"/>
    <w:rsid w:val="007F0C37"/>
    <w:rsid w:val="007F0D0D"/>
    <w:rsid w:val="007F0DA3"/>
    <w:rsid w:val="007F0DE0"/>
    <w:rsid w:val="007F0FBB"/>
    <w:rsid w:val="007F109A"/>
    <w:rsid w:val="007F1472"/>
    <w:rsid w:val="007F14F6"/>
    <w:rsid w:val="007F1612"/>
    <w:rsid w:val="007F1E8A"/>
    <w:rsid w:val="007F207D"/>
    <w:rsid w:val="007F2199"/>
    <w:rsid w:val="007F219B"/>
    <w:rsid w:val="007F2470"/>
    <w:rsid w:val="007F248B"/>
    <w:rsid w:val="007F2563"/>
    <w:rsid w:val="007F2598"/>
    <w:rsid w:val="007F25E6"/>
    <w:rsid w:val="007F26EC"/>
    <w:rsid w:val="007F2AC1"/>
    <w:rsid w:val="007F305F"/>
    <w:rsid w:val="007F30E5"/>
    <w:rsid w:val="007F33C8"/>
    <w:rsid w:val="007F361B"/>
    <w:rsid w:val="007F37BC"/>
    <w:rsid w:val="007F3801"/>
    <w:rsid w:val="007F397C"/>
    <w:rsid w:val="007F3A05"/>
    <w:rsid w:val="007F3B91"/>
    <w:rsid w:val="007F4331"/>
    <w:rsid w:val="007F436D"/>
    <w:rsid w:val="007F448B"/>
    <w:rsid w:val="007F473C"/>
    <w:rsid w:val="007F4852"/>
    <w:rsid w:val="007F4A67"/>
    <w:rsid w:val="007F4DD6"/>
    <w:rsid w:val="007F57D1"/>
    <w:rsid w:val="007F5947"/>
    <w:rsid w:val="007F59B4"/>
    <w:rsid w:val="007F5DD6"/>
    <w:rsid w:val="007F5E02"/>
    <w:rsid w:val="007F60D5"/>
    <w:rsid w:val="007F6129"/>
    <w:rsid w:val="007F649E"/>
    <w:rsid w:val="007F6DD5"/>
    <w:rsid w:val="007F6F09"/>
    <w:rsid w:val="007F7048"/>
    <w:rsid w:val="007F7190"/>
    <w:rsid w:val="007F73D4"/>
    <w:rsid w:val="007F75B4"/>
    <w:rsid w:val="007F7707"/>
    <w:rsid w:val="007F7EF5"/>
    <w:rsid w:val="007F7FE9"/>
    <w:rsid w:val="00800230"/>
    <w:rsid w:val="00800262"/>
    <w:rsid w:val="00800264"/>
    <w:rsid w:val="00800337"/>
    <w:rsid w:val="00800642"/>
    <w:rsid w:val="008006A5"/>
    <w:rsid w:val="0080071E"/>
    <w:rsid w:val="008007F9"/>
    <w:rsid w:val="00800875"/>
    <w:rsid w:val="00800A14"/>
    <w:rsid w:val="00800BE1"/>
    <w:rsid w:val="00800DF8"/>
    <w:rsid w:val="008015AA"/>
    <w:rsid w:val="008016C3"/>
    <w:rsid w:val="00801B10"/>
    <w:rsid w:val="00801C92"/>
    <w:rsid w:val="00801EF7"/>
    <w:rsid w:val="0080207E"/>
    <w:rsid w:val="008022B6"/>
    <w:rsid w:val="0080238F"/>
    <w:rsid w:val="008023F4"/>
    <w:rsid w:val="008028B7"/>
    <w:rsid w:val="00802A50"/>
    <w:rsid w:val="00802CD1"/>
    <w:rsid w:val="00803321"/>
    <w:rsid w:val="008035EB"/>
    <w:rsid w:val="0080376F"/>
    <w:rsid w:val="0080383F"/>
    <w:rsid w:val="00803AF6"/>
    <w:rsid w:val="00803DA6"/>
    <w:rsid w:val="00803F30"/>
    <w:rsid w:val="00803F42"/>
    <w:rsid w:val="00803F9B"/>
    <w:rsid w:val="00803F9F"/>
    <w:rsid w:val="008040C0"/>
    <w:rsid w:val="00804309"/>
    <w:rsid w:val="008044CC"/>
    <w:rsid w:val="0080469B"/>
    <w:rsid w:val="008047FB"/>
    <w:rsid w:val="0080497D"/>
    <w:rsid w:val="00804B46"/>
    <w:rsid w:val="00804B6A"/>
    <w:rsid w:val="00804EE3"/>
    <w:rsid w:val="008053D1"/>
    <w:rsid w:val="0080543A"/>
    <w:rsid w:val="0080581A"/>
    <w:rsid w:val="008058F6"/>
    <w:rsid w:val="00805D51"/>
    <w:rsid w:val="00805EDF"/>
    <w:rsid w:val="0080609F"/>
    <w:rsid w:val="0080613B"/>
    <w:rsid w:val="00806800"/>
    <w:rsid w:val="00806864"/>
    <w:rsid w:val="00806A4A"/>
    <w:rsid w:val="00806C1A"/>
    <w:rsid w:val="00806E53"/>
    <w:rsid w:val="00807021"/>
    <w:rsid w:val="0080724D"/>
    <w:rsid w:val="008074EE"/>
    <w:rsid w:val="008076A4"/>
    <w:rsid w:val="00807876"/>
    <w:rsid w:val="008079F0"/>
    <w:rsid w:val="0081060E"/>
    <w:rsid w:val="00810670"/>
    <w:rsid w:val="00810A92"/>
    <w:rsid w:val="00810C17"/>
    <w:rsid w:val="00810E02"/>
    <w:rsid w:val="00811220"/>
    <w:rsid w:val="00811278"/>
    <w:rsid w:val="00811320"/>
    <w:rsid w:val="00811616"/>
    <w:rsid w:val="00811A6E"/>
    <w:rsid w:val="00811C67"/>
    <w:rsid w:val="00811E95"/>
    <w:rsid w:val="00811F2C"/>
    <w:rsid w:val="00811F73"/>
    <w:rsid w:val="00812217"/>
    <w:rsid w:val="00812335"/>
    <w:rsid w:val="00812590"/>
    <w:rsid w:val="0081291B"/>
    <w:rsid w:val="0081291C"/>
    <w:rsid w:val="00812955"/>
    <w:rsid w:val="00812D50"/>
    <w:rsid w:val="00812D64"/>
    <w:rsid w:val="008133A4"/>
    <w:rsid w:val="00813672"/>
    <w:rsid w:val="00813952"/>
    <w:rsid w:val="00813964"/>
    <w:rsid w:val="00813AF6"/>
    <w:rsid w:val="00813B2F"/>
    <w:rsid w:val="00813CFB"/>
    <w:rsid w:val="00814006"/>
    <w:rsid w:val="00814007"/>
    <w:rsid w:val="008143FB"/>
    <w:rsid w:val="008146E2"/>
    <w:rsid w:val="00814A11"/>
    <w:rsid w:val="00814B4F"/>
    <w:rsid w:val="00814DAE"/>
    <w:rsid w:val="00814EAF"/>
    <w:rsid w:val="00814FEE"/>
    <w:rsid w:val="0081509C"/>
    <w:rsid w:val="008151B5"/>
    <w:rsid w:val="008151E0"/>
    <w:rsid w:val="0081545E"/>
    <w:rsid w:val="00815573"/>
    <w:rsid w:val="0081571A"/>
    <w:rsid w:val="00815959"/>
    <w:rsid w:val="008159F2"/>
    <w:rsid w:val="00815FF2"/>
    <w:rsid w:val="00816192"/>
    <w:rsid w:val="0081654E"/>
    <w:rsid w:val="00816587"/>
    <w:rsid w:val="00816616"/>
    <w:rsid w:val="00816619"/>
    <w:rsid w:val="00816730"/>
    <w:rsid w:val="008167EF"/>
    <w:rsid w:val="0081692F"/>
    <w:rsid w:val="00816B84"/>
    <w:rsid w:val="00816C21"/>
    <w:rsid w:val="00817068"/>
    <w:rsid w:val="008175AC"/>
    <w:rsid w:val="00817627"/>
    <w:rsid w:val="00817835"/>
    <w:rsid w:val="00817A0F"/>
    <w:rsid w:val="00817C1C"/>
    <w:rsid w:val="00817C81"/>
    <w:rsid w:val="00817EB3"/>
    <w:rsid w:val="00820213"/>
    <w:rsid w:val="00820242"/>
    <w:rsid w:val="0082033F"/>
    <w:rsid w:val="00820373"/>
    <w:rsid w:val="008205E7"/>
    <w:rsid w:val="008205F6"/>
    <w:rsid w:val="008208F3"/>
    <w:rsid w:val="00820979"/>
    <w:rsid w:val="00820A11"/>
    <w:rsid w:val="00820BDC"/>
    <w:rsid w:val="00820C9A"/>
    <w:rsid w:val="00821015"/>
    <w:rsid w:val="008210AD"/>
    <w:rsid w:val="008216F6"/>
    <w:rsid w:val="00821738"/>
    <w:rsid w:val="00821813"/>
    <w:rsid w:val="00821A4E"/>
    <w:rsid w:val="00821BF0"/>
    <w:rsid w:val="00821EA2"/>
    <w:rsid w:val="008221C7"/>
    <w:rsid w:val="008224CD"/>
    <w:rsid w:val="0082252E"/>
    <w:rsid w:val="008225D0"/>
    <w:rsid w:val="00823079"/>
    <w:rsid w:val="00823161"/>
    <w:rsid w:val="00823462"/>
    <w:rsid w:val="00823680"/>
    <w:rsid w:val="008237AB"/>
    <w:rsid w:val="008239A9"/>
    <w:rsid w:val="00823AFC"/>
    <w:rsid w:val="00823F6D"/>
    <w:rsid w:val="008241E0"/>
    <w:rsid w:val="00824490"/>
    <w:rsid w:val="0082459B"/>
    <w:rsid w:val="00824687"/>
    <w:rsid w:val="0082486E"/>
    <w:rsid w:val="00824942"/>
    <w:rsid w:val="00824B60"/>
    <w:rsid w:val="00824BDB"/>
    <w:rsid w:val="00824EC0"/>
    <w:rsid w:val="00825456"/>
    <w:rsid w:val="008255B9"/>
    <w:rsid w:val="00825619"/>
    <w:rsid w:val="00825B3D"/>
    <w:rsid w:val="00825D11"/>
    <w:rsid w:val="00825E24"/>
    <w:rsid w:val="00825EAF"/>
    <w:rsid w:val="008263C0"/>
    <w:rsid w:val="00826796"/>
    <w:rsid w:val="00826A4F"/>
    <w:rsid w:val="00826D41"/>
    <w:rsid w:val="0082703E"/>
    <w:rsid w:val="008277E3"/>
    <w:rsid w:val="00827A53"/>
    <w:rsid w:val="00827B26"/>
    <w:rsid w:val="00827D5B"/>
    <w:rsid w:val="00827DBC"/>
    <w:rsid w:val="00830208"/>
    <w:rsid w:val="00830546"/>
    <w:rsid w:val="00830E67"/>
    <w:rsid w:val="00830F17"/>
    <w:rsid w:val="008313CD"/>
    <w:rsid w:val="0083140E"/>
    <w:rsid w:val="008315B9"/>
    <w:rsid w:val="00831D74"/>
    <w:rsid w:val="00831FDC"/>
    <w:rsid w:val="008324BC"/>
    <w:rsid w:val="00832894"/>
    <w:rsid w:val="00832A3A"/>
    <w:rsid w:val="00832B0C"/>
    <w:rsid w:val="00833001"/>
    <w:rsid w:val="008333CA"/>
    <w:rsid w:val="0083347C"/>
    <w:rsid w:val="008334F8"/>
    <w:rsid w:val="00833721"/>
    <w:rsid w:val="00833E38"/>
    <w:rsid w:val="00833E7F"/>
    <w:rsid w:val="00833F69"/>
    <w:rsid w:val="00834077"/>
    <w:rsid w:val="0083414B"/>
    <w:rsid w:val="00834919"/>
    <w:rsid w:val="00834BCD"/>
    <w:rsid w:val="00834D14"/>
    <w:rsid w:val="00834D44"/>
    <w:rsid w:val="00834E8B"/>
    <w:rsid w:val="00834EB1"/>
    <w:rsid w:val="00834F46"/>
    <w:rsid w:val="00835047"/>
    <w:rsid w:val="008351B6"/>
    <w:rsid w:val="008351EB"/>
    <w:rsid w:val="0083567F"/>
    <w:rsid w:val="008356D6"/>
    <w:rsid w:val="00835AAA"/>
    <w:rsid w:val="00835BD9"/>
    <w:rsid w:val="00835BE4"/>
    <w:rsid w:val="00835E6F"/>
    <w:rsid w:val="008360A7"/>
    <w:rsid w:val="00836448"/>
    <w:rsid w:val="00837005"/>
    <w:rsid w:val="0083739A"/>
    <w:rsid w:val="00837582"/>
    <w:rsid w:val="00837614"/>
    <w:rsid w:val="00837767"/>
    <w:rsid w:val="00837810"/>
    <w:rsid w:val="00837D5A"/>
    <w:rsid w:val="00837D76"/>
    <w:rsid w:val="00837D7F"/>
    <w:rsid w:val="00837DF7"/>
    <w:rsid w:val="00837FE4"/>
    <w:rsid w:val="008406D5"/>
    <w:rsid w:val="008406E1"/>
    <w:rsid w:val="0084082C"/>
    <w:rsid w:val="00840A57"/>
    <w:rsid w:val="00840D4A"/>
    <w:rsid w:val="00840FE8"/>
    <w:rsid w:val="008410B9"/>
    <w:rsid w:val="008415DE"/>
    <w:rsid w:val="008416C5"/>
    <w:rsid w:val="00841ADD"/>
    <w:rsid w:val="00841C08"/>
    <w:rsid w:val="00842070"/>
    <w:rsid w:val="0084292E"/>
    <w:rsid w:val="00842948"/>
    <w:rsid w:val="00842DD8"/>
    <w:rsid w:val="00842F68"/>
    <w:rsid w:val="00843000"/>
    <w:rsid w:val="00843021"/>
    <w:rsid w:val="00843109"/>
    <w:rsid w:val="00843312"/>
    <w:rsid w:val="008434AB"/>
    <w:rsid w:val="0084351F"/>
    <w:rsid w:val="008439B5"/>
    <w:rsid w:val="008439FD"/>
    <w:rsid w:val="00843A79"/>
    <w:rsid w:val="00843D7C"/>
    <w:rsid w:val="0084417B"/>
    <w:rsid w:val="0084443E"/>
    <w:rsid w:val="008444BC"/>
    <w:rsid w:val="008444F2"/>
    <w:rsid w:val="0084481E"/>
    <w:rsid w:val="00844CDF"/>
    <w:rsid w:val="00844E83"/>
    <w:rsid w:val="00844FE3"/>
    <w:rsid w:val="008451D9"/>
    <w:rsid w:val="00845243"/>
    <w:rsid w:val="00845471"/>
    <w:rsid w:val="00845887"/>
    <w:rsid w:val="00845ADB"/>
    <w:rsid w:val="00845B7F"/>
    <w:rsid w:val="00845B9E"/>
    <w:rsid w:val="00845BC2"/>
    <w:rsid w:val="00845D86"/>
    <w:rsid w:val="00845F91"/>
    <w:rsid w:val="00846058"/>
    <w:rsid w:val="0084654E"/>
    <w:rsid w:val="0084669C"/>
    <w:rsid w:val="0084670D"/>
    <w:rsid w:val="00846828"/>
    <w:rsid w:val="00846B00"/>
    <w:rsid w:val="00846CCC"/>
    <w:rsid w:val="00846E19"/>
    <w:rsid w:val="00846EA4"/>
    <w:rsid w:val="00847471"/>
    <w:rsid w:val="00847670"/>
    <w:rsid w:val="008476B9"/>
    <w:rsid w:val="00847904"/>
    <w:rsid w:val="00847DC4"/>
    <w:rsid w:val="00847EC6"/>
    <w:rsid w:val="00850213"/>
    <w:rsid w:val="008504B6"/>
    <w:rsid w:val="00850544"/>
    <w:rsid w:val="00850641"/>
    <w:rsid w:val="0085068C"/>
    <w:rsid w:val="00850818"/>
    <w:rsid w:val="00850858"/>
    <w:rsid w:val="00850E41"/>
    <w:rsid w:val="00851309"/>
    <w:rsid w:val="00851375"/>
    <w:rsid w:val="00851427"/>
    <w:rsid w:val="0085155A"/>
    <w:rsid w:val="0085160F"/>
    <w:rsid w:val="00851681"/>
    <w:rsid w:val="008517C0"/>
    <w:rsid w:val="008519C1"/>
    <w:rsid w:val="00851BBB"/>
    <w:rsid w:val="00851C1A"/>
    <w:rsid w:val="00851C52"/>
    <w:rsid w:val="00851C69"/>
    <w:rsid w:val="00851EC4"/>
    <w:rsid w:val="00851FD0"/>
    <w:rsid w:val="008524DD"/>
    <w:rsid w:val="00852535"/>
    <w:rsid w:val="008526B7"/>
    <w:rsid w:val="00852968"/>
    <w:rsid w:val="00852F89"/>
    <w:rsid w:val="00853122"/>
    <w:rsid w:val="008531B5"/>
    <w:rsid w:val="00853209"/>
    <w:rsid w:val="008532FA"/>
    <w:rsid w:val="00853882"/>
    <w:rsid w:val="00853AE5"/>
    <w:rsid w:val="00853D36"/>
    <w:rsid w:val="00853E75"/>
    <w:rsid w:val="00853F29"/>
    <w:rsid w:val="00853FBF"/>
    <w:rsid w:val="008543C6"/>
    <w:rsid w:val="0085454E"/>
    <w:rsid w:val="00854671"/>
    <w:rsid w:val="008546DE"/>
    <w:rsid w:val="00854725"/>
    <w:rsid w:val="00854754"/>
    <w:rsid w:val="00854802"/>
    <w:rsid w:val="008548C6"/>
    <w:rsid w:val="00854B7A"/>
    <w:rsid w:val="00854DDD"/>
    <w:rsid w:val="00854EA1"/>
    <w:rsid w:val="00855055"/>
    <w:rsid w:val="00855155"/>
    <w:rsid w:val="00855350"/>
    <w:rsid w:val="008556AE"/>
    <w:rsid w:val="008556E7"/>
    <w:rsid w:val="008557FC"/>
    <w:rsid w:val="00855984"/>
    <w:rsid w:val="00855E6F"/>
    <w:rsid w:val="00855EA9"/>
    <w:rsid w:val="00855F7D"/>
    <w:rsid w:val="00856234"/>
    <w:rsid w:val="0085634A"/>
    <w:rsid w:val="0085648C"/>
    <w:rsid w:val="008566C1"/>
    <w:rsid w:val="00856A57"/>
    <w:rsid w:val="00856CA2"/>
    <w:rsid w:val="00856DF2"/>
    <w:rsid w:val="008570D5"/>
    <w:rsid w:val="00857138"/>
    <w:rsid w:val="00857378"/>
    <w:rsid w:val="008573C0"/>
    <w:rsid w:val="00857B69"/>
    <w:rsid w:val="00857F9B"/>
    <w:rsid w:val="00857FCD"/>
    <w:rsid w:val="00860020"/>
    <w:rsid w:val="00860761"/>
    <w:rsid w:val="008609B6"/>
    <w:rsid w:val="00860DE1"/>
    <w:rsid w:val="00860E3F"/>
    <w:rsid w:val="00860ED5"/>
    <w:rsid w:val="00860F51"/>
    <w:rsid w:val="0086137D"/>
    <w:rsid w:val="008613A3"/>
    <w:rsid w:val="00861496"/>
    <w:rsid w:val="00861809"/>
    <w:rsid w:val="008618CE"/>
    <w:rsid w:val="00861967"/>
    <w:rsid w:val="00861D41"/>
    <w:rsid w:val="00862237"/>
    <w:rsid w:val="00862776"/>
    <w:rsid w:val="0086286C"/>
    <w:rsid w:val="00862D98"/>
    <w:rsid w:val="00862EC9"/>
    <w:rsid w:val="00862FFF"/>
    <w:rsid w:val="00863224"/>
    <w:rsid w:val="00863273"/>
    <w:rsid w:val="00863537"/>
    <w:rsid w:val="0086361F"/>
    <w:rsid w:val="008637D9"/>
    <w:rsid w:val="0086390E"/>
    <w:rsid w:val="00863F89"/>
    <w:rsid w:val="008640BF"/>
    <w:rsid w:val="00864114"/>
    <w:rsid w:val="008641C1"/>
    <w:rsid w:val="0086452C"/>
    <w:rsid w:val="00864589"/>
    <w:rsid w:val="008648CF"/>
    <w:rsid w:val="008649A8"/>
    <w:rsid w:val="00864C4C"/>
    <w:rsid w:val="00864C7D"/>
    <w:rsid w:val="00864DCA"/>
    <w:rsid w:val="008650AB"/>
    <w:rsid w:val="00865195"/>
    <w:rsid w:val="008652CA"/>
    <w:rsid w:val="008653FD"/>
    <w:rsid w:val="008656AB"/>
    <w:rsid w:val="008659A3"/>
    <w:rsid w:val="008659B2"/>
    <w:rsid w:val="00865CC4"/>
    <w:rsid w:val="00865E6C"/>
    <w:rsid w:val="00865F68"/>
    <w:rsid w:val="00866397"/>
    <w:rsid w:val="00866430"/>
    <w:rsid w:val="008664F1"/>
    <w:rsid w:val="008665AB"/>
    <w:rsid w:val="00866B11"/>
    <w:rsid w:val="00866E65"/>
    <w:rsid w:val="00866F6E"/>
    <w:rsid w:val="008670AD"/>
    <w:rsid w:val="008671A9"/>
    <w:rsid w:val="00867832"/>
    <w:rsid w:val="00867B9C"/>
    <w:rsid w:val="00867BA7"/>
    <w:rsid w:val="00867E70"/>
    <w:rsid w:val="00867F18"/>
    <w:rsid w:val="0087029D"/>
    <w:rsid w:val="008702D1"/>
    <w:rsid w:val="0087047A"/>
    <w:rsid w:val="00870761"/>
    <w:rsid w:val="008707F0"/>
    <w:rsid w:val="00870CF9"/>
    <w:rsid w:val="00870D82"/>
    <w:rsid w:val="00871A6F"/>
    <w:rsid w:val="00871E5E"/>
    <w:rsid w:val="00871EE6"/>
    <w:rsid w:val="00871F84"/>
    <w:rsid w:val="0087224E"/>
    <w:rsid w:val="008722BD"/>
    <w:rsid w:val="008722EB"/>
    <w:rsid w:val="008723C0"/>
    <w:rsid w:val="008725D5"/>
    <w:rsid w:val="008729F8"/>
    <w:rsid w:val="00872A22"/>
    <w:rsid w:val="00872B5B"/>
    <w:rsid w:val="00872DAB"/>
    <w:rsid w:val="00872E6B"/>
    <w:rsid w:val="00873428"/>
    <w:rsid w:val="00873492"/>
    <w:rsid w:val="008739C2"/>
    <w:rsid w:val="00873B0D"/>
    <w:rsid w:val="00873D98"/>
    <w:rsid w:val="00873DC0"/>
    <w:rsid w:val="00873F9A"/>
    <w:rsid w:val="00874016"/>
    <w:rsid w:val="0087405D"/>
    <w:rsid w:val="0087419C"/>
    <w:rsid w:val="008742E4"/>
    <w:rsid w:val="00874940"/>
    <w:rsid w:val="008749F5"/>
    <w:rsid w:val="00874AE3"/>
    <w:rsid w:val="00875108"/>
    <w:rsid w:val="00875695"/>
    <w:rsid w:val="00875868"/>
    <w:rsid w:val="008759DD"/>
    <w:rsid w:val="00875DCC"/>
    <w:rsid w:val="00875E6F"/>
    <w:rsid w:val="00875FE7"/>
    <w:rsid w:val="008761AC"/>
    <w:rsid w:val="0087628D"/>
    <w:rsid w:val="0087663F"/>
    <w:rsid w:val="0087667E"/>
    <w:rsid w:val="008766A8"/>
    <w:rsid w:val="008768DE"/>
    <w:rsid w:val="00876D20"/>
    <w:rsid w:val="00876D35"/>
    <w:rsid w:val="0087722E"/>
    <w:rsid w:val="00877543"/>
    <w:rsid w:val="0088001E"/>
    <w:rsid w:val="00880187"/>
    <w:rsid w:val="008803A5"/>
    <w:rsid w:val="008808B8"/>
    <w:rsid w:val="0088091F"/>
    <w:rsid w:val="00880BF2"/>
    <w:rsid w:val="00880EB7"/>
    <w:rsid w:val="00880EBF"/>
    <w:rsid w:val="00880F69"/>
    <w:rsid w:val="0088106B"/>
    <w:rsid w:val="0088106C"/>
    <w:rsid w:val="008813EB"/>
    <w:rsid w:val="008815E4"/>
    <w:rsid w:val="00881733"/>
    <w:rsid w:val="00881858"/>
    <w:rsid w:val="008819CE"/>
    <w:rsid w:val="008819D6"/>
    <w:rsid w:val="00881C5A"/>
    <w:rsid w:val="0088209C"/>
    <w:rsid w:val="0088246A"/>
    <w:rsid w:val="00882A5B"/>
    <w:rsid w:val="008830B1"/>
    <w:rsid w:val="008831F2"/>
    <w:rsid w:val="00883260"/>
    <w:rsid w:val="0088338D"/>
    <w:rsid w:val="00883461"/>
    <w:rsid w:val="008837F3"/>
    <w:rsid w:val="0088384D"/>
    <w:rsid w:val="0088390C"/>
    <w:rsid w:val="00883FD5"/>
    <w:rsid w:val="00884070"/>
    <w:rsid w:val="008840C3"/>
    <w:rsid w:val="008848B0"/>
    <w:rsid w:val="00884B56"/>
    <w:rsid w:val="00884D4B"/>
    <w:rsid w:val="00884ECC"/>
    <w:rsid w:val="00885485"/>
    <w:rsid w:val="008854FA"/>
    <w:rsid w:val="00885951"/>
    <w:rsid w:val="00885A7A"/>
    <w:rsid w:val="00885B39"/>
    <w:rsid w:val="00885C9F"/>
    <w:rsid w:val="00885D3F"/>
    <w:rsid w:val="00885D75"/>
    <w:rsid w:val="00885F66"/>
    <w:rsid w:val="008861AA"/>
    <w:rsid w:val="00886446"/>
    <w:rsid w:val="0088695B"/>
    <w:rsid w:val="00886C0E"/>
    <w:rsid w:val="00886E1C"/>
    <w:rsid w:val="00886FF5"/>
    <w:rsid w:val="008874AD"/>
    <w:rsid w:val="00887C71"/>
    <w:rsid w:val="00887D39"/>
    <w:rsid w:val="00887E58"/>
    <w:rsid w:val="00890197"/>
    <w:rsid w:val="008902BD"/>
    <w:rsid w:val="00890954"/>
    <w:rsid w:val="00890CEA"/>
    <w:rsid w:val="00890D22"/>
    <w:rsid w:val="00891414"/>
    <w:rsid w:val="008917F0"/>
    <w:rsid w:val="00891EB4"/>
    <w:rsid w:val="00892199"/>
    <w:rsid w:val="00892356"/>
    <w:rsid w:val="00892A35"/>
    <w:rsid w:val="00892E03"/>
    <w:rsid w:val="00893245"/>
    <w:rsid w:val="00893A72"/>
    <w:rsid w:val="00893B29"/>
    <w:rsid w:val="00893B6B"/>
    <w:rsid w:val="00893CFA"/>
    <w:rsid w:val="00893F94"/>
    <w:rsid w:val="008940A5"/>
    <w:rsid w:val="008942F9"/>
    <w:rsid w:val="008944AE"/>
    <w:rsid w:val="008947A5"/>
    <w:rsid w:val="00894920"/>
    <w:rsid w:val="00894DA7"/>
    <w:rsid w:val="00894E9A"/>
    <w:rsid w:val="0089508C"/>
    <w:rsid w:val="00895401"/>
    <w:rsid w:val="008957BE"/>
    <w:rsid w:val="00895ABC"/>
    <w:rsid w:val="00895B58"/>
    <w:rsid w:val="00895E2C"/>
    <w:rsid w:val="00896005"/>
    <w:rsid w:val="00896511"/>
    <w:rsid w:val="008966BC"/>
    <w:rsid w:val="008969E9"/>
    <w:rsid w:val="00896C33"/>
    <w:rsid w:val="00896C53"/>
    <w:rsid w:val="008970C0"/>
    <w:rsid w:val="00897116"/>
    <w:rsid w:val="00897168"/>
    <w:rsid w:val="008971F2"/>
    <w:rsid w:val="008973AC"/>
    <w:rsid w:val="008974EF"/>
    <w:rsid w:val="008975C5"/>
    <w:rsid w:val="008976FF"/>
    <w:rsid w:val="008978CA"/>
    <w:rsid w:val="00897935"/>
    <w:rsid w:val="00897B1F"/>
    <w:rsid w:val="00897B3C"/>
    <w:rsid w:val="00897B87"/>
    <w:rsid w:val="00897C5E"/>
    <w:rsid w:val="00897DFD"/>
    <w:rsid w:val="00897E93"/>
    <w:rsid w:val="008A01BA"/>
    <w:rsid w:val="008A0283"/>
    <w:rsid w:val="008A0409"/>
    <w:rsid w:val="008A081A"/>
    <w:rsid w:val="008A09BE"/>
    <w:rsid w:val="008A0DB5"/>
    <w:rsid w:val="008A0E13"/>
    <w:rsid w:val="008A122C"/>
    <w:rsid w:val="008A1670"/>
    <w:rsid w:val="008A1909"/>
    <w:rsid w:val="008A1AE7"/>
    <w:rsid w:val="008A1F75"/>
    <w:rsid w:val="008A2268"/>
    <w:rsid w:val="008A2686"/>
    <w:rsid w:val="008A2A43"/>
    <w:rsid w:val="008A2D5A"/>
    <w:rsid w:val="008A2FE7"/>
    <w:rsid w:val="008A35C0"/>
    <w:rsid w:val="008A3753"/>
    <w:rsid w:val="008A3909"/>
    <w:rsid w:val="008A39EE"/>
    <w:rsid w:val="008A3D0E"/>
    <w:rsid w:val="008A3E53"/>
    <w:rsid w:val="008A3F8B"/>
    <w:rsid w:val="008A413C"/>
    <w:rsid w:val="008A4207"/>
    <w:rsid w:val="008A44A6"/>
    <w:rsid w:val="008A4846"/>
    <w:rsid w:val="008A48FA"/>
    <w:rsid w:val="008A4ABD"/>
    <w:rsid w:val="008A4CA7"/>
    <w:rsid w:val="008A5053"/>
    <w:rsid w:val="008A5296"/>
    <w:rsid w:val="008A5417"/>
    <w:rsid w:val="008A55E3"/>
    <w:rsid w:val="008A5A69"/>
    <w:rsid w:val="008A5CDC"/>
    <w:rsid w:val="008A647F"/>
    <w:rsid w:val="008A65AA"/>
    <w:rsid w:val="008A6696"/>
    <w:rsid w:val="008A67F0"/>
    <w:rsid w:val="008A695F"/>
    <w:rsid w:val="008A6C8C"/>
    <w:rsid w:val="008A6D71"/>
    <w:rsid w:val="008A6D7C"/>
    <w:rsid w:val="008A6FAC"/>
    <w:rsid w:val="008A6FE0"/>
    <w:rsid w:val="008A73A7"/>
    <w:rsid w:val="008A7649"/>
    <w:rsid w:val="008A7721"/>
    <w:rsid w:val="008A7C14"/>
    <w:rsid w:val="008A7CA7"/>
    <w:rsid w:val="008A7CCC"/>
    <w:rsid w:val="008A7F75"/>
    <w:rsid w:val="008A7FD2"/>
    <w:rsid w:val="008B01B9"/>
    <w:rsid w:val="008B03A4"/>
    <w:rsid w:val="008B042B"/>
    <w:rsid w:val="008B0696"/>
    <w:rsid w:val="008B078E"/>
    <w:rsid w:val="008B0A6A"/>
    <w:rsid w:val="008B0DF7"/>
    <w:rsid w:val="008B0DFD"/>
    <w:rsid w:val="008B0E22"/>
    <w:rsid w:val="008B14AB"/>
    <w:rsid w:val="008B167A"/>
    <w:rsid w:val="008B19BA"/>
    <w:rsid w:val="008B1D62"/>
    <w:rsid w:val="008B1E2C"/>
    <w:rsid w:val="008B213F"/>
    <w:rsid w:val="008B2496"/>
    <w:rsid w:val="008B24B2"/>
    <w:rsid w:val="008B24FA"/>
    <w:rsid w:val="008B262E"/>
    <w:rsid w:val="008B26FD"/>
    <w:rsid w:val="008B27FC"/>
    <w:rsid w:val="008B2C0C"/>
    <w:rsid w:val="008B2C5A"/>
    <w:rsid w:val="008B2C63"/>
    <w:rsid w:val="008B31D4"/>
    <w:rsid w:val="008B3208"/>
    <w:rsid w:val="008B3364"/>
    <w:rsid w:val="008B3431"/>
    <w:rsid w:val="008B354A"/>
    <w:rsid w:val="008B3814"/>
    <w:rsid w:val="008B3A2B"/>
    <w:rsid w:val="008B3B01"/>
    <w:rsid w:val="008B3D6D"/>
    <w:rsid w:val="008B4425"/>
    <w:rsid w:val="008B4668"/>
    <w:rsid w:val="008B4902"/>
    <w:rsid w:val="008B4B3F"/>
    <w:rsid w:val="008B4C26"/>
    <w:rsid w:val="008B4F5D"/>
    <w:rsid w:val="008B4FAB"/>
    <w:rsid w:val="008B50A7"/>
    <w:rsid w:val="008B511F"/>
    <w:rsid w:val="008B51DC"/>
    <w:rsid w:val="008B53EB"/>
    <w:rsid w:val="008B54D5"/>
    <w:rsid w:val="008B55B1"/>
    <w:rsid w:val="008B574F"/>
    <w:rsid w:val="008B5895"/>
    <w:rsid w:val="008B5AF6"/>
    <w:rsid w:val="008B5DBC"/>
    <w:rsid w:val="008B5E39"/>
    <w:rsid w:val="008B6155"/>
    <w:rsid w:val="008B61E1"/>
    <w:rsid w:val="008B63E7"/>
    <w:rsid w:val="008B64A6"/>
    <w:rsid w:val="008B662A"/>
    <w:rsid w:val="008B662C"/>
    <w:rsid w:val="008B69E1"/>
    <w:rsid w:val="008B6A96"/>
    <w:rsid w:val="008B707A"/>
    <w:rsid w:val="008B731E"/>
    <w:rsid w:val="008B7352"/>
    <w:rsid w:val="008B7550"/>
    <w:rsid w:val="008B75B1"/>
    <w:rsid w:val="008B75B4"/>
    <w:rsid w:val="008B7790"/>
    <w:rsid w:val="008B77DD"/>
    <w:rsid w:val="008B79BF"/>
    <w:rsid w:val="008B7C7A"/>
    <w:rsid w:val="008C0149"/>
    <w:rsid w:val="008C051F"/>
    <w:rsid w:val="008C0613"/>
    <w:rsid w:val="008C08CA"/>
    <w:rsid w:val="008C0B2D"/>
    <w:rsid w:val="008C0D57"/>
    <w:rsid w:val="008C0E48"/>
    <w:rsid w:val="008C11A5"/>
    <w:rsid w:val="008C154F"/>
    <w:rsid w:val="008C15F1"/>
    <w:rsid w:val="008C1700"/>
    <w:rsid w:val="008C1AD5"/>
    <w:rsid w:val="008C1DA4"/>
    <w:rsid w:val="008C1FE3"/>
    <w:rsid w:val="008C22D6"/>
    <w:rsid w:val="008C24F8"/>
    <w:rsid w:val="008C25BE"/>
    <w:rsid w:val="008C2847"/>
    <w:rsid w:val="008C2B9A"/>
    <w:rsid w:val="008C2EFF"/>
    <w:rsid w:val="008C2FBE"/>
    <w:rsid w:val="008C35D6"/>
    <w:rsid w:val="008C3635"/>
    <w:rsid w:val="008C4013"/>
    <w:rsid w:val="008C4042"/>
    <w:rsid w:val="008C4066"/>
    <w:rsid w:val="008C40A7"/>
    <w:rsid w:val="008C40E6"/>
    <w:rsid w:val="008C44FA"/>
    <w:rsid w:val="008C4520"/>
    <w:rsid w:val="008C4721"/>
    <w:rsid w:val="008C49FE"/>
    <w:rsid w:val="008C4B99"/>
    <w:rsid w:val="008C53CF"/>
    <w:rsid w:val="008C5946"/>
    <w:rsid w:val="008C5A6A"/>
    <w:rsid w:val="008C5AAD"/>
    <w:rsid w:val="008C5BAB"/>
    <w:rsid w:val="008C5E3F"/>
    <w:rsid w:val="008C6260"/>
    <w:rsid w:val="008C6386"/>
    <w:rsid w:val="008C674F"/>
    <w:rsid w:val="008C695E"/>
    <w:rsid w:val="008C6AF4"/>
    <w:rsid w:val="008C7335"/>
    <w:rsid w:val="008C7440"/>
    <w:rsid w:val="008C75D0"/>
    <w:rsid w:val="008C76F9"/>
    <w:rsid w:val="008C7B06"/>
    <w:rsid w:val="008D0035"/>
    <w:rsid w:val="008D0071"/>
    <w:rsid w:val="008D06B3"/>
    <w:rsid w:val="008D0B73"/>
    <w:rsid w:val="008D0D9B"/>
    <w:rsid w:val="008D0F6F"/>
    <w:rsid w:val="008D0FE7"/>
    <w:rsid w:val="008D13CB"/>
    <w:rsid w:val="008D1505"/>
    <w:rsid w:val="008D18D2"/>
    <w:rsid w:val="008D19D5"/>
    <w:rsid w:val="008D1C9B"/>
    <w:rsid w:val="008D1D28"/>
    <w:rsid w:val="008D1D80"/>
    <w:rsid w:val="008D1F60"/>
    <w:rsid w:val="008D2350"/>
    <w:rsid w:val="008D2636"/>
    <w:rsid w:val="008D2773"/>
    <w:rsid w:val="008D29AB"/>
    <w:rsid w:val="008D2C2F"/>
    <w:rsid w:val="008D2CDE"/>
    <w:rsid w:val="008D2D26"/>
    <w:rsid w:val="008D2E3B"/>
    <w:rsid w:val="008D33EF"/>
    <w:rsid w:val="008D33FC"/>
    <w:rsid w:val="008D35D9"/>
    <w:rsid w:val="008D3749"/>
    <w:rsid w:val="008D3986"/>
    <w:rsid w:val="008D3B8A"/>
    <w:rsid w:val="008D4304"/>
    <w:rsid w:val="008D450B"/>
    <w:rsid w:val="008D4D7D"/>
    <w:rsid w:val="008D4E08"/>
    <w:rsid w:val="008D4F89"/>
    <w:rsid w:val="008D4FED"/>
    <w:rsid w:val="008D51FF"/>
    <w:rsid w:val="008D522A"/>
    <w:rsid w:val="008D559D"/>
    <w:rsid w:val="008D583C"/>
    <w:rsid w:val="008D5C32"/>
    <w:rsid w:val="008D5EFB"/>
    <w:rsid w:val="008D61EF"/>
    <w:rsid w:val="008D6332"/>
    <w:rsid w:val="008D6566"/>
    <w:rsid w:val="008D656A"/>
    <w:rsid w:val="008D664A"/>
    <w:rsid w:val="008D689D"/>
    <w:rsid w:val="008D695D"/>
    <w:rsid w:val="008D6C24"/>
    <w:rsid w:val="008D6C3A"/>
    <w:rsid w:val="008D71F5"/>
    <w:rsid w:val="008D75DC"/>
    <w:rsid w:val="008D793E"/>
    <w:rsid w:val="008D7963"/>
    <w:rsid w:val="008D7996"/>
    <w:rsid w:val="008D7CFD"/>
    <w:rsid w:val="008D7D77"/>
    <w:rsid w:val="008D7F32"/>
    <w:rsid w:val="008D7F52"/>
    <w:rsid w:val="008D7FA8"/>
    <w:rsid w:val="008E0306"/>
    <w:rsid w:val="008E0606"/>
    <w:rsid w:val="008E0652"/>
    <w:rsid w:val="008E0CE3"/>
    <w:rsid w:val="008E11F6"/>
    <w:rsid w:val="008E13C3"/>
    <w:rsid w:val="008E1604"/>
    <w:rsid w:val="008E16FF"/>
    <w:rsid w:val="008E17FC"/>
    <w:rsid w:val="008E1946"/>
    <w:rsid w:val="008E1B12"/>
    <w:rsid w:val="008E1D4A"/>
    <w:rsid w:val="008E1F0D"/>
    <w:rsid w:val="008E2410"/>
    <w:rsid w:val="008E28A7"/>
    <w:rsid w:val="008E2907"/>
    <w:rsid w:val="008E2F1C"/>
    <w:rsid w:val="008E3287"/>
    <w:rsid w:val="008E3556"/>
    <w:rsid w:val="008E376D"/>
    <w:rsid w:val="008E383D"/>
    <w:rsid w:val="008E3E4D"/>
    <w:rsid w:val="008E3F49"/>
    <w:rsid w:val="008E4089"/>
    <w:rsid w:val="008E4107"/>
    <w:rsid w:val="008E418F"/>
    <w:rsid w:val="008E471C"/>
    <w:rsid w:val="008E487E"/>
    <w:rsid w:val="008E4994"/>
    <w:rsid w:val="008E49D6"/>
    <w:rsid w:val="008E4B1A"/>
    <w:rsid w:val="008E4B46"/>
    <w:rsid w:val="008E5074"/>
    <w:rsid w:val="008E52A2"/>
    <w:rsid w:val="008E539A"/>
    <w:rsid w:val="008E53F0"/>
    <w:rsid w:val="008E54A1"/>
    <w:rsid w:val="008E55C3"/>
    <w:rsid w:val="008E58F7"/>
    <w:rsid w:val="008E59E0"/>
    <w:rsid w:val="008E5B8F"/>
    <w:rsid w:val="008E5C57"/>
    <w:rsid w:val="008E5CCD"/>
    <w:rsid w:val="008E5D8E"/>
    <w:rsid w:val="008E5FDD"/>
    <w:rsid w:val="008E6320"/>
    <w:rsid w:val="008E6329"/>
    <w:rsid w:val="008E644D"/>
    <w:rsid w:val="008E64C3"/>
    <w:rsid w:val="008E664E"/>
    <w:rsid w:val="008E67F9"/>
    <w:rsid w:val="008E68A6"/>
    <w:rsid w:val="008E6B5F"/>
    <w:rsid w:val="008E6BAB"/>
    <w:rsid w:val="008E6DFE"/>
    <w:rsid w:val="008E7157"/>
    <w:rsid w:val="008E71D2"/>
    <w:rsid w:val="008E720E"/>
    <w:rsid w:val="008E7724"/>
    <w:rsid w:val="008E7B63"/>
    <w:rsid w:val="008E7C81"/>
    <w:rsid w:val="008F0087"/>
    <w:rsid w:val="008F00A5"/>
    <w:rsid w:val="008F0360"/>
    <w:rsid w:val="008F0477"/>
    <w:rsid w:val="008F07DD"/>
    <w:rsid w:val="008F0B04"/>
    <w:rsid w:val="008F0E73"/>
    <w:rsid w:val="008F13D5"/>
    <w:rsid w:val="008F1EE3"/>
    <w:rsid w:val="008F2342"/>
    <w:rsid w:val="008F2B8C"/>
    <w:rsid w:val="008F2CBE"/>
    <w:rsid w:val="008F2D17"/>
    <w:rsid w:val="008F2D9A"/>
    <w:rsid w:val="008F3134"/>
    <w:rsid w:val="008F3517"/>
    <w:rsid w:val="008F3D10"/>
    <w:rsid w:val="008F3E9C"/>
    <w:rsid w:val="008F46E5"/>
    <w:rsid w:val="008F4A69"/>
    <w:rsid w:val="008F4B7D"/>
    <w:rsid w:val="008F4BF4"/>
    <w:rsid w:val="008F4E2A"/>
    <w:rsid w:val="008F533A"/>
    <w:rsid w:val="008F574A"/>
    <w:rsid w:val="008F5824"/>
    <w:rsid w:val="008F5B26"/>
    <w:rsid w:val="008F5B5D"/>
    <w:rsid w:val="008F5CC2"/>
    <w:rsid w:val="008F5D56"/>
    <w:rsid w:val="008F5EAC"/>
    <w:rsid w:val="008F62D6"/>
    <w:rsid w:val="008F6379"/>
    <w:rsid w:val="008F6895"/>
    <w:rsid w:val="008F68C9"/>
    <w:rsid w:val="008F6931"/>
    <w:rsid w:val="008F6D2D"/>
    <w:rsid w:val="008F6D5A"/>
    <w:rsid w:val="008F6DB7"/>
    <w:rsid w:val="008F6DF1"/>
    <w:rsid w:val="008F7168"/>
    <w:rsid w:val="008F71A8"/>
    <w:rsid w:val="008F7209"/>
    <w:rsid w:val="008F7B63"/>
    <w:rsid w:val="008F7C52"/>
    <w:rsid w:val="008F7DFA"/>
    <w:rsid w:val="0090008C"/>
    <w:rsid w:val="0090034F"/>
    <w:rsid w:val="00900573"/>
    <w:rsid w:val="0090068C"/>
    <w:rsid w:val="00900B7A"/>
    <w:rsid w:val="00900BBA"/>
    <w:rsid w:val="00901037"/>
    <w:rsid w:val="0090179F"/>
    <w:rsid w:val="009017A7"/>
    <w:rsid w:val="00901D2B"/>
    <w:rsid w:val="00901E0F"/>
    <w:rsid w:val="00902267"/>
    <w:rsid w:val="0090235C"/>
    <w:rsid w:val="0090254A"/>
    <w:rsid w:val="0090297B"/>
    <w:rsid w:val="00902DC4"/>
    <w:rsid w:val="00903332"/>
    <w:rsid w:val="0090348B"/>
    <w:rsid w:val="009034A5"/>
    <w:rsid w:val="009034B5"/>
    <w:rsid w:val="00903580"/>
    <w:rsid w:val="0090407E"/>
    <w:rsid w:val="00904300"/>
    <w:rsid w:val="00904884"/>
    <w:rsid w:val="009048C4"/>
    <w:rsid w:val="009049C6"/>
    <w:rsid w:val="00904B53"/>
    <w:rsid w:val="00904E12"/>
    <w:rsid w:val="00904EEC"/>
    <w:rsid w:val="00905119"/>
    <w:rsid w:val="0090529F"/>
    <w:rsid w:val="009052A8"/>
    <w:rsid w:val="009056F9"/>
    <w:rsid w:val="00905901"/>
    <w:rsid w:val="00905C29"/>
    <w:rsid w:val="00905DE7"/>
    <w:rsid w:val="00906048"/>
    <w:rsid w:val="009061DD"/>
    <w:rsid w:val="0090648B"/>
    <w:rsid w:val="009066ED"/>
    <w:rsid w:val="00906780"/>
    <w:rsid w:val="009067A0"/>
    <w:rsid w:val="00906AA8"/>
    <w:rsid w:val="00906F01"/>
    <w:rsid w:val="00906FFD"/>
    <w:rsid w:val="00907094"/>
    <w:rsid w:val="009070D8"/>
    <w:rsid w:val="00907508"/>
    <w:rsid w:val="00907683"/>
    <w:rsid w:val="0090774D"/>
    <w:rsid w:val="009077BA"/>
    <w:rsid w:val="00907C33"/>
    <w:rsid w:val="009103C6"/>
    <w:rsid w:val="00910624"/>
    <w:rsid w:val="009108FE"/>
    <w:rsid w:val="00910C7D"/>
    <w:rsid w:val="00910D3D"/>
    <w:rsid w:val="00910F7A"/>
    <w:rsid w:val="00911141"/>
    <w:rsid w:val="00911CCB"/>
    <w:rsid w:val="00911DEA"/>
    <w:rsid w:val="00911EBA"/>
    <w:rsid w:val="00911F8F"/>
    <w:rsid w:val="00912041"/>
    <w:rsid w:val="009121F2"/>
    <w:rsid w:val="009128A4"/>
    <w:rsid w:val="0091299D"/>
    <w:rsid w:val="00912B05"/>
    <w:rsid w:val="00912E18"/>
    <w:rsid w:val="00912E39"/>
    <w:rsid w:val="00912E5C"/>
    <w:rsid w:val="00912E8D"/>
    <w:rsid w:val="00913044"/>
    <w:rsid w:val="009130BB"/>
    <w:rsid w:val="0091344F"/>
    <w:rsid w:val="00913826"/>
    <w:rsid w:val="00913B54"/>
    <w:rsid w:val="00913E80"/>
    <w:rsid w:val="0091407E"/>
    <w:rsid w:val="00914092"/>
    <w:rsid w:val="009149B8"/>
    <w:rsid w:val="00914BD2"/>
    <w:rsid w:val="00914E01"/>
    <w:rsid w:val="00915025"/>
    <w:rsid w:val="009150D8"/>
    <w:rsid w:val="009155D4"/>
    <w:rsid w:val="00915B50"/>
    <w:rsid w:val="00915B66"/>
    <w:rsid w:val="00915C6C"/>
    <w:rsid w:val="00915F65"/>
    <w:rsid w:val="0091636F"/>
    <w:rsid w:val="009163F1"/>
    <w:rsid w:val="009165F2"/>
    <w:rsid w:val="00916A77"/>
    <w:rsid w:val="00916B3C"/>
    <w:rsid w:val="00916C54"/>
    <w:rsid w:val="00916D1B"/>
    <w:rsid w:val="0091732F"/>
    <w:rsid w:val="00917897"/>
    <w:rsid w:val="00917A30"/>
    <w:rsid w:val="00917AFD"/>
    <w:rsid w:val="00917D90"/>
    <w:rsid w:val="00917FA1"/>
    <w:rsid w:val="00917FB9"/>
    <w:rsid w:val="009200B0"/>
    <w:rsid w:val="009202C7"/>
    <w:rsid w:val="009202D4"/>
    <w:rsid w:val="009203FA"/>
    <w:rsid w:val="0092092C"/>
    <w:rsid w:val="00920B43"/>
    <w:rsid w:val="00920C1D"/>
    <w:rsid w:val="009210D5"/>
    <w:rsid w:val="009212B8"/>
    <w:rsid w:val="009213F4"/>
    <w:rsid w:val="009215B8"/>
    <w:rsid w:val="009216A0"/>
    <w:rsid w:val="009218DE"/>
    <w:rsid w:val="00921A10"/>
    <w:rsid w:val="00921A35"/>
    <w:rsid w:val="00921A87"/>
    <w:rsid w:val="00921BCF"/>
    <w:rsid w:val="00921BFC"/>
    <w:rsid w:val="00921D19"/>
    <w:rsid w:val="00921D3B"/>
    <w:rsid w:val="00922580"/>
    <w:rsid w:val="0092277F"/>
    <w:rsid w:val="00922A1B"/>
    <w:rsid w:val="00922A4B"/>
    <w:rsid w:val="00922AC2"/>
    <w:rsid w:val="00922BB6"/>
    <w:rsid w:val="00922CEF"/>
    <w:rsid w:val="00922D0C"/>
    <w:rsid w:val="009230F7"/>
    <w:rsid w:val="00923176"/>
    <w:rsid w:val="00923F5C"/>
    <w:rsid w:val="0092430E"/>
    <w:rsid w:val="0092448C"/>
    <w:rsid w:val="00924694"/>
    <w:rsid w:val="0092488A"/>
    <w:rsid w:val="00924A22"/>
    <w:rsid w:val="00924A9D"/>
    <w:rsid w:val="00924B99"/>
    <w:rsid w:val="0092568C"/>
    <w:rsid w:val="009256A1"/>
    <w:rsid w:val="0092576D"/>
    <w:rsid w:val="0092578F"/>
    <w:rsid w:val="00925D72"/>
    <w:rsid w:val="00925EC1"/>
    <w:rsid w:val="009260B0"/>
    <w:rsid w:val="0092624C"/>
    <w:rsid w:val="00926305"/>
    <w:rsid w:val="009263F2"/>
    <w:rsid w:val="009264BD"/>
    <w:rsid w:val="009267D4"/>
    <w:rsid w:val="00926A6A"/>
    <w:rsid w:val="00927155"/>
    <w:rsid w:val="009272B7"/>
    <w:rsid w:val="009275B0"/>
    <w:rsid w:val="00927698"/>
    <w:rsid w:val="0092778D"/>
    <w:rsid w:val="00927A04"/>
    <w:rsid w:val="00927DE9"/>
    <w:rsid w:val="0093038C"/>
    <w:rsid w:val="009305C5"/>
    <w:rsid w:val="00930BC0"/>
    <w:rsid w:val="00930F02"/>
    <w:rsid w:val="00930F18"/>
    <w:rsid w:val="00930F9E"/>
    <w:rsid w:val="009310FA"/>
    <w:rsid w:val="009319F0"/>
    <w:rsid w:val="00931B43"/>
    <w:rsid w:val="00931F2B"/>
    <w:rsid w:val="0093209B"/>
    <w:rsid w:val="009322C4"/>
    <w:rsid w:val="0093236E"/>
    <w:rsid w:val="00932797"/>
    <w:rsid w:val="00932C7B"/>
    <w:rsid w:val="00932DCF"/>
    <w:rsid w:val="00933031"/>
    <w:rsid w:val="0093307F"/>
    <w:rsid w:val="00933940"/>
    <w:rsid w:val="00933AE6"/>
    <w:rsid w:val="00933E17"/>
    <w:rsid w:val="00933EFF"/>
    <w:rsid w:val="00933FF2"/>
    <w:rsid w:val="00934289"/>
    <w:rsid w:val="0093445B"/>
    <w:rsid w:val="009348F2"/>
    <w:rsid w:val="00934B54"/>
    <w:rsid w:val="00934E85"/>
    <w:rsid w:val="00934ECD"/>
    <w:rsid w:val="00935034"/>
    <w:rsid w:val="00935239"/>
    <w:rsid w:val="00935658"/>
    <w:rsid w:val="009359C6"/>
    <w:rsid w:val="00935B9A"/>
    <w:rsid w:val="00935C1C"/>
    <w:rsid w:val="00935CE0"/>
    <w:rsid w:val="00935D21"/>
    <w:rsid w:val="0093648F"/>
    <w:rsid w:val="009364DD"/>
    <w:rsid w:val="00936B0E"/>
    <w:rsid w:val="00936CA3"/>
    <w:rsid w:val="0093736D"/>
    <w:rsid w:val="00937901"/>
    <w:rsid w:val="00937913"/>
    <w:rsid w:val="00937936"/>
    <w:rsid w:val="0093799B"/>
    <w:rsid w:val="00937C9D"/>
    <w:rsid w:val="00937DB3"/>
    <w:rsid w:val="00937DD3"/>
    <w:rsid w:val="00937EE7"/>
    <w:rsid w:val="00940379"/>
    <w:rsid w:val="00940479"/>
    <w:rsid w:val="00940912"/>
    <w:rsid w:val="00940917"/>
    <w:rsid w:val="00940995"/>
    <w:rsid w:val="00940C24"/>
    <w:rsid w:val="00940C60"/>
    <w:rsid w:val="00940E18"/>
    <w:rsid w:val="00940E24"/>
    <w:rsid w:val="00940F65"/>
    <w:rsid w:val="00941725"/>
    <w:rsid w:val="0094190E"/>
    <w:rsid w:val="00941C5D"/>
    <w:rsid w:val="00941CAF"/>
    <w:rsid w:val="00941ED3"/>
    <w:rsid w:val="0094209A"/>
    <w:rsid w:val="00942325"/>
    <w:rsid w:val="00942560"/>
    <w:rsid w:val="00942580"/>
    <w:rsid w:val="00942729"/>
    <w:rsid w:val="009429B1"/>
    <w:rsid w:val="00942D01"/>
    <w:rsid w:val="00942DF7"/>
    <w:rsid w:val="00943118"/>
    <w:rsid w:val="009432E4"/>
    <w:rsid w:val="0094344C"/>
    <w:rsid w:val="009436A4"/>
    <w:rsid w:val="009438C2"/>
    <w:rsid w:val="009438D7"/>
    <w:rsid w:val="00943AAD"/>
    <w:rsid w:val="00943BA5"/>
    <w:rsid w:val="00944435"/>
    <w:rsid w:val="0094448E"/>
    <w:rsid w:val="0094451A"/>
    <w:rsid w:val="009445EE"/>
    <w:rsid w:val="0094487D"/>
    <w:rsid w:val="00944CEC"/>
    <w:rsid w:val="00944E67"/>
    <w:rsid w:val="00945229"/>
    <w:rsid w:val="0094583E"/>
    <w:rsid w:val="00945953"/>
    <w:rsid w:val="00945B30"/>
    <w:rsid w:val="00945E53"/>
    <w:rsid w:val="0094620B"/>
    <w:rsid w:val="009462AD"/>
    <w:rsid w:val="00946605"/>
    <w:rsid w:val="00946684"/>
    <w:rsid w:val="0094676B"/>
    <w:rsid w:val="009468A0"/>
    <w:rsid w:val="00946A70"/>
    <w:rsid w:val="00946D83"/>
    <w:rsid w:val="00946DE1"/>
    <w:rsid w:val="00946DF7"/>
    <w:rsid w:val="0094718D"/>
    <w:rsid w:val="0094740D"/>
    <w:rsid w:val="0094796B"/>
    <w:rsid w:val="00947A1B"/>
    <w:rsid w:val="00947D45"/>
    <w:rsid w:val="00947D70"/>
    <w:rsid w:val="00947EC0"/>
    <w:rsid w:val="00950022"/>
    <w:rsid w:val="0095004F"/>
    <w:rsid w:val="0095021D"/>
    <w:rsid w:val="009503A8"/>
    <w:rsid w:val="0095041B"/>
    <w:rsid w:val="009507BD"/>
    <w:rsid w:val="009508E8"/>
    <w:rsid w:val="0095094E"/>
    <w:rsid w:val="009509CE"/>
    <w:rsid w:val="00950ADA"/>
    <w:rsid w:val="00950CBA"/>
    <w:rsid w:val="00950EA2"/>
    <w:rsid w:val="00951128"/>
    <w:rsid w:val="00951A1F"/>
    <w:rsid w:val="00951B77"/>
    <w:rsid w:val="00951FF6"/>
    <w:rsid w:val="00952049"/>
    <w:rsid w:val="009524F6"/>
    <w:rsid w:val="009525C3"/>
    <w:rsid w:val="00952791"/>
    <w:rsid w:val="009528B8"/>
    <w:rsid w:val="00952A34"/>
    <w:rsid w:val="00953523"/>
    <w:rsid w:val="009536B7"/>
    <w:rsid w:val="00953780"/>
    <w:rsid w:val="009537FE"/>
    <w:rsid w:val="009539D9"/>
    <w:rsid w:val="00953A11"/>
    <w:rsid w:val="00953EB0"/>
    <w:rsid w:val="0095401B"/>
    <w:rsid w:val="009541A6"/>
    <w:rsid w:val="009541F4"/>
    <w:rsid w:val="009543C1"/>
    <w:rsid w:val="009544B7"/>
    <w:rsid w:val="00954627"/>
    <w:rsid w:val="00954658"/>
    <w:rsid w:val="00954664"/>
    <w:rsid w:val="00954985"/>
    <w:rsid w:val="0095498B"/>
    <w:rsid w:val="00954B68"/>
    <w:rsid w:val="00954BF7"/>
    <w:rsid w:val="00954EEF"/>
    <w:rsid w:val="00954FA4"/>
    <w:rsid w:val="009552BD"/>
    <w:rsid w:val="009554F4"/>
    <w:rsid w:val="00955A74"/>
    <w:rsid w:val="00955CEE"/>
    <w:rsid w:val="00955DA2"/>
    <w:rsid w:val="00955F5A"/>
    <w:rsid w:val="00956094"/>
    <w:rsid w:val="009561CE"/>
    <w:rsid w:val="009565E1"/>
    <w:rsid w:val="00956624"/>
    <w:rsid w:val="00956CEA"/>
    <w:rsid w:val="00956D9B"/>
    <w:rsid w:val="00956E36"/>
    <w:rsid w:val="009572C3"/>
    <w:rsid w:val="009573F5"/>
    <w:rsid w:val="0095777E"/>
    <w:rsid w:val="009577C2"/>
    <w:rsid w:val="0095784D"/>
    <w:rsid w:val="00957B40"/>
    <w:rsid w:val="00957BCB"/>
    <w:rsid w:val="00957C63"/>
    <w:rsid w:val="009605A2"/>
    <w:rsid w:val="009606CF"/>
    <w:rsid w:val="00960701"/>
    <w:rsid w:val="009607BE"/>
    <w:rsid w:val="00960C60"/>
    <w:rsid w:val="00960CA0"/>
    <w:rsid w:val="00960D3A"/>
    <w:rsid w:val="00960E5A"/>
    <w:rsid w:val="00960EFB"/>
    <w:rsid w:val="00960F1B"/>
    <w:rsid w:val="00960F22"/>
    <w:rsid w:val="00961089"/>
    <w:rsid w:val="0096132D"/>
    <w:rsid w:val="00961404"/>
    <w:rsid w:val="009616CF"/>
    <w:rsid w:val="00961887"/>
    <w:rsid w:val="00961D92"/>
    <w:rsid w:val="00961EB8"/>
    <w:rsid w:val="00961FC9"/>
    <w:rsid w:val="009622B4"/>
    <w:rsid w:val="00962494"/>
    <w:rsid w:val="00962C6E"/>
    <w:rsid w:val="009638BE"/>
    <w:rsid w:val="009639A2"/>
    <w:rsid w:val="00963AB7"/>
    <w:rsid w:val="00963C20"/>
    <w:rsid w:val="00964081"/>
    <w:rsid w:val="009640D6"/>
    <w:rsid w:val="009643B8"/>
    <w:rsid w:val="00964687"/>
    <w:rsid w:val="00964B02"/>
    <w:rsid w:val="00964D0F"/>
    <w:rsid w:val="00964D14"/>
    <w:rsid w:val="00965409"/>
    <w:rsid w:val="009655A0"/>
    <w:rsid w:val="0096581C"/>
    <w:rsid w:val="009658B0"/>
    <w:rsid w:val="009659C7"/>
    <w:rsid w:val="00965B6F"/>
    <w:rsid w:val="00965BF1"/>
    <w:rsid w:val="00965C8C"/>
    <w:rsid w:val="00965E80"/>
    <w:rsid w:val="009666D6"/>
    <w:rsid w:val="0096684F"/>
    <w:rsid w:val="00966897"/>
    <w:rsid w:val="00966B95"/>
    <w:rsid w:val="00966BAF"/>
    <w:rsid w:val="00966C69"/>
    <w:rsid w:val="00966D5F"/>
    <w:rsid w:val="0096764C"/>
    <w:rsid w:val="00967A16"/>
    <w:rsid w:val="00967A86"/>
    <w:rsid w:val="00970145"/>
    <w:rsid w:val="009707D2"/>
    <w:rsid w:val="00970A6E"/>
    <w:rsid w:val="00970BAC"/>
    <w:rsid w:val="00970D41"/>
    <w:rsid w:val="00970D76"/>
    <w:rsid w:val="00970E14"/>
    <w:rsid w:val="00970E6D"/>
    <w:rsid w:val="00970EB6"/>
    <w:rsid w:val="00970EDE"/>
    <w:rsid w:val="0097106D"/>
    <w:rsid w:val="00971077"/>
    <w:rsid w:val="00971330"/>
    <w:rsid w:val="009717AB"/>
    <w:rsid w:val="00971A28"/>
    <w:rsid w:val="00971A55"/>
    <w:rsid w:val="00971DE3"/>
    <w:rsid w:val="0097200C"/>
    <w:rsid w:val="00972155"/>
    <w:rsid w:val="00972221"/>
    <w:rsid w:val="0097222F"/>
    <w:rsid w:val="00972298"/>
    <w:rsid w:val="009723CE"/>
    <w:rsid w:val="009729B1"/>
    <w:rsid w:val="00972DB1"/>
    <w:rsid w:val="00973036"/>
    <w:rsid w:val="009730AC"/>
    <w:rsid w:val="009731C7"/>
    <w:rsid w:val="00973654"/>
    <w:rsid w:val="00973726"/>
    <w:rsid w:val="009737C3"/>
    <w:rsid w:val="009737D8"/>
    <w:rsid w:val="009737DF"/>
    <w:rsid w:val="00973BD0"/>
    <w:rsid w:val="009741E2"/>
    <w:rsid w:val="009742E1"/>
    <w:rsid w:val="00974480"/>
    <w:rsid w:val="0097457F"/>
    <w:rsid w:val="009749AD"/>
    <w:rsid w:val="00974D75"/>
    <w:rsid w:val="009755AC"/>
    <w:rsid w:val="00975618"/>
    <w:rsid w:val="009756D4"/>
    <w:rsid w:val="0097584C"/>
    <w:rsid w:val="00975853"/>
    <w:rsid w:val="00975DF0"/>
    <w:rsid w:val="0097625E"/>
    <w:rsid w:val="009762A3"/>
    <w:rsid w:val="009763FC"/>
    <w:rsid w:val="00976503"/>
    <w:rsid w:val="009769B2"/>
    <w:rsid w:val="00976BF3"/>
    <w:rsid w:val="00976C0C"/>
    <w:rsid w:val="00976D56"/>
    <w:rsid w:val="00976DEB"/>
    <w:rsid w:val="0097702D"/>
    <w:rsid w:val="0097723B"/>
    <w:rsid w:val="00977637"/>
    <w:rsid w:val="009779E2"/>
    <w:rsid w:val="00977A05"/>
    <w:rsid w:val="0098094B"/>
    <w:rsid w:val="00980A05"/>
    <w:rsid w:val="00980AE6"/>
    <w:rsid w:val="00981538"/>
    <w:rsid w:val="009815FD"/>
    <w:rsid w:val="009816D0"/>
    <w:rsid w:val="00981709"/>
    <w:rsid w:val="00981977"/>
    <w:rsid w:val="00981983"/>
    <w:rsid w:val="00981A41"/>
    <w:rsid w:val="00981F51"/>
    <w:rsid w:val="009824EF"/>
    <w:rsid w:val="0098252D"/>
    <w:rsid w:val="00983069"/>
    <w:rsid w:val="00983180"/>
    <w:rsid w:val="00983237"/>
    <w:rsid w:val="009833D4"/>
    <w:rsid w:val="0098361B"/>
    <w:rsid w:val="0098380D"/>
    <w:rsid w:val="00983AA5"/>
    <w:rsid w:val="0098403E"/>
    <w:rsid w:val="009840F0"/>
    <w:rsid w:val="00984455"/>
    <w:rsid w:val="00984520"/>
    <w:rsid w:val="009848A5"/>
    <w:rsid w:val="009849FA"/>
    <w:rsid w:val="00984CC7"/>
    <w:rsid w:val="00984CD1"/>
    <w:rsid w:val="00984D35"/>
    <w:rsid w:val="00984EDC"/>
    <w:rsid w:val="009851BC"/>
    <w:rsid w:val="0098530D"/>
    <w:rsid w:val="009853A7"/>
    <w:rsid w:val="00985687"/>
    <w:rsid w:val="00985698"/>
    <w:rsid w:val="00985724"/>
    <w:rsid w:val="00985984"/>
    <w:rsid w:val="00985AFD"/>
    <w:rsid w:val="00985B04"/>
    <w:rsid w:val="00985C1F"/>
    <w:rsid w:val="009861F2"/>
    <w:rsid w:val="009862FF"/>
    <w:rsid w:val="00986469"/>
    <w:rsid w:val="009864F5"/>
    <w:rsid w:val="00986584"/>
    <w:rsid w:val="009865D4"/>
    <w:rsid w:val="00986686"/>
    <w:rsid w:val="00986824"/>
    <w:rsid w:val="00986867"/>
    <w:rsid w:val="00986AEF"/>
    <w:rsid w:val="00986C9C"/>
    <w:rsid w:val="00987168"/>
    <w:rsid w:val="0098725E"/>
    <w:rsid w:val="009872C5"/>
    <w:rsid w:val="00987385"/>
    <w:rsid w:val="0098767C"/>
    <w:rsid w:val="00987AE7"/>
    <w:rsid w:val="00987CD8"/>
    <w:rsid w:val="00987D04"/>
    <w:rsid w:val="00987DEE"/>
    <w:rsid w:val="00987E62"/>
    <w:rsid w:val="00987E71"/>
    <w:rsid w:val="00990074"/>
    <w:rsid w:val="00990385"/>
    <w:rsid w:val="00990B21"/>
    <w:rsid w:val="00990D58"/>
    <w:rsid w:val="00990EEE"/>
    <w:rsid w:val="00991233"/>
    <w:rsid w:val="00991364"/>
    <w:rsid w:val="00991403"/>
    <w:rsid w:val="0099152B"/>
    <w:rsid w:val="009918E9"/>
    <w:rsid w:val="00991E7C"/>
    <w:rsid w:val="00992334"/>
    <w:rsid w:val="00992335"/>
    <w:rsid w:val="00992A9C"/>
    <w:rsid w:val="00992CB7"/>
    <w:rsid w:val="00992CE5"/>
    <w:rsid w:val="00992D9B"/>
    <w:rsid w:val="00992E2E"/>
    <w:rsid w:val="00993402"/>
    <w:rsid w:val="00993418"/>
    <w:rsid w:val="009939A7"/>
    <w:rsid w:val="009939EE"/>
    <w:rsid w:val="00993B84"/>
    <w:rsid w:val="00993BB6"/>
    <w:rsid w:val="00993DA7"/>
    <w:rsid w:val="00993E03"/>
    <w:rsid w:val="00993F0C"/>
    <w:rsid w:val="0099480A"/>
    <w:rsid w:val="00994894"/>
    <w:rsid w:val="00994E0F"/>
    <w:rsid w:val="00994F1E"/>
    <w:rsid w:val="009953EA"/>
    <w:rsid w:val="00995473"/>
    <w:rsid w:val="00995626"/>
    <w:rsid w:val="009959DA"/>
    <w:rsid w:val="00995B6C"/>
    <w:rsid w:val="00995E36"/>
    <w:rsid w:val="00995FD7"/>
    <w:rsid w:val="009961E9"/>
    <w:rsid w:val="00996322"/>
    <w:rsid w:val="009965D8"/>
    <w:rsid w:val="00996629"/>
    <w:rsid w:val="00996709"/>
    <w:rsid w:val="00996718"/>
    <w:rsid w:val="00996A59"/>
    <w:rsid w:val="00996B81"/>
    <w:rsid w:val="00996CFF"/>
    <w:rsid w:val="00996D8D"/>
    <w:rsid w:val="00996E3F"/>
    <w:rsid w:val="00996FB3"/>
    <w:rsid w:val="009974AC"/>
    <w:rsid w:val="0099760F"/>
    <w:rsid w:val="009978C9"/>
    <w:rsid w:val="00997974"/>
    <w:rsid w:val="00997CE8"/>
    <w:rsid w:val="009A02E7"/>
    <w:rsid w:val="009A04BD"/>
    <w:rsid w:val="009A050C"/>
    <w:rsid w:val="009A0E26"/>
    <w:rsid w:val="009A100E"/>
    <w:rsid w:val="009A1300"/>
    <w:rsid w:val="009A1804"/>
    <w:rsid w:val="009A1B64"/>
    <w:rsid w:val="009A1C40"/>
    <w:rsid w:val="009A1D39"/>
    <w:rsid w:val="009A1E2B"/>
    <w:rsid w:val="009A1E92"/>
    <w:rsid w:val="009A2085"/>
    <w:rsid w:val="009A25D6"/>
    <w:rsid w:val="009A282F"/>
    <w:rsid w:val="009A3029"/>
    <w:rsid w:val="009A34FE"/>
    <w:rsid w:val="009A35F2"/>
    <w:rsid w:val="009A3619"/>
    <w:rsid w:val="009A36A7"/>
    <w:rsid w:val="009A37FB"/>
    <w:rsid w:val="009A3DA3"/>
    <w:rsid w:val="009A3F07"/>
    <w:rsid w:val="009A4218"/>
    <w:rsid w:val="009A4561"/>
    <w:rsid w:val="009A45AA"/>
    <w:rsid w:val="009A4AED"/>
    <w:rsid w:val="009A4BC9"/>
    <w:rsid w:val="009A5117"/>
    <w:rsid w:val="009A52F5"/>
    <w:rsid w:val="009A559A"/>
    <w:rsid w:val="009A55C4"/>
    <w:rsid w:val="009A5708"/>
    <w:rsid w:val="009A5727"/>
    <w:rsid w:val="009A59E0"/>
    <w:rsid w:val="009A6249"/>
    <w:rsid w:val="009A641C"/>
    <w:rsid w:val="009A643B"/>
    <w:rsid w:val="009A6493"/>
    <w:rsid w:val="009A66A9"/>
    <w:rsid w:val="009A6904"/>
    <w:rsid w:val="009A6B64"/>
    <w:rsid w:val="009A708A"/>
    <w:rsid w:val="009A728C"/>
    <w:rsid w:val="009A7350"/>
    <w:rsid w:val="009A7692"/>
    <w:rsid w:val="009A76FB"/>
    <w:rsid w:val="009A7827"/>
    <w:rsid w:val="009A78BA"/>
    <w:rsid w:val="009A7A02"/>
    <w:rsid w:val="009A7A6E"/>
    <w:rsid w:val="009A7CE7"/>
    <w:rsid w:val="009A7E2F"/>
    <w:rsid w:val="009A7F00"/>
    <w:rsid w:val="009B0365"/>
    <w:rsid w:val="009B03BC"/>
    <w:rsid w:val="009B0C92"/>
    <w:rsid w:val="009B0D61"/>
    <w:rsid w:val="009B0F85"/>
    <w:rsid w:val="009B0F9C"/>
    <w:rsid w:val="009B1789"/>
    <w:rsid w:val="009B1BD4"/>
    <w:rsid w:val="009B1C80"/>
    <w:rsid w:val="009B1ED7"/>
    <w:rsid w:val="009B24CE"/>
    <w:rsid w:val="009B26D1"/>
    <w:rsid w:val="009B26F7"/>
    <w:rsid w:val="009B275C"/>
    <w:rsid w:val="009B27D4"/>
    <w:rsid w:val="009B280B"/>
    <w:rsid w:val="009B2B58"/>
    <w:rsid w:val="009B2B9E"/>
    <w:rsid w:val="009B2C1A"/>
    <w:rsid w:val="009B2E7C"/>
    <w:rsid w:val="009B3086"/>
    <w:rsid w:val="009B337F"/>
    <w:rsid w:val="009B33D3"/>
    <w:rsid w:val="009B365F"/>
    <w:rsid w:val="009B3AE1"/>
    <w:rsid w:val="009B3C9E"/>
    <w:rsid w:val="009B3F1F"/>
    <w:rsid w:val="009B3F4E"/>
    <w:rsid w:val="009B3FEA"/>
    <w:rsid w:val="009B4571"/>
    <w:rsid w:val="009B48D5"/>
    <w:rsid w:val="009B495F"/>
    <w:rsid w:val="009B49BA"/>
    <w:rsid w:val="009B4B54"/>
    <w:rsid w:val="009B524D"/>
    <w:rsid w:val="009B55F2"/>
    <w:rsid w:val="009B56E5"/>
    <w:rsid w:val="009B573B"/>
    <w:rsid w:val="009B5781"/>
    <w:rsid w:val="009B5A43"/>
    <w:rsid w:val="009B5AC1"/>
    <w:rsid w:val="009B5B31"/>
    <w:rsid w:val="009B5B65"/>
    <w:rsid w:val="009B5E55"/>
    <w:rsid w:val="009B60E7"/>
    <w:rsid w:val="009B61AC"/>
    <w:rsid w:val="009B63E0"/>
    <w:rsid w:val="009B698F"/>
    <w:rsid w:val="009B6AE8"/>
    <w:rsid w:val="009B6E50"/>
    <w:rsid w:val="009B7008"/>
    <w:rsid w:val="009B71B5"/>
    <w:rsid w:val="009B761B"/>
    <w:rsid w:val="009B781F"/>
    <w:rsid w:val="009B7ACC"/>
    <w:rsid w:val="009B7F6B"/>
    <w:rsid w:val="009B7F73"/>
    <w:rsid w:val="009C0134"/>
    <w:rsid w:val="009C022F"/>
    <w:rsid w:val="009C0302"/>
    <w:rsid w:val="009C06F5"/>
    <w:rsid w:val="009C08CC"/>
    <w:rsid w:val="009C0E59"/>
    <w:rsid w:val="009C0E94"/>
    <w:rsid w:val="009C133B"/>
    <w:rsid w:val="009C1383"/>
    <w:rsid w:val="009C19CE"/>
    <w:rsid w:val="009C1CC2"/>
    <w:rsid w:val="009C1D08"/>
    <w:rsid w:val="009C1EBB"/>
    <w:rsid w:val="009C20F3"/>
    <w:rsid w:val="009C2198"/>
    <w:rsid w:val="009C2419"/>
    <w:rsid w:val="009C2449"/>
    <w:rsid w:val="009C26F3"/>
    <w:rsid w:val="009C28F5"/>
    <w:rsid w:val="009C2953"/>
    <w:rsid w:val="009C2C57"/>
    <w:rsid w:val="009C2E74"/>
    <w:rsid w:val="009C2F54"/>
    <w:rsid w:val="009C315A"/>
    <w:rsid w:val="009C3403"/>
    <w:rsid w:val="009C344A"/>
    <w:rsid w:val="009C350A"/>
    <w:rsid w:val="009C3736"/>
    <w:rsid w:val="009C3DD0"/>
    <w:rsid w:val="009C4143"/>
    <w:rsid w:val="009C442C"/>
    <w:rsid w:val="009C45BB"/>
    <w:rsid w:val="009C4611"/>
    <w:rsid w:val="009C472C"/>
    <w:rsid w:val="009C48D9"/>
    <w:rsid w:val="009C49D1"/>
    <w:rsid w:val="009C49E4"/>
    <w:rsid w:val="009C5065"/>
    <w:rsid w:val="009C518C"/>
    <w:rsid w:val="009C554E"/>
    <w:rsid w:val="009C5675"/>
    <w:rsid w:val="009C5690"/>
    <w:rsid w:val="009C56DB"/>
    <w:rsid w:val="009C59C0"/>
    <w:rsid w:val="009C5DE2"/>
    <w:rsid w:val="009C65F1"/>
    <w:rsid w:val="009C6AA0"/>
    <w:rsid w:val="009C6F54"/>
    <w:rsid w:val="009C7146"/>
    <w:rsid w:val="009C73DA"/>
    <w:rsid w:val="009C745E"/>
    <w:rsid w:val="009C75CE"/>
    <w:rsid w:val="009C76EA"/>
    <w:rsid w:val="009C7C22"/>
    <w:rsid w:val="009C7D22"/>
    <w:rsid w:val="009D00F3"/>
    <w:rsid w:val="009D01B3"/>
    <w:rsid w:val="009D0348"/>
    <w:rsid w:val="009D093A"/>
    <w:rsid w:val="009D09AB"/>
    <w:rsid w:val="009D09C1"/>
    <w:rsid w:val="009D09F1"/>
    <w:rsid w:val="009D0BA7"/>
    <w:rsid w:val="009D1337"/>
    <w:rsid w:val="009D156D"/>
    <w:rsid w:val="009D15CA"/>
    <w:rsid w:val="009D166E"/>
    <w:rsid w:val="009D1719"/>
    <w:rsid w:val="009D1833"/>
    <w:rsid w:val="009D1A16"/>
    <w:rsid w:val="009D1AA9"/>
    <w:rsid w:val="009D1B49"/>
    <w:rsid w:val="009D1CC1"/>
    <w:rsid w:val="009D1D56"/>
    <w:rsid w:val="009D1EB6"/>
    <w:rsid w:val="009D1FF7"/>
    <w:rsid w:val="009D2181"/>
    <w:rsid w:val="009D218B"/>
    <w:rsid w:val="009D2310"/>
    <w:rsid w:val="009D261C"/>
    <w:rsid w:val="009D2812"/>
    <w:rsid w:val="009D31B1"/>
    <w:rsid w:val="009D3311"/>
    <w:rsid w:val="009D349F"/>
    <w:rsid w:val="009D355A"/>
    <w:rsid w:val="009D3A61"/>
    <w:rsid w:val="009D3C11"/>
    <w:rsid w:val="009D406C"/>
    <w:rsid w:val="009D4087"/>
    <w:rsid w:val="009D4117"/>
    <w:rsid w:val="009D4248"/>
    <w:rsid w:val="009D4293"/>
    <w:rsid w:val="009D4BB4"/>
    <w:rsid w:val="009D4D0D"/>
    <w:rsid w:val="009D502F"/>
    <w:rsid w:val="009D51A3"/>
    <w:rsid w:val="009D530F"/>
    <w:rsid w:val="009D53E0"/>
    <w:rsid w:val="009D5D5B"/>
    <w:rsid w:val="009D5D63"/>
    <w:rsid w:val="009D5D81"/>
    <w:rsid w:val="009D5E40"/>
    <w:rsid w:val="009D6230"/>
    <w:rsid w:val="009D636D"/>
    <w:rsid w:val="009D6890"/>
    <w:rsid w:val="009D6C11"/>
    <w:rsid w:val="009D6DA7"/>
    <w:rsid w:val="009D6DAC"/>
    <w:rsid w:val="009D6E33"/>
    <w:rsid w:val="009D722C"/>
    <w:rsid w:val="009D72C4"/>
    <w:rsid w:val="009D7542"/>
    <w:rsid w:val="009D7643"/>
    <w:rsid w:val="009D7683"/>
    <w:rsid w:val="009D782A"/>
    <w:rsid w:val="009D7951"/>
    <w:rsid w:val="009D7A19"/>
    <w:rsid w:val="009D7DF1"/>
    <w:rsid w:val="009E00F4"/>
    <w:rsid w:val="009E0446"/>
    <w:rsid w:val="009E0557"/>
    <w:rsid w:val="009E095B"/>
    <w:rsid w:val="009E096E"/>
    <w:rsid w:val="009E0A05"/>
    <w:rsid w:val="009E0AF5"/>
    <w:rsid w:val="009E0CB1"/>
    <w:rsid w:val="009E0D7E"/>
    <w:rsid w:val="009E103E"/>
    <w:rsid w:val="009E1391"/>
    <w:rsid w:val="009E143C"/>
    <w:rsid w:val="009E1BBD"/>
    <w:rsid w:val="009E1CAF"/>
    <w:rsid w:val="009E1CB0"/>
    <w:rsid w:val="009E21FA"/>
    <w:rsid w:val="009E2AAF"/>
    <w:rsid w:val="009E2BD4"/>
    <w:rsid w:val="009E2D2F"/>
    <w:rsid w:val="009E3026"/>
    <w:rsid w:val="009E3232"/>
    <w:rsid w:val="009E3291"/>
    <w:rsid w:val="009E3720"/>
    <w:rsid w:val="009E3958"/>
    <w:rsid w:val="009E3D69"/>
    <w:rsid w:val="009E4468"/>
    <w:rsid w:val="009E4771"/>
    <w:rsid w:val="009E4BDF"/>
    <w:rsid w:val="009E4D45"/>
    <w:rsid w:val="009E4D68"/>
    <w:rsid w:val="009E4DB7"/>
    <w:rsid w:val="009E4DD0"/>
    <w:rsid w:val="009E4E5A"/>
    <w:rsid w:val="009E4EB1"/>
    <w:rsid w:val="009E4FC5"/>
    <w:rsid w:val="009E50CA"/>
    <w:rsid w:val="009E50CD"/>
    <w:rsid w:val="009E5172"/>
    <w:rsid w:val="009E5300"/>
    <w:rsid w:val="009E531D"/>
    <w:rsid w:val="009E5872"/>
    <w:rsid w:val="009E58E5"/>
    <w:rsid w:val="009E5C7B"/>
    <w:rsid w:val="009E5E32"/>
    <w:rsid w:val="009E609F"/>
    <w:rsid w:val="009E6194"/>
    <w:rsid w:val="009E6707"/>
    <w:rsid w:val="009E68A9"/>
    <w:rsid w:val="009E695E"/>
    <w:rsid w:val="009E7086"/>
    <w:rsid w:val="009E713A"/>
    <w:rsid w:val="009E7149"/>
    <w:rsid w:val="009E7342"/>
    <w:rsid w:val="009E77CC"/>
    <w:rsid w:val="009E7BF8"/>
    <w:rsid w:val="009E7FE3"/>
    <w:rsid w:val="009F033A"/>
    <w:rsid w:val="009F043A"/>
    <w:rsid w:val="009F0980"/>
    <w:rsid w:val="009F0A5A"/>
    <w:rsid w:val="009F0CFC"/>
    <w:rsid w:val="009F0F75"/>
    <w:rsid w:val="009F0F7A"/>
    <w:rsid w:val="009F10F3"/>
    <w:rsid w:val="009F1141"/>
    <w:rsid w:val="009F1288"/>
    <w:rsid w:val="009F1531"/>
    <w:rsid w:val="009F1752"/>
    <w:rsid w:val="009F17A2"/>
    <w:rsid w:val="009F17D2"/>
    <w:rsid w:val="009F1913"/>
    <w:rsid w:val="009F1ACD"/>
    <w:rsid w:val="009F1C94"/>
    <w:rsid w:val="009F1CAD"/>
    <w:rsid w:val="009F1E7E"/>
    <w:rsid w:val="009F1E8A"/>
    <w:rsid w:val="009F2627"/>
    <w:rsid w:val="009F2A07"/>
    <w:rsid w:val="009F2AEA"/>
    <w:rsid w:val="009F2B4B"/>
    <w:rsid w:val="009F2C6A"/>
    <w:rsid w:val="009F2CB4"/>
    <w:rsid w:val="009F3031"/>
    <w:rsid w:val="009F30E8"/>
    <w:rsid w:val="009F311B"/>
    <w:rsid w:val="009F36D9"/>
    <w:rsid w:val="009F3961"/>
    <w:rsid w:val="009F3A06"/>
    <w:rsid w:val="009F3C06"/>
    <w:rsid w:val="009F3EFE"/>
    <w:rsid w:val="009F3F56"/>
    <w:rsid w:val="009F4079"/>
    <w:rsid w:val="009F4364"/>
    <w:rsid w:val="009F43E1"/>
    <w:rsid w:val="009F448C"/>
    <w:rsid w:val="009F48B4"/>
    <w:rsid w:val="009F4FF2"/>
    <w:rsid w:val="009F5150"/>
    <w:rsid w:val="009F5199"/>
    <w:rsid w:val="009F5245"/>
    <w:rsid w:val="009F55F7"/>
    <w:rsid w:val="009F59AF"/>
    <w:rsid w:val="009F5AFF"/>
    <w:rsid w:val="009F5B7F"/>
    <w:rsid w:val="009F5E76"/>
    <w:rsid w:val="009F601B"/>
    <w:rsid w:val="009F6268"/>
    <w:rsid w:val="009F67D4"/>
    <w:rsid w:val="009F6CD2"/>
    <w:rsid w:val="009F6FE1"/>
    <w:rsid w:val="009F70E0"/>
    <w:rsid w:val="009F73CC"/>
    <w:rsid w:val="009F7492"/>
    <w:rsid w:val="009F775C"/>
    <w:rsid w:val="009F795D"/>
    <w:rsid w:val="009F7DEA"/>
    <w:rsid w:val="00A00076"/>
    <w:rsid w:val="00A005CB"/>
    <w:rsid w:val="00A005F4"/>
    <w:rsid w:val="00A00756"/>
    <w:rsid w:val="00A008D4"/>
    <w:rsid w:val="00A008F0"/>
    <w:rsid w:val="00A009EB"/>
    <w:rsid w:val="00A00F49"/>
    <w:rsid w:val="00A0116E"/>
    <w:rsid w:val="00A0127C"/>
    <w:rsid w:val="00A01438"/>
    <w:rsid w:val="00A01590"/>
    <w:rsid w:val="00A019EF"/>
    <w:rsid w:val="00A01A06"/>
    <w:rsid w:val="00A02031"/>
    <w:rsid w:val="00A0220F"/>
    <w:rsid w:val="00A02212"/>
    <w:rsid w:val="00A02239"/>
    <w:rsid w:val="00A02461"/>
    <w:rsid w:val="00A02A24"/>
    <w:rsid w:val="00A02D45"/>
    <w:rsid w:val="00A02F2B"/>
    <w:rsid w:val="00A02FD2"/>
    <w:rsid w:val="00A02FDA"/>
    <w:rsid w:val="00A03054"/>
    <w:rsid w:val="00A03286"/>
    <w:rsid w:val="00A03316"/>
    <w:rsid w:val="00A03650"/>
    <w:rsid w:val="00A0388A"/>
    <w:rsid w:val="00A039D6"/>
    <w:rsid w:val="00A03AB1"/>
    <w:rsid w:val="00A03E3B"/>
    <w:rsid w:val="00A043CE"/>
    <w:rsid w:val="00A044E9"/>
    <w:rsid w:val="00A0452B"/>
    <w:rsid w:val="00A047A3"/>
    <w:rsid w:val="00A04A09"/>
    <w:rsid w:val="00A04B23"/>
    <w:rsid w:val="00A0551A"/>
    <w:rsid w:val="00A055CF"/>
    <w:rsid w:val="00A056BF"/>
    <w:rsid w:val="00A05B23"/>
    <w:rsid w:val="00A05C63"/>
    <w:rsid w:val="00A063AF"/>
    <w:rsid w:val="00A06545"/>
    <w:rsid w:val="00A06F29"/>
    <w:rsid w:val="00A07193"/>
    <w:rsid w:val="00A073BA"/>
    <w:rsid w:val="00A07412"/>
    <w:rsid w:val="00A074F4"/>
    <w:rsid w:val="00A07671"/>
    <w:rsid w:val="00A07E81"/>
    <w:rsid w:val="00A10B62"/>
    <w:rsid w:val="00A10BF4"/>
    <w:rsid w:val="00A10EED"/>
    <w:rsid w:val="00A11057"/>
    <w:rsid w:val="00A110B0"/>
    <w:rsid w:val="00A11151"/>
    <w:rsid w:val="00A1138A"/>
    <w:rsid w:val="00A113BD"/>
    <w:rsid w:val="00A1157E"/>
    <w:rsid w:val="00A119C8"/>
    <w:rsid w:val="00A11A8B"/>
    <w:rsid w:val="00A1224E"/>
    <w:rsid w:val="00A12395"/>
    <w:rsid w:val="00A125A6"/>
    <w:rsid w:val="00A125ED"/>
    <w:rsid w:val="00A128EF"/>
    <w:rsid w:val="00A12AC9"/>
    <w:rsid w:val="00A12C5E"/>
    <w:rsid w:val="00A13406"/>
    <w:rsid w:val="00A13518"/>
    <w:rsid w:val="00A135F2"/>
    <w:rsid w:val="00A13847"/>
    <w:rsid w:val="00A13897"/>
    <w:rsid w:val="00A13BB7"/>
    <w:rsid w:val="00A13E84"/>
    <w:rsid w:val="00A13F19"/>
    <w:rsid w:val="00A14C4F"/>
    <w:rsid w:val="00A14D58"/>
    <w:rsid w:val="00A15079"/>
    <w:rsid w:val="00A15309"/>
    <w:rsid w:val="00A15513"/>
    <w:rsid w:val="00A15527"/>
    <w:rsid w:val="00A15A5C"/>
    <w:rsid w:val="00A16148"/>
    <w:rsid w:val="00A16350"/>
    <w:rsid w:val="00A16683"/>
    <w:rsid w:val="00A166FF"/>
    <w:rsid w:val="00A1687D"/>
    <w:rsid w:val="00A16978"/>
    <w:rsid w:val="00A16A58"/>
    <w:rsid w:val="00A16B9F"/>
    <w:rsid w:val="00A16C43"/>
    <w:rsid w:val="00A171D6"/>
    <w:rsid w:val="00A17884"/>
    <w:rsid w:val="00A179D5"/>
    <w:rsid w:val="00A17B48"/>
    <w:rsid w:val="00A17CE5"/>
    <w:rsid w:val="00A200D7"/>
    <w:rsid w:val="00A20325"/>
    <w:rsid w:val="00A20509"/>
    <w:rsid w:val="00A20559"/>
    <w:rsid w:val="00A20731"/>
    <w:rsid w:val="00A2075C"/>
    <w:rsid w:val="00A207DD"/>
    <w:rsid w:val="00A2099D"/>
    <w:rsid w:val="00A20B1A"/>
    <w:rsid w:val="00A21423"/>
    <w:rsid w:val="00A214C7"/>
    <w:rsid w:val="00A21936"/>
    <w:rsid w:val="00A21B8E"/>
    <w:rsid w:val="00A21CB1"/>
    <w:rsid w:val="00A21D64"/>
    <w:rsid w:val="00A21F4A"/>
    <w:rsid w:val="00A2226C"/>
    <w:rsid w:val="00A222E2"/>
    <w:rsid w:val="00A227C7"/>
    <w:rsid w:val="00A2283A"/>
    <w:rsid w:val="00A22965"/>
    <w:rsid w:val="00A2298D"/>
    <w:rsid w:val="00A22C25"/>
    <w:rsid w:val="00A22C9D"/>
    <w:rsid w:val="00A22DE3"/>
    <w:rsid w:val="00A23116"/>
    <w:rsid w:val="00A233E0"/>
    <w:rsid w:val="00A2347F"/>
    <w:rsid w:val="00A23898"/>
    <w:rsid w:val="00A23B85"/>
    <w:rsid w:val="00A241F7"/>
    <w:rsid w:val="00A2435E"/>
    <w:rsid w:val="00A24609"/>
    <w:rsid w:val="00A24AD2"/>
    <w:rsid w:val="00A24B59"/>
    <w:rsid w:val="00A24D4C"/>
    <w:rsid w:val="00A25886"/>
    <w:rsid w:val="00A25B0D"/>
    <w:rsid w:val="00A25EF7"/>
    <w:rsid w:val="00A2604E"/>
    <w:rsid w:val="00A2609A"/>
    <w:rsid w:val="00A264D1"/>
    <w:rsid w:val="00A2651D"/>
    <w:rsid w:val="00A268FC"/>
    <w:rsid w:val="00A2697C"/>
    <w:rsid w:val="00A26CE5"/>
    <w:rsid w:val="00A26FD0"/>
    <w:rsid w:val="00A27308"/>
    <w:rsid w:val="00A273CC"/>
    <w:rsid w:val="00A2740E"/>
    <w:rsid w:val="00A2792B"/>
    <w:rsid w:val="00A279B8"/>
    <w:rsid w:val="00A27FD4"/>
    <w:rsid w:val="00A30098"/>
    <w:rsid w:val="00A301E0"/>
    <w:rsid w:val="00A3030D"/>
    <w:rsid w:val="00A306FF"/>
    <w:rsid w:val="00A3071E"/>
    <w:rsid w:val="00A3075D"/>
    <w:rsid w:val="00A30808"/>
    <w:rsid w:val="00A30D97"/>
    <w:rsid w:val="00A31404"/>
    <w:rsid w:val="00A314D1"/>
    <w:rsid w:val="00A3153A"/>
    <w:rsid w:val="00A31570"/>
    <w:rsid w:val="00A316E8"/>
    <w:rsid w:val="00A31706"/>
    <w:rsid w:val="00A31936"/>
    <w:rsid w:val="00A319C9"/>
    <w:rsid w:val="00A31A43"/>
    <w:rsid w:val="00A31A9B"/>
    <w:rsid w:val="00A31DDC"/>
    <w:rsid w:val="00A320F5"/>
    <w:rsid w:val="00A322BA"/>
    <w:rsid w:val="00A323D1"/>
    <w:rsid w:val="00A32719"/>
    <w:rsid w:val="00A32948"/>
    <w:rsid w:val="00A32AAD"/>
    <w:rsid w:val="00A32EB3"/>
    <w:rsid w:val="00A3323B"/>
    <w:rsid w:val="00A3360F"/>
    <w:rsid w:val="00A33634"/>
    <w:rsid w:val="00A338A1"/>
    <w:rsid w:val="00A33AE3"/>
    <w:rsid w:val="00A33F72"/>
    <w:rsid w:val="00A3429C"/>
    <w:rsid w:val="00A34574"/>
    <w:rsid w:val="00A34847"/>
    <w:rsid w:val="00A34B3D"/>
    <w:rsid w:val="00A34C2D"/>
    <w:rsid w:val="00A34DC0"/>
    <w:rsid w:val="00A34E72"/>
    <w:rsid w:val="00A35500"/>
    <w:rsid w:val="00A3603D"/>
    <w:rsid w:val="00A3628B"/>
    <w:rsid w:val="00A363B4"/>
    <w:rsid w:val="00A364BB"/>
    <w:rsid w:val="00A364E1"/>
    <w:rsid w:val="00A36574"/>
    <w:rsid w:val="00A36A6F"/>
    <w:rsid w:val="00A36E4B"/>
    <w:rsid w:val="00A36E92"/>
    <w:rsid w:val="00A37551"/>
    <w:rsid w:val="00A37855"/>
    <w:rsid w:val="00A37B33"/>
    <w:rsid w:val="00A37CA7"/>
    <w:rsid w:val="00A37E93"/>
    <w:rsid w:val="00A4035B"/>
    <w:rsid w:val="00A40C02"/>
    <w:rsid w:val="00A40CED"/>
    <w:rsid w:val="00A40DB0"/>
    <w:rsid w:val="00A40FE2"/>
    <w:rsid w:val="00A41080"/>
    <w:rsid w:val="00A41585"/>
    <w:rsid w:val="00A41988"/>
    <w:rsid w:val="00A419D0"/>
    <w:rsid w:val="00A41BFB"/>
    <w:rsid w:val="00A41F63"/>
    <w:rsid w:val="00A42082"/>
    <w:rsid w:val="00A425F3"/>
    <w:rsid w:val="00A4277C"/>
    <w:rsid w:val="00A42AFF"/>
    <w:rsid w:val="00A42D6D"/>
    <w:rsid w:val="00A42ED1"/>
    <w:rsid w:val="00A4304B"/>
    <w:rsid w:val="00A431D2"/>
    <w:rsid w:val="00A432A4"/>
    <w:rsid w:val="00A433B4"/>
    <w:rsid w:val="00A43451"/>
    <w:rsid w:val="00A434E1"/>
    <w:rsid w:val="00A43633"/>
    <w:rsid w:val="00A4376F"/>
    <w:rsid w:val="00A43B5A"/>
    <w:rsid w:val="00A43BD4"/>
    <w:rsid w:val="00A43CB2"/>
    <w:rsid w:val="00A4421C"/>
    <w:rsid w:val="00A442DD"/>
    <w:rsid w:val="00A443CB"/>
    <w:rsid w:val="00A443DA"/>
    <w:rsid w:val="00A44809"/>
    <w:rsid w:val="00A44906"/>
    <w:rsid w:val="00A44AED"/>
    <w:rsid w:val="00A44BAD"/>
    <w:rsid w:val="00A44C43"/>
    <w:rsid w:val="00A44E09"/>
    <w:rsid w:val="00A450B9"/>
    <w:rsid w:val="00A4542F"/>
    <w:rsid w:val="00A45496"/>
    <w:rsid w:val="00A45501"/>
    <w:rsid w:val="00A456C4"/>
    <w:rsid w:val="00A4587E"/>
    <w:rsid w:val="00A45A81"/>
    <w:rsid w:val="00A45D81"/>
    <w:rsid w:val="00A46283"/>
    <w:rsid w:val="00A462F2"/>
    <w:rsid w:val="00A46669"/>
    <w:rsid w:val="00A468C7"/>
    <w:rsid w:val="00A46A31"/>
    <w:rsid w:val="00A46BD1"/>
    <w:rsid w:val="00A46F39"/>
    <w:rsid w:val="00A46F5C"/>
    <w:rsid w:val="00A47179"/>
    <w:rsid w:val="00A47206"/>
    <w:rsid w:val="00A47677"/>
    <w:rsid w:val="00A47946"/>
    <w:rsid w:val="00A47A41"/>
    <w:rsid w:val="00A47D30"/>
    <w:rsid w:val="00A47D94"/>
    <w:rsid w:val="00A47F4F"/>
    <w:rsid w:val="00A5017B"/>
    <w:rsid w:val="00A5020D"/>
    <w:rsid w:val="00A50529"/>
    <w:rsid w:val="00A5066C"/>
    <w:rsid w:val="00A5084B"/>
    <w:rsid w:val="00A50C14"/>
    <w:rsid w:val="00A518D5"/>
    <w:rsid w:val="00A51A47"/>
    <w:rsid w:val="00A51FE8"/>
    <w:rsid w:val="00A520D0"/>
    <w:rsid w:val="00A525E2"/>
    <w:rsid w:val="00A52A30"/>
    <w:rsid w:val="00A53136"/>
    <w:rsid w:val="00A53263"/>
    <w:rsid w:val="00A533FD"/>
    <w:rsid w:val="00A53565"/>
    <w:rsid w:val="00A53E86"/>
    <w:rsid w:val="00A5428F"/>
    <w:rsid w:val="00A542E3"/>
    <w:rsid w:val="00A5480D"/>
    <w:rsid w:val="00A54AE0"/>
    <w:rsid w:val="00A54C1E"/>
    <w:rsid w:val="00A55118"/>
    <w:rsid w:val="00A5517D"/>
    <w:rsid w:val="00A553B1"/>
    <w:rsid w:val="00A553B9"/>
    <w:rsid w:val="00A556B4"/>
    <w:rsid w:val="00A559B0"/>
    <w:rsid w:val="00A55D58"/>
    <w:rsid w:val="00A55F7F"/>
    <w:rsid w:val="00A55FE0"/>
    <w:rsid w:val="00A56525"/>
    <w:rsid w:val="00A567F5"/>
    <w:rsid w:val="00A568B8"/>
    <w:rsid w:val="00A56B59"/>
    <w:rsid w:val="00A56BC3"/>
    <w:rsid w:val="00A56FEA"/>
    <w:rsid w:val="00A570C3"/>
    <w:rsid w:val="00A57157"/>
    <w:rsid w:val="00A574D8"/>
    <w:rsid w:val="00A57612"/>
    <w:rsid w:val="00A5766A"/>
    <w:rsid w:val="00A5799F"/>
    <w:rsid w:val="00A57A80"/>
    <w:rsid w:val="00A57F56"/>
    <w:rsid w:val="00A60065"/>
    <w:rsid w:val="00A601B8"/>
    <w:rsid w:val="00A601EA"/>
    <w:rsid w:val="00A60229"/>
    <w:rsid w:val="00A60272"/>
    <w:rsid w:val="00A603A4"/>
    <w:rsid w:val="00A605D0"/>
    <w:rsid w:val="00A60654"/>
    <w:rsid w:val="00A6068D"/>
    <w:rsid w:val="00A60767"/>
    <w:rsid w:val="00A60CAE"/>
    <w:rsid w:val="00A60CB6"/>
    <w:rsid w:val="00A6103E"/>
    <w:rsid w:val="00A611C5"/>
    <w:rsid w:val="00A6127D"/>
    <w:rsid w:val="00A613C5"/>
    <w:rsid w:val="00A61493"/>
    <w:rsid w:val="00A6149E"/>
    <w:rsid w:val="00A61569"/>
    <w:rsid w:val="00A6198A"/>
    <w:rsid w:val="00A61BC0"/>
    <w:rsid w:val="00A61DDE"/>
    <w:rsid w:val="00A61E00"/>
    <w:rsid w:val="00A61ECC"/>
    <w:rsid w:val="00A61F78"/>
    <w:rsid w:val="00A62040"/>
    <w:rsid w:val="00A620C1"/>
    <w:rsid w:val="00A62328"/>
    <w:rsid w:val="00A6293E"/>
    <w:rsid w:val="00A62983"/>
    <w:rsid w:val="00A63570"/>
    <w:rsid w:val="00A63AD8"/>
    <w:rsid w:val="00A63AF6"/>
    <w:rsid w:val="00A63DE3"/>
    <w:rsid w:val="00A63E32"/>
    <w:rsid w:val="00A63E77"/>
    <w:rsid w:val="00A64003"/>
    <w:rsid w:val="00A64789"/>
    <w:rsid w:val="00A64B0D"/>
    <w:rsid w:val="00A64B9F"/>
    <w:rsid w:val="00A64DEC"/>
    <w:rsid w:val="00A6509B"/>
    <w:rsid w:val="00A65154"/>
    <w:rsid w:val="00A652CF"/>
    <w:rsid w:val="00A6537D"/>
    <w:rsid w:val="00A6545D"/>
    <w:rsid w:val="00A65629"/>
    <w:rsid w:val="00A65B69"/>
    <w:rsid w:val="00A65D15"/>
    <w:rsid w:val="00A664D5"/>
    <w:rsid w:val="00A66690"/>
    <w:rsid w:val="00A66976"/>
    <w:rsid w:val="00A66BAE"/>
    <w:rsid w:val="00A66E6B"/>
    <w:rsid w:val="00A66F81"/>
    <w:rsid w:val="00A67401"/>
    <w:rsid w:val="00A678EC"/>
    <w:rsid w:val="00A67A1D"/>
    <w:rsid w:val="00A67A8B"/>
    <w:rsid w:val="00A67C3A"/>
    <w:rsid w:val="00A67E94"/>
    <w:rsid w:val="00A7024B"/>
    <w:rsid w:val="00A70441"/>
    <w:rsid w:val="00A7074A"/>
    <w:rsid w:val="00A707FC"/>
    <w:rsid w:val="00A70807"/>
    <w:rsid w:val="00A70879"/>
    <w:rsid w:val="00A708B5"/>
    <w:rsid w:val="00A70AE0"/>
    <w:rsid w:val="00A70EAD"/>
    <w:rsid w:val="00A70ED7"/>
    <w:rsid w:val="00A710D4"/>
    <w:rsid w:val="00A71241"/>
    <w:rsid w:val="00A715C8"/>
    <w:rsid w:val="00A71B8E"/>
    <w:rsid w:val="00A71BAA"/>
    <w:rsid w:val="00A71EBC"/>
    <w:rsid w:val="00A71FD5"/>
    <w:rsid w:val="00A7205A"/>
    <w:rsid w:val="00A721ED"/>
    <w:rsid w:val="00A7244B"/>
    <w:rsid w:val="00A72A4A"/>
    <w:rsid w:val="00A73190"/>
    <w:rsid w:val="00A731D8"/>
    <w:rsid w:val="00A73366"/>
    <w:rsid w:val="00A733AD"/>
    <w:rsid w:val="00A73B7A"/>
    <w:rsid w:val="00A73BC4"/>
    <w:rsid w:val="00A73BCF"/>
    <w:rsid w:val="00A73D13"/>
    <w:rsid w:val="00A73E9E"/>
    <w:rsid w:val="00A73FA8"/>
    <w:rsid w:val="00A741F7"/>
    <w:rsid w:val="00A74315"/>
    <w:rsid w:val="00A7449F"/>
    <w:rsid w:val="00A7487B"/>
    <w:rsid w:val="00A74E70"/>
    <w:rsid w:val="00A7564A"/>
    <w:rsid w:val="00A75B56"/>
    <w:rsid w:val="00A75CCE"/>
    <w:rsid w:val="00A75D4F"/>
    <w:rsid w:val="00A76166"/>
    <w:rsid w:val="00A7699D"/>
    <w:rsid w:val="00A76AEC"/>
    <w:rsid w:val="00A76ED7"/>
    <w:rsid w:val="00A77075"/>
    <w:rsid w:val="00A77252"/>
    <w:rsid w:val="00A77C74"/>
    <w:rsid w:val="00A77D12"/>
    <w:rsid w:val="00A77DEA"/>
    <w:rsid w:val="00A77FAC"/>
    <w:rsid w:val="00A8001D"/>
    <w:rsid w:val="00A80170"/>
    <w:rsid w:val="00A80233"/>
    <w:rsid w:val="00A8027B"/>
    <w:rsid w:val="00A8048D"/>
    <w:rsid w:val="00A80BCA"/>
    <w:rsid w:val="00A80C10"/>
    <w:rsid w:val="00A80EB8"/>
    <w:rsid w:val="00A81122"/>
    <w:rsid w:val="00A814C8"/>
    <w:rsid w:val="00A81811"/>
    <w:rsid w:val="00A81862"/>
    <w:rsid w:val="00A81893"/>
    <w:rsid w:val="00A818EB"/>
    <w:rsid w:val="00A81994"/>
    <w:rsid w:val="00A81EB9"/>
    <w:rsid w:val="00A8212A"/>
    <w:rsid w:val="00A82739"/>
    <w:rsid w:val="00A82E26"/>
    <w:rsid w:val="00A82EDC"/>
    <w:rsid w:val="00A830DC"/>
    <w:rsid w:val="00A832B8"/>
    <w:rsid w:val="00A83508"/>
    <w:rsid w:val="00A83860"/>
    <w:rsid w:val="00A83BAF"/>
    <w:rsid w:val="00A84AC3"/>
    <w:rsid w:val="00A84D8F"/>
    <w:rsid w:val="00A84E24"/>
    <w:rsid w:val="00A84E82"/>
    <w:rsid w:val="00A850BD"/>
    <w:rsid w:val="00A85311"/>
    <w:rsid w:val="00A853DF"/>
    <w:rsid w:val="00A854E9"/>
    <w:rsid w:val="00A854F5"/>
    <w:rsid w:val="00A8577A"/>
    <w:rsid w:val="00A857E3"/>
    <w:rsid w:val="00A857E5"/>
    <w:rsid w:val="00A85DE0"/>
    <w:rsid w:val="00A85FD3"/>
    <w:rsid w:val="00A86013"/>
    <w:rsid w:val="00A860DA"/>
    <w:rsid w:val="00A862C9"/>
    <w:rsid w:val="00A86479"/>
    <w:rsid w:val="00A864A8"/>
    <w:rsid w:val="00A86614"/>
    <w:rsid w:val="00A867BC"/>
    <w:rsid w:val="00A86941"/>
    <w:rsid w:val="00A86A65"/>
    <w:rsid w:val="00A86D70"/>
    <w:rsid w:val="00A86E6C"/>
    <w:rsid w:val="00A870F7"/>
    <w:rsid w:val="00A871A4"/>
    <w:rsid w:val="00A87211"/>
    <w:rsid w:val="00A87459"/>
    <w:rsid w:val="00A87498"/>
    <w:rsid w:val="00A874C8"/>
    <w:rsid w:val="00A8788A"/>
    <w:rsid w:val="00A87E0C"/>
    <w:rsid w:val="00A87FA7"/>
    <w:rsid w:val="00A90330"/>
    <w:rsid w:val="00A90564"/>
    <w:rsid w:val="00A90663"/>
    <w:rsid w:val="00A9071F"/>
    <w:rsid w:val="00A9089E"/>
    <w:rsid w:val="00A90990"/>
    <w:rsid w:val="00A90A2A"/>
    <w:rsid w:val="00A90CAD"/>
    <w:rsid w:val="00A90CE3"/>
    <w:rsid w:val="00A90D76"/>
    <w:rsid w:val="00A91341"/>
    <w:rsid w:val="00A9145E"/>
    <w:rsid w:val="00A91460"/>
    <w:rsid w:val="00A917C9"/>
    <w:rsid w:val="00A91DB6"/>
    <w:rsid w:val="00A91FA6"/>
    <w:rsid w:val="00A921B4"/>
    <w:rsid w:val="00A921FC"/>
    <w:rsid w:val="00A92290"/>
    <w:rsid w:val="00A92D3B"/>
    <w:rsid w:val="00A931F0"/>
    <w:rsid w:val="00A9334C"/>
    <w:rsid w:val="00A9340D"/>
    <w:rsid w:val="00A93461"/>
    <w:rsid w:val="00A93A78"/>
    <w:rsid w:val="00A93CBC"/>
    <w:rsid w:val="00A93DEB"/>
    <w:rsid w:val="00A9440F"/>
    <w:rsid w:val="00A944EB"/>
    <w:rsid w:val="00A94AF9"/>
    <w:rsid w:val="00A94B56"/>
    <w:rsid w:val="00A94B91"/>
    <w:rsid w:val="00A94C4C"/>
    <w:rsid w:val="00A94D4D"/>
    <w:rsid w:val="00A94E64"/>
    <w:rsid w:val="00A94F76"/>
    <w:rsid w:val="00A95639"/>
    <w:rsid w:val="00A9571E"/>
    <w:rsid w:val="00A95922"/>
    <w:rsid w:val="00A95B88"/>
    <w:rsid w:val="00A95B9B"/>
    <w:rsid w:val="00A96327"/>
    <w:rsid w:val="00A9638F"/>
    <w:rsid w:val="00A96745"/>
    <w:rsid w:val="00A9675E"/>
    <w:rsid w:val="00A96871"/>
    <w:rsid w:val="00A96A65"/>
    <w:rsid w:val="00A96C77"/>
    <w:rsid w:val="00A970E4"/>
    <w:rsid w:val="00A9740C"/>
    <w:rsid w:val="00A974BE"/>
    <w:rsid w:val="00A974D8"/>
    <w:rsid w:val="00A97ACB"/>
    <w:rsid w:val="00A97B1D"/>
    <w:rsid w:val="00A97D51"/>
    <w:rsid w:val="00A97E95"/>
    <w:rsid w:val="00AA0494"/>
    <w:rsid w:val="00AA0531"/>
    <w:rsid w:val="00AA0549"/>
    <w:rsid w:val="00AA061B"/>
    <w:rsid w:val="00AA06BB"/>
    <w:rsid w:val="00AA07BC"/>
    <w:rsid w:val="00AA0CFA"/>
    <w:rsid w:val="00AA0D72"/>
    <w:rsid w:val="00AA0F68"/>
    <w:rsid w:val="00AA108A"/>
    <w:rsid w:val="00AA110F"/>
    <w:rsid w:val="00AA15C0"/>
    <w:rsid w:val="00AA15E0"/>
    <w:rsid w:val="00AA16B1"/>
    <w:rsid w:val="00AA1968"/>
    <w:rsid w:val="00AA1B46"/>
    <w:rsid w:val="00AA1D15"/>
    <w:rsid w:val="00AA1DB5"/>
    <w:rsid w:val="00AA1E4C"/>
    <w:rsid w:val="00AA1E91"/>
    <w:rsid w:val="00AA2300"/>
    <w:rsid w:val="00AA28B2"/>
    <w:rsid w:val="00AA2AF5"/>
    <w:rsid w:val="00AA2B99"/>
    <w:rsid w:val="00AA2C55"/>
    <w:rsid w:val="00AA2FF4"/>
    <w:rsid w:val="00AA316D"/>
    <w:rsid w:val="00AA31BB"/>
    <w:rsid w:val="00AA33CE"/>
    <w:rsid w:val="00AA33D9"/>
    <w:rsid w:val="00AA35DD"/>
    <w:rsid w:val="00AA3746"/>
    <w:rsid w:val="00AA3AF9"/>
    <w:rsid w:val="00AA3CAD"/>
    <w:rsid w:val="00AA463B"/>
    <w:rsid w:val="00AA46DA"/>
    <w:rsid w:val="00AA4B3D"/>
    <w:rsid w:val="00AA4EC6"/>
    <w:rsid w:val="00AA4FCD"/>
    <w:rsid w:val="00AA4FF0"/>
    <w:rsid w:val="00AA5082"/>
    <w:rsid w:val="00AA5112"/>
    <w:rsid w:val="00AA5169"/>
    <w:rsid w:val="00AA52DE"/>
    <w:rsid w:val="00AA53D6"/>
    <w:rsid w:val="00AA56DF"/>
    <w:rsid w:val="00AA5B5E"/>
    <w:rsid w:val="00AA5B71"/>
    <w:rsid w:val="00AA5C85"/>
    <w:rsid w:val="00AA5DB0"/>
    <w:rsid w:val="00AA5E48"/>
    <w:rsid w:val="00AA6241"/>
    <w:rsid w:val="00AA6781"/>
    <w:rsid w:val="00AA67D3"/>
    <w:rsid w:val="00AA67E9"/>
    <w:rsid w:val="00AA6AC3"/>
    <w:rsid w:val="00AA6C81"/>
    <w:rsid w:val="00AA6CAD"/>
    <w:rsid w:val="00AA6DF5"/>
    <w:rsid w:val="00AA6F34"/>
    <w:rsid w:val="00AA6F9F"/>
    <w:rsid w:val="00AA728A"/>
    <w:rsid w:val="00AA778A"/>
    <w:rsid w:val="00AA7F4E"/>
    <w:rsid w:val="00AA7F60"/>
    <w:rsid w:val="00AB06D4"/>
    <w:rsid w:val="00AB06EB"/>
    <w:rsid w:val="00AB078A"/>
    <w:rsid w:val="00AB089D"/>
    <w:rsid w:val="00AB0A12"/>
    <w:rsid w:val="00AB11B5"/>
    <w:rsid w:val="00AB14EA"/>
    <w:rsid w:val="00AB150A"/>
    <w:rsid w:val="00AB17C1"/>
    <w:rsid w:val="00AB1A8B"/>
    <w:rsid w:val="00AB1AE9"/>
    <w:rsid w:val="00AB1B5D"/>
    <w:rsid w:val="00AB1DD1"/>
    <w:rsid w:val="00AB1E85"/>
    <w:rsid w:val="00AB2476"/>
    <w:rsid w:val="00AB2530"/>
    <w:rsid w:val="00AB274E"/>
    <w:rsid w:val="00AB2B55"/>
    <w:rsid w:val="00AB2BD7"/>
    <w:rsid w:val="00AB2CE2"/>
    <w:rsid w:val="00AB305C"/>
    <w:rsid w:val="00AB3185"/>
    <w:rsid w:val="00AB34DF"/>
    <w:rsid w:val="00AB35CC"/>
    <w:rsid w:val="00AB36B1"/>
    <w:rsid w:val="00AB387F"/>
    <w:rsid w:val="00AB3C62"/>
    <w:rsid w:val="00AB3E31"/>
    <w:rsid w:val="00AB3E85"/>
    <w:rsid w:val="00AB3EB2"/>
    <w:rsid w:val="00AB3FCA"/>
    <w:rsid w:val="00AB4704"/>
    <w:rsid w:val="00AB4DAA"/>
    <w:rsid w:val="00AB51F9"/>
    <w:rsid w:val="00AB5472"/>
    <w:rsid w:val="00AB568D"/>
    <w:rsid w:val="00AB5C48"/>
    <w:rsid w:val="00AB5C89"/>
    <w:rsid w:val="00AB5F24"/>
    <w:rsid w:val="00AB5F90"/>
    <w:rsid w:val="00AB626B"/>
    <w:rsid w:val="00AB6285"/>
    <w:rsid w:val="00AB6B12"/>
    <w:rsid w:val="00AB6B5C"/>
    <w:rsid w:val="00AB6BB7"/>
    <w:rsid w:val="00AB6C31"/>
    <w:rsid w:val="00AB6EE6"/>
    <w:rsid w:val="00AB731B"/>
    <w:rsid w:val="00AB7433"/>
    <w:rsid w:val="00AB75E7"/>
    <w:rsid w:val="00AB7994"/>
    <w:rsid w:val="00AB7ADB"/>
    <w:rsid w:val="00AB7CB7"/>
    <w:rsid w:val="00AB7CB8"/>
    <w:rsid w:val="00AB7D13"/>
    <w:rsid w:val="00AB7DF6"/>
    <w:rsid w:val="00AB7EF3"/>
    <w:rsid w:val="00AC01C7"/>
    <w:rsid w:val="00AC03CE"/>
    <w:rsid w:val="00AC0C88"/>
    <w:rsid w:val="00AC0F18"/>
    <w:rsid w:val="00AC12A0"/>
    <w:rsid w:val="00AC148A"/>
    <w:rsid w:val="00AC14C2"/>
    <w:rsid w:val="00AC15DD"/>
    <w:rsid w:val="00AC1D22"/>
    <w:rsid w:val="00AC1F4C"/>
    <w:rsid w:val="00AC2225"/>
    <w:rsid w:val="00AC22E7"/>
    <w:rsid w:val="00AC244D"/>
    <w:rsid w:val="00AC2762"/>
    <w:rsid w:val="00AC286B"/>
    <w:rsid w:val="00AC287D"/>
    <w:rsid w:val="00AC28DD"/>
    <w:rsid w:val="00AC2B7B"/>
    <w:rsid w:val="00AC2BB3"/>
    <w:rsid w:val="00AC2BC1"/>
    <w:rsid w:val="00AC2DE8"/>
    <w:rsid w:val="00AC34EC"/>
    <w:rsid w:val="00AC3B3F"/>
    <w:rsid w:val="00AC3EC2"/>
    <w:rsid w:val="00AC3F52"/>
    <w:rsid w:val="00AC4037"/>
    <w:rsid w:val="00AC41A5"/>
    <w:rsid w:val="00AC44AF"/>
    <w:rsid w:val="00AC4A50"/>
    <w:rsid w:val="00AC4D5E"/>
    <w:rsid w:val="00AC50BA"/>
    <w:rsid w:val="00AC5241"/>
    <w:rsid w:val="00AC5280"/>
    <w:rsid w:val="00AC56E8"/>
    <w:rsid w:val="00AC59E4"/>
    <w:rsid w:val="00AC5BF4"/>
    <w:rsid w:val="00AC5C38"/>
    <w:rsid w:val="00AC60BE"/>
    <w:rsid w:val="00AC62D8"/>
    <w:rsid w:val="00AC66A6"/>
    <w:rsid w:val="00AC696E"/>
    <w:rsid w:val="00AC6EF0"/>
    <w:rsid w:val="00AC7077"/>
    <w:rsid w:val="00AC70CC"/>
    <w:rsid w:val="00AC72DC"/>
    <w:rsid w:val="00AC7E37"/>
    <w:rsid w:val="00AC7E4F"/>
    <w:rsid w:val="00AC7F14"/>
    <w:rsid w:val="00AD00EA"/>
    <w:rsid w:val="00AD07CC"/>
    <w:rsid w:val="00AD0863"/>
    <w:rsid w:val="00AD0B56"/>
    <w:rsid w:val="00AD0D4A"/>
    <w:rsid w:val="00AD0DA2"/>
    <w:rsid w:val="00AD0FFA"/>
    <w:rsid w:val="00AD109C"/>
    <w:rsid w:val="00AD118B"/>
    <w:rsid w:val="00AD15C6"/>
    <w:rsid w:val="00AD1733"/>
    <w:rsid w:val="00AD1752"/>
    <w:rsid w:val="00AD1764"/>
    <w:rsid w:val="00AD1AD6"/>
    <w:rsid w:val="00AD1AF7"/>
    <w:rsid w:val="00AD1CBA"/>
    <w:rsid w:val="00AD20C0"/>
    <w:rsid w:val="00AD23C0"/>
    <w:rsid w:val="00AD2417"/>
    <w:rsid w:val="00AD2513"/>
    <w:rsid w:val="00AD2627"/>
    <w:rsid w:val="00AD2D1E"/>
    <w:rsid w:val="00AD321D"/>
    <w:rsid w:val="00AD3555"/>
    <w:rsid w:val="00AD3BF1"/>
    <w:rsid w:val="00AD3E07"/>
    <w:rsid w:val="00AD421A"/>
    <w:rsid w:val="00AD43C1"/>
    <w:rsid w:val="00AD4595"/>
    <w:rsid w:val="00AD488D"/>
    <w:rsid w:val="00AD4CD2"/>
    <w:rsid w:val="00AD4F0C"/>
    <w:rsid w:val="00AD4F34"/>
    <w:rsid w:val="00AD51D0"/>
    <w:rsid w:val="00AD5997"/>
    <w:rsid w:val="00AD5B5F"/>
    <w:rsid w:val="00AD5EF4"/>
    <w:rsid w:val="00AD5F2D"/>
    <w:rsid w:val="00AD6234"/>
    <w:rsid w:val="00AD6677"/>
    <w:rsid w:val="00AD6882"/>
    <w:rsid w:val="00AD6A28"/>
    <w:rsid w:val="00AD6E36"/>
    <w:rsid w:val="00AD7139"/>
    <w:rsid w:val="00AD770C"/>
    <w:rsid w:val="00AD77F3"/>
    <w:rsid w:val="00AD7BA1"/>
    <w:rsid w:val="00AD7E3A"/>
    <w:rsid w:val="00AD7E58"/>
    <w:rsid w:val="00AE02A0"/>
    <w:rsid w:val="00AE03B8"/>
    <w:rsid w:val="00AE040B"/>
    <w:rsid w:val="00AE045E"/>
    <w:rsid w:val="00AE0466"/>
    <w:rsid w:val="00AE079D"/>
    <w:rsid w:val="00AE09F0"/>
    <w:rsid w:val="00AE0B09"/>
    <w:rsid w:val="00AE1186"/>
    <w:rsid w:val="00AE1268"/>
    <w:rsid w:val="00AE1367"/>
    <w:rsid w:val="00AE13F8"/>
    <w:rsid w:val="00AE1A5E"/>
    <w:rsid w:val="00AE1A9C"/>
    <w:rsid w:val="00AE1BF6"/>
    <w:rsid w:val="00AE25D2"/>
    <w:rsid w:val="00AE25F3"/>
    <w:rsid w:val="00AE26FE"/>
    <w:rsid w:val="00AE2750"/>
    <w:rsid w:val="00AE2B4C"/>
    <w:rsid w:val="00AE2C89"/>
    <w:rsid w:val="00AE2FC0"/>
    <w:rsid w:val="00AE303F"/>
    <w:rsid w:val="00AE341D"/>
    <w:rsid w:val="00AE384E"/>
    <w:rsid w:val="00AE38B4"/>
    <w:rsid w:val="00AE39E8"/>
    <w:rsid w:val="00AE469F"/>
    <w:rsid w:val="00AE4791"/>
    <w:rsid w:val="00AE48AE"/>
    <w:rsid w:val="00AE4E0E"/>
    <w:rsid w:val="00AE4E25"/>
    <w:rsid w:val="00AE4E30"/>
    <w:rsid w:val="00AE50EC"/>
    <w:rsid w:val="00AE513B"/>
    <w:rsid w:val="00AE59CD"/>
    <w:rsid w:val="00AE60E4"/>
    <w:rsid w:val="00AE6409"/>
    <w:rsid w:val="00AE66FF"/>
    <w:rsid w:val="00AE68BF"/>
    <w:rsid w:val="00AE6A2A"/>
    <w:rsid w:val="00AE6B80"/>
    <w:rsid w:val="00AE6D4B"/>
    <w:rsid w:val="00AE704A"/>
    <w:rsid w:val="00AE7217"/>
    <w:rsid w:val="00AE75F2"/>
    <w:rsid w:val="00AE7B2F"/>
    <w:rsid w:val="00AE7B79"/>
    <w:rsid w:val="00AE7D81"/>
    <w:rsid w:val="00AE7E91"/>
    <w:rsid w:val="00AE7FDB"/>
    <w:rsid w:val="00AF0727"/>
    <w:rsid w:val="00AF0972"/>
    <w:rsid w:val="00AF101A"/>
    <w:rsid w:val="00AF165C"/>
    <w:rsid w:val="00AF1B34"/>
    <w:rsid w:val="00AF1EE4"/>
    <w:rsid w:val="00AF1F56"/>
    <w:rsid w:val="00AF1FAC"/>
    <w:rsid w:val="00AF1FE4"/>
    <w:rsid w:val="00AF243C"/>
    <w:rsid w:val="00AF26B8"/>
    <w:rsid w:val="00AF2AAE"/>
    <w:rsid w:val="00AF2B26"/>
    <w:rsid w:val="00AF32E0"/>
    <w:rsid w:val="00AF33B2"/>
    <w:rsid w:val="00AF35F1"/>
    <w:rsid w:val="00AF39E1"/>
    <w:rsid w:val="00AF3C71"/>
    <w:rsid w:val="00AF3FC1"/>
    <w:rsid w:val="00AF4050"/>
    <w:rsid w:val="00AF4160"/>
    <w:rsid w:val="00AF4830"/>
    <w:rsid w:val="00AF4997"/>
    <w:rsid w:val="00AF4A6F"/>
    <w:rsid w:val="00AF5336"/>
    <w:rsid w:val="00AF5373"/>
    <w:rsid w:val="00AF5385"/>
    <w:rsid w:val="00AF545B"/>
    <w:rsid w:val="00AF61EB"/>
    <w:rsid w:val="00AF6225"/>
    <w:rsid w:val="00AF6356"/>
    <w:rsid w:val="00AF6398"/>
    <w:rsid w:val="00AF6540"/>
    <w:rsid w:val="00AF6BB7"/>
    <w:rsid w:val="00AF74A4"/>
    <w:rsid w:val="00AF7558"/>
    <w:rsid w:val="00AF79B9"/>
    <w:rsid w:val="00AF79CC"/>
    <w:rsid w:val="00AF7D59"/>
    <w:rsid w:val="00B00279"/>
    <w:rsid w:val="00B00B7F"/>
    <w:rsid w:val="00B00C70"/>
    <w:rsid w:val="00B00F83"/>
    <w:rsid w:val="00B010C7"/>
    <w:rsid w:val="00B01109"/>
    <w:rsid w:val="00B0118E"/>
    <w:rsid w:val="00B012A6"/>
    <w:rsid w:val="00B012E3"/>
    <w:rsid w:val="00B013B6"/>
    <w:rsid w:val="00B01424"/>
    <w:rsid w:val="00B015C8"/>
    <w:rsid w:val="00B01A9B"/>
    <w:rsid w:val="00B01AE4"/>
    <w:rsid w:val="00B01E21"/>
    <w:rsid w:val="00B02241"/>
    <w:rsid w:val="00B0244C"/>
    <w:rsid w:val="00B025F5"/>
    <w:rsid w:val="00B0260A"/>
    <w:rsid w:val="00B02629"/>
    <w:rsid w:val="00B02833"/>
    <w:rsid w:val="00B02956"/>
    <w:rsid w:val="00B02C8F"/>
    <w:rsid w:val="00B0302A"/>
    <w:rsid w:val="00B0318B"/>
    <w:rsid w:val="00B031F2"/>
    <w:rsid w:val="00B03340"/>
    <w:rsid w:val="00B03687"/>
    <w:rsid w:val="00B036AA"/>
    <w:rsid w:val="00B036E5"/>
    <w:rsid w:val="00B03CFF"/>
    <w:rsid w:val="00B04090"/>
    <w:rsid w:val="00B0413B"/>
    <w:rsid w:val="00B043F9"/>
    <w:rsid w:val="00B044DA"/>
    <w:rsid w:val="00B045C1"/>
    <w:rsid w:val="00B04A11"/>
    <w:rsid w:val="00B04B2B"/>
    <w:rsid w:val="00B04D4E"/>
    <w:rsid w:val="00B0512E"/>
    <w:rsid w:val="00B053C7"/>
    <w:rsid w:val="00B05445"/>
    <w:rsid w:val="00B0557A"/>
    <w:rsid w:val="00B05C93"/>
    <w:rsid w:val="00B05E5A"/>
    <w:rsid w:val="00B0614F"/>
    <w:rsid w:val="00B06BC5"/>
    <w:rsid w:val="00B06C2F"/>
    <w:rsid w:val="00B06FB3"/>
    <w:rsid w:val="00B0706D"/>
    <w:rsid w:val="00B0709B"/>
    <w:rsid w:val="00B0740A"/>
    <w:rsid w:val="00B07C2D"/>
    <w:rsid w:val="00B10204"/>
    <w:rsid w:val="00B105F0"/>
    <w:rsid w:val="00B10903"/>
    <w:rsid w:val="00B10E7B"/>
    <w:rsid w:val="00B10F60"/>
    <w:rsid w:val="00B11206"/>
    <w:rsid w:val="00B1128A"/>
    <w:rsid w:val="00B11494"/>
    <w:rsid w:val="00B123CD"/>
    <w:rsid w:val="00B1287A"/>
    <w:rsid w:val="00B12926"/>
    <w:rsid w:val="00B12C28"/>
    <w:rsid w:val="00B12D63"/>
    <w:rsid w:val="00B13228"/>
    <w:rsid w:val="00B13243"/>
    <w:rsid w:val="00B136BD"/>
    <w:rsid w:val="00B13795"/>
    <w:rsid w:val="00B13907"/>
    <w:rsid w:val="00B13DC3"/>
    <w:rsid w:val="00B144C8"/>
    <w:rsid w:val="00B147F0"/>
    <w:rsid w:val="00B149FC"/>
    <w:rsid w:val="00B14AEE"/>
    <w:rsid w:val="00B14B93"/>
    <w:rsid w:val="00B14C3F"/>
    <w:rsid w:val="00B14CBD"/>
    <w:rsid w:val="00B14DB0"/>
    <w:rsid w:val="00B14E96"/>
    <w:rsid w:val="00B14EB0"/>
    <w:rsid w:val="00B14FBC"/>
    <w:rsid w:val="00B156CF"/>
    <w:rsid w:val="00B15A7A"/>
    <w:rsid w:val="00B15AED"/>
    <w:rsid w:val="00B15BF6"/>
    <w:rsid w:val="00B15D55"/>
    <w:rsid w:val="00B15E44"/>
    <w:rsid w:val="00B15EE5"/>
    <w:rsid w:val="00B1638E"/>
    <w:rsid w:val="00B163A3"/>
    <w:rsid w:val="00B16842"/>
    <w:rsid w:val="00B168D0"/>
    <w:rsid w:val="00B16D83"/>
    <w:rsid w:val="00B16EFC"/>
    <w:rsid w:val="00B17028"/>
    <w:rsid w:val="00B1704E"/>
    <w:rsid w:val="00B17263"/>
    <w:rsid w:val="00B17609"/>
    <w:rsid w:val="00B17CB0"/>
    <w:rsid w:val="00B17CD4"/>
    <w:rsid w:val="00B17F80"/>
    <w:rsid w:val="00B2038D"/>
    <w:rsid w:val="00B20502"/>
    <w:rsid w:val="00B20560"/>
    <w:rsid w:val="00B2062C"/>
    <w:rsid w:val="00B20775"/>
    <w:rsid w:val="00B2080D"/>
    <w:rsid w:val="00B20AE5"/>
    <w:rsid w:val="00B20B2F"/>
    <w:rsid w:val="00B20C6D"/>
    <w:rsid w:val="00B21018"/>
    <w:rsid w:val="00B2105F"/>
    <w:rsid w:val="00B2122F"/>
    <w:rsid w:val="00B2148B"/>
    <w:rsid w:val="00B215E1"/>
    <w:rsid w:val="00B217ED"/>
    <w:rsid w:val="00B21902"/>
    <w:rsid w:val="00B2193D"/>
    <w:rsid w:val="00B21D6F"/>
    <w:rsid w:val="00B22070"/>
    <w:rsid w:val="00B223D4"/>
    <w:rsid w:val="00B22575"/>
    <w:rsid w:val="00B226B2"/>
    <w:rsid w:val="00B22721"/>
    <w:rsid w:val="00B22AA9"/>
    <w:rsid w:val="00B22D81"/>
    <w:rsid w:val="00B23BF4"/>
    <w:rsid w:val="00B23C3F"/>
    <w:rsid w:val="00B23E9C"/>
    <w:rsid w:val="00B23F51"/>
    <w:rsid w:val="00B241A3"/>
    <w:rsid w:val="00B2484F"/>
    <w:rsid w:val="00B248BB"/>
    <w:rsid w:val="00B24B4A"/>
    <w:rsid w:val="00B24C2F"/>
    <w:rsid w:val="00B24DB8"/>
    <w:rsid w:val="00B24F1B"/>
    <w:rsid w:val="00B25829"/>
    <w:rsid w:val="00B2589E"/>
    <w:rsid w:val="00B258A8"/>
    <w:rsid w:val="00B25DDB"/>
    <w:rsid w:val="00B25E86"/>
    <w:rsid w:val="00B26473"/>
    <w:rsid w:val="00B264F1"/>
    <w:rsid w:val="00B26531"/>
    <w:rsid w:val="00B2653F"/>
    <w:rsid w:val="00B26694"/>
    <w:rsid w:val="00B266EC"/>
    <w:rsid w:val="00B26981"/>
    <w:rsid w:val="00B26C97"/>
    <w:rsid w:val="00B26CA3"/>
    <w:rsid w:val="00B26D46"/>
    <w:rsid w:val="00B26D99"/>
    <w:rsid w:val="00B26DC4"/>
    <w:rsid w:val="00B2721D"/>
    <w:rsid w:val="00B27313"/>
    <w:rsid w:val="00B27702"/>
    <w:rsid w:val="00B279D3"/>
    <w:rsid w:val="00B27A3E"/>
    <w:rsid w:val="00B27AFC"/>
    <w:rsid w:val="00B27CF8"/>
    <w:rsid w:val="00B30148"/>
    <w:rsid w:val="00B302FA"/>
    <w:rsid w:val="00B303F6"/>
    <w:rsid w:val="00B3060C"/>
    <w:rsid w:val="00B30978"/>
    <w:rsid w:val="00B30AD6"/>
    <w:rsid w:val="00B30E56"/>
    <w:rsid w:val="00B30EA4"/>
    <w:rsid w:val="00B30F1F"/>
    <w:rsid w:val="00B3143F"/>
    <w:rsid w:val="00B31448"/>
    <w:rsid w:val="00B31633"/>
    <w:rsid w:val="00B31771"/>
    <w:rsid w:val="00B3195B"/>
    <w:rsid w:val="00B31A09"/>
    <w:rsid w:val="00B31A0C"/>
    <w:rsid w:val="00B31A7F"/>
    <w:rsid w:val="00B31AF1"/>
    <w:rsid w:val="00B31DB0"/>
    <w:rsid w:val="00B31E58"/>
    <w:rsid w:val="00B31E9A"/>
    <w:rsid w:val="00B31EFB"/>
    <w:rsid w:val="00B31F75"/>
    <w:rsid w:val="00B3227E"/>
    <w:rsid w:val="00B324D4"/>
    <w:rsid w:val="00B32586"/>
    <w:rsid w:val="00B329D1"/>
    <w:rsid w:val="00B32C46"/>
    <w:rsid w:val="00B32D76"/>
    <w:rsid w:val="00B33D4F"/>
    <w:rsid w:val="00B33DFF"/>
    <w:rsid w:val="00B33F03"/>
    <w:rsid w:val="00B340BC"/>
    <w:rsid w:val="00B3435C"/>
    <w:rsid w:val="00B344C1"/>
    <w:rsid w:val="00B345E1"/>
    <w:rsid w:val="00B34A3E"/>
    <w:rsid w:val="00B34AD5"/>
    <w:rsid w:val="00B34CC6"/>
    <w:rsid w:val="00B35010"/>
    <w:rsid w:val="00B350AC"/>
    <w:rsid w:val="00B3521D"/>
    <w:rsid w:val="00B3543D"/>
    <w:rsid w:val="00B35627"/>
    <w:rsid w:val="00B35678"/>
    <w:rsid w:val="00B35784"/>
    <w:rsid w:val="00B3578C"/>
    <w:rsid w:val="00B35874"/>
    <w:rsid w:val="00B35E27"/>
    <w:rsid w:val="00B3641F"/>
    <w:rsid w:val="00B36476"/>
    <w:rsid w:val="00B36502"/>
    <w:rsid w:val="00B36554"/>
    <w:rsid w:val="00B36784"/>
    <w:rsid w:val="00B368A9"/>
    <w:rsid w:val="00B36DAE"/>
    <w:rsid w:val="00B36DD2"/>
    <w:rsid w:val="00B37382"/>
    <w:rsid w:val="00B37908"/>
    <w:rsid w:val="00B37B42"/>
    <w:rsid w:val="00B37B97"/>
    <w:rsid w:val="00B37EC2"/>
    <w:rsid w:val="00B37FEF"/>
    <w:rsid w:val="00B4171A"/>
    <w:rsid w:val="00B417C6"/>
    <w:rsid w:val="00B418E9"/>
    <w:rsid w:val="00B41A6C"/>
    <w:rsid w:val="00B41AFC"/>
    <w:rsid w:val="00B41B95"/>
    <w:rsid w:val="00B41BE8"/>
    <w:rsid w:val="00B42279"/>
    <w:rsid w:val="00B4229D"/>
    <w:rsid w:val="00B424D8"/>
    <w:rsid w:val="00B42501"/>
    <w:rsid w:val="00B4253C"/>
    <w:rsid w:val="00B42615"/>
    <w:rsid w:val="00B42655"/>
    <w:rsid w:val="00B428EF"/>
    <w:rsid w:val="00B42B0B"/>
    <w:rsid w:val="00B42F25"/>
    <w:rsid w:val="00B4311C"/>
    <w:rsid w:val="00B43127"/>
    <w:rsid w:val="00B435E8"/>
    <w:rsid w:val="00B43C8B"/>
    <w:rsid w:val="00B43C95"/>
    <w:rsid w:val="00B43FDD"/>
    <w:rsid w:val="00B43FFC"/>
    <w:rsid w:val="00B440B1"/>
    <w:rsid w:val="00B44170"/>
    <w:rsid w:val="00B4426C"/>
    <w:rsid w:val="00B442D5"/>
    <w:rsid w:val="00B44412"/>
    <w:rsid w:val="00B44908"/>
    <w:rsid w:val="00B44929"/>
    <w:rsid w:val="00B44E99"/>
    <w:rsid w:val="00B44FC0"/>
    <w:rsid w:val="00B44FD4"/>
    <w:rsid w:val="00B450C6"/>
    <w:rsid w:val="00B45664"/>
    <w:rsid w:val="00B456C9"/>
    <w:rsid w:val="00B45ADD"/>
    <w:rsid w:val="00B45DC2"/>
    <w:rsid w:val="00B45FA5"/>
    <w:rsid w:val="00B460AF"/>
    <w:rsid w:val="00B460D8"/>
    <w:rsid w:val="00B461E4"/>
    <w:rsid w:val="00B46416"/>
    <w:rsid w:val="00B464F3"/>
    <w:rsid w:val="00B4651F"/>
    <w:rsid w:val="00B4680E"/>
    <w:rsid w:val="00B46942"/>
    <w:rsid w:val="00B46E0A"/>
    <w:rsid w:val="00B46FE3"/>
    <w:rsid w:val="00B47458"/>
    <w:rsid w:val="00B474A9"/>
    <w:rsid w:val="00B479A3"/>
    <w:rsid w:val="00B500DB"/>
    <w:rsid w:val="00B5079C"/>
    <w:rsid w:val="00B507DD"/>
    <w:rsid w:val="00B5110A"/>
    <w:rsid w:val="00B51230"/>
    <w:rsid w:val="00B515BB"/>
    <w:rsid w:val="00B5169C"/>
    <w:rsid w:val="00B5191B"/>
    <w:rsid w:val="00B51984"/>
    <w:rsid w:val="00B51AD4"/>
    <w:rsid w:val="00B51C1D"/>
    <w:rsid w:val="00B51C6D"/>
    <w:rsid w:val="00B51F05"/>
    <w:rsid w:val="00B52305"/>
    <w:rsid w:val="00B523D0"/>
    <w:rsid w:val="00B52C24"/>
    <w:rsid w:val="00B52F03"/>
    <w:rsid w:val="00B5359A"/>
    <w:rsid w:val="00B535BE"/>
    <w:rsid w:val="00B53781"/>
    <w:rsid w:val="00B53A59"/>
    <w:rsid w:val="00B53D88"/>
    <w:rsid w:val="00B53E48"/>
    <w:rsid w:val="00B53E68"/>
    <w:rsid w:val="00B53F72"/>
    <w:rsid w:val="00B54980"/>
    <w:rsid w:val="00B54B53"/>
    <w:rsid w:val="00B54EB4"/>
    <w:rsid w:val="00B54F67"/>
    <w:rsid w:val="00B5513F"/>
    <w:rsid w:val="00B55462"/>
    <w:rsid w:val="00B55918"/>
    <w:rsid w:val="00B55A89"/>
    <w:rsid w:val="00B55CA3"/>
    <w:rsid w:val="00B55CE9"/>
    <w:rsid w:val="00B55D83"/>
    <w:rsid w:val="00B55E97"/>
    <w:rsid w:val="00B56008"/>
    <w:rsid w:val="00B56218"/>
    <w:rsid w:val="00B564B2"/>
    <w:rsid w:val="00B56777"/>
    <w:rsid w:val="00B56907"/>
    <w:rsid w:val="00B56B45"/>
    <w:rsid w:val="00B574C0"/>
    <w:rsid w:val="00B57C05"/>
    <w:rsid w:val="00B57F26"/>
    <w:rsid w:val="00B57FC7"/>
    <w:rsid w:val="00B57FD4"/>
    <w:rsid w:val="00B604CD"/>
    <w:rsid w:val="00B60512"/>
    <w:rsid w:val="00B606AF"/>
    <w:rsid w:val="00B61389"/>
    <w:rsid w:val="00B613CE"/>
    <w:rsid w:val="00B61433"/>
    <w:rsid w:val="00B615A4"/>
    <w:rsid w:val="00B61862"/>
    <w:rsid w:val="00B619F2"/>
    <w:rsid w:val="00B61B2B"/>
    <w:rsid w:val="00B61C69"/>
    <w:rsid w:val="00B61D8B"/>
    <w:rsid w:val="00B61E34"/>
    <w:rsid w:val="00B61F69"/>
    <w:rsid w:val="00B620A9"/>
    <w:rsid w:val="00B6219E"/>
    <w:rsid w:val="00B6229B"/>
    <w:rsid w:val="00B62358"/>
    <w:rsid w:val="00B625E2"/>
    <w:rsid w:val="00B626CA"/>
    <w:rsid w:val="00B62990"/>
    <w:rsid w:val="00B62C0C"/>
    <w:rsid w:val="00B62C89"/>
    <w:rsid w:val="00B62CEC"/>
    <w:rsid w:val="00B62D2D"/>
    <w:rsid w:val="00B62FB1"/>
    <w:rsid w:val="00B6303F"/>
    <w:rsid w:val="00B631C8"/>
    <w:rsid w:val="00B63469"/>
    <w:rsid w:val="00B635A1"/>
    <w:rsid w:val="00B63AAF"/>
    <w:rsid w:val="00B63C83"/>
    <w:rsid w:val="00B63CAA"/>
    <w:rsid w:val="00B63DEF"/>
    <w:rsid w:val="00B63F28"/>
    <w:rsid w:val="00B6428C"/>
    <w:rsid w:val="00B64355"/>
    <w:rsid w:val="00B6458F"/>
    <w:rsid w:val="00B645B9"/>
    <w:rsid w:val="00B6464A"/>
    <w:rsid w:val="00B64A6C"/>
    <w:rsid w:val="00B64C66"/>
    <w:rsid w:val="00B64D91"/>
    <w:rsid w:val="00B64F66"/>
    <w:rsid w:val="00B64F7B"/>
    <w:rsid w:val="00B6523A"/>
    <w:rsid w:val="00B653AA"/>
    <w:rsid w:val="00B653EE"/>
    <w:rsid w:val="00B65615"/>
    <w:rsid w:val="00B659AB"/>
    <w:rsid w:val="00B65C53"/>
    <w:rsid w:val="00B65ED2"/>
    <w:rsid w:val="00B66080"/>
    <w:rsid w:val="00B665E5"/>
    <w:rsid w:val="00B66778"/>
    <w:rsid w:val="00B668CC"/>
    <w:rsid w:val="00B66A06"/>
    <w:rsid w:val="00B66DAB"/>
    <w:rsid w:val="00B67080"/>
    <w:rsid w:val="00B67169"/>
    <w:rsid w:val="00B6753E"/>
    <w:rsid w:val="00B67558"/>
    <w:rsid w:val="00B6763B"/>
    <w:rsid w:val="00B677C4"/>
    <w:rsid w:val="00B67C1D"/>
    <w:rsid w:val="00B67D57"/>
    <w:rsid w:val="00B67DB8"/>
    <w:rsid w:val="00B67E6B"/>
    <w:rsid w:val="00B67F94"/>
    <w:rsid w:val="00B67FBA"/>
    <w:rsid w:val="00B700E2"/>
    <w:rsid w:val="00B7045B"/>
    <w:rsid w:val="00B70659"/>
    <w:rsid w:val="00B70794"/>
    <w:rsid w:val="00B70D8D"/>
    <w:rsid w:val="00B70F33"/>
    <w:rsid w:val="00B7105B"/>
    <w:rsid w:val="00B712BE"/>
    <w:rsid w:val="00B71334"/>
    <w:rsid w:val="00B716AE"/>
    <w:rsid w:val="00B716E1"/>
    <w:rsid w:val="00B71737"/>
    <w:rsid w:val="00B717CD"/>
    <w:rsid w:val="00B717F9"/>
    <w:rsid w:val="00B71897"/>
    <w:rsid w:val="00B71C9C"/>
    <w:rsid w:val="00B71D58"/>
    <w:rsid w:val="00B71FBF"/>
    <w:rsid w:val="00B7222E"/>
    <w:rsid w:val="00B724B8"/>
    <w:rsid w:val="00B7255D"/>
    <w:rsid w:val="00B7285F"/>
    <w:rsid w:val="00B728D0"/>
    <w:rsid w:val="00B72F80"/>
    <w:rsid w:val="00B73140"/>
    <w:rsid w:val="00B73186"/>
    <w:rsid w:val="00B73797"/>
    <w:rsid w:val="00B73822"/>
    <w:rsid w:val="00B73C86"/>
    <w:rsid w:val="00B73FEE"/>
    <w:rsid w:val="00B744AE"/>
    <w:rsid w:val="00B747CD"/>
    <w:rsid w:val="00B74905"/>
    <w:rsid w:val="00B7493D"/>
    <w:rsid w:val="00B74A4A"/>
    <w:rsid w:val="00B74ACB"/>
    <w:rsid w:val="00B74D1B"/>
    <w:rsid w:val="00B75028"/>
    <w:rsid w:val="00B75234"/>
    <w:rsid w:val="00B75381"/>
    <w:rsid w:val="00B75574"/>
    <w:rsid w:val="00B755EA"/>
    <w:rsid w:val="00B75628"/>
    <w:rsid w:val="00B75B1A"/>
    <w:rsid w:val="00B75BDF"/>
    <w:rsid w:val="00B75CAB"/>
    <w:rsid w:val="00B75E9B"/>
    <w:rsid w:val="00B75ED2"/>
    <w:rsid w:val="00B76207"/>
    <w:rsid w:val="00B7635B"/>
    <w:rsid w:val="00B7636D"/>
    <w:rsid w:val="00B763F3"/>
    <w:rsid w:val="00B7661F"/>
    <w:rsid w:val="00B76B6C"/>
    <w:rsid w:val="00B76BC4"/>
    <w:rsid w:val="00B76C05"/>
    <w:rsid w:val="00B76CF9"/>
    <w:rsid w:val="00B76FF8"/>
    <w:rsid w:val="00B7700D"/>
    <w:rsid w:val="00B77042"/>
    <w:rsid w:val="00B77127"/>
    <w:rsid w:val="00B77538"/>
    <w:rsid w:val="00B7766B"/>
    <w:rsid w:val="00B77DA8"/>
    <w:rsid w:val="00B802B4"/>
    <w:rsid w:val="00B804BD"/>
    <w:rsid w:val="00B80670"/>
    <w:rsid w:val="00B8074C"/>
    <w:rsid w:val="00B808F9"/>
    <w:rsid w:val="00B80AEC"/>
    <w:rsid w:val="00B80AF7"/>
    <w:rsid w:val="00B80B32"/>
    <w:rsid w:val="00B80C64"/>
    <w:rsid w:val="00B81068"/>
    <w:rsid w:val="00B81440"/>
    <w:rsid w:val="00B814EC"/>
    <w:rsid w:val="00B815E4"/>
    <w:rsid w:val="00B818B3"/>
    <w:rsid w:val="00B81E88"/>
    <w:rsid w:val="00B81F85"/>
    <w:rsid w:val="00B8208F"/>
    <w:rsid w:val="00B820C7"/>
    <w:rsid w:val="00B821B4"/>
    <w:rsid w:val="00B8255A"/>
    <w:rsid w:val="00B825EC"/>
    <w:rsid w:val="00B82946"/>
    <w:rsid w:val="00B82C52"/>
    <w:rsid w:val="00B83147"/>
    <w:rsid w:val="00B83294"/>
    <w:rsid w:val="00B833A4"/>
    <w:rsid w:val="00B8359D"/>
    <w:rsid w:val="00B83912"/>
    <w:rsid w:val="00B8395F"/>
    <w:rsid w:val="00B83A63"/>
    <w:rsid w:val="00B83B35"/>
    <w:rsid w:val="00B83B6A"/>
    <w:rsid w:val="00B848C0"/>
    <w:rsid w:val="00B849D9"/>
    <w:rsid w:val="00B84D90"/>
    <w:rsid w:val="00B84F27"/>
    <w:rsid w:val="00B84F49"/>
    <w:rsid w:val="00B8504E"/>
    <w:rsid w:val="00B850DA"/>
    <w:rsid w:val="00B85612"/>
    <w:rsid w:val="00B857A7"/>
    <w:rsid w:val="00B858A0"/>
    <w:rsid w:val="00B859D0"/>
    <w:rsid w:val="00B85BF7"/>
    <w:rsid w:val="00B85CB3"/>
    <w:rsid w:val="00B85DC3"/>
    <w:rsid w:val="00B85DCB"/>
    <w:rsid w:val="00B85E90"/>
    <w:rsid w:val="00B861C7"/>
    <w:rsid w:val="00B863B2"/>
    <w:rsid w:val="00B86A95"/>
    <w:rsid w:val="00B86AFB"/>
    <w:rsid w:val="00B86C7A"/>
    <w:rsid w:val="00B86DFD"/>
    <w:rsid w:val="00B87016"/>
    <w:rsid w:val="00B870FC"/>
    <w:rsid w:val="00B8712D"/>
    <w:rsid w:val="00B87234"/>
    <w:rsid w:val="00B87245"/>
    <w:rsid w:val="00B8744B"/>
    <w:rsid w:val="00B87519"/>
    <w:rsid w:val="00B87BB6"/>
    <w:rsid w:val="00B87C7E"/>
    <w:rsid w:val="00B87C93"/>
    <w:rsid w:val="00B87CC4"/>
    <w:rsid w:val="00B9017C"/>
    <w:rsid w:val="00B90241"/>
    <w:rsid w:val="00B9048A"/>
    <w:rsid w:val="00B904E7"/>
    <w:rsid w:val="00B90544"/>
    <w:rsid w:val="00B909B0"/>
    <w:rsid w:val="00B90A6E"/>
    <w:rsid w:val="00B90A79"/>
    <w:rsid w:val="00B90C45"/>
    <w:rsid w:val="00B90C90"/>
    <w:rsid w:val="00B90CE6"/>
    <w:rsid w:val="00B9154B"/>
    <w:rsid w:val="00B91617"/>
    <w:rsid w:val="00B91C15"/>
    <w:rsid w:val="00B91C18"/>
    <w:rsid w:val="00B9220E"/>
    <w:rsid w:val="00B922AD"/>
    <w:rsid w:val="00B92407"/>
    <w:rsid w:val="00B92CC7"/>
    <w:rsid w:val="00B92FD3"/>
    <w:rsid w:val="00B93159"/>
    <w:rsid w:val="00B937A6"/>
    <w:rsid w:val="00B939E1"/>
    <w:rsid w:val="00B93D77"/>
    <w:rsid w:val="00B94355"/>
    <w:rsid w:val="00B944C2"/>
    <w:rsid w:val="00B94637"/>
    <w:rsid w:val="00B94748"/>
    <w:rsid w:val="00B94923"/>
    <w:rsid w:val="00B94A26"/>
    <w:rsid w:val="00B94AB8"/>
    <w:rsid w:val="00B94B73"/>
    <w:rsid w:val="00B9528C"/>
    <w:rsid w:val="00B9538A"/>
    <w:rsid w:val="00B95414"/>
    <w:rsid w:val="00B95C02"/>
    <w:rsid w:val="00B95C3B"/>
    <w:rsid w:val="00B95D99"/>
    <w:rsid w:val="00B960D1"/>
    <w:rsid w:val="00B96127"/>
    <w:rsid w:val="00B9671B"/>
    <w:rsid w:val="00B96723"/>
    <w:rsid w:val="00B96756"/>
    <w:rsid w:val="00B96851"/>
    <w:rsid w:val="00B96882"/>
    <w:rsid w:val="00B96F1A"/>
    <w:rsid w:val="00B97085"/>
    <w:rsid w:val="00B976CE"/>
    <w:rsid w:val="00B97C3A"/>
    <w:rsid w:val="00B97FF8"/>
    <w:rsid w:val="00BA02DA"/>
    <w:rsid w:val="00BA074C"/>
    <w:rsid w:val="00BA0AB9"/>
    <w:rsid w:val="00BA0AFE"/>
    <w:rsid w:val="00BA0BC9"/>
    <w:rsid w:val="00BA0E5C"/>
    <w:rsid w:val="00BA1145"/>
    <w:rsid w:val="00BA15DA"/>
    <w:rsid w:val="00BA1680"/>
    <w:rsid w:val="00BA1862"/>
    <w:rsid w:val="00BA198A"/>
    <w:rsid w:val="00BA1DFD"/>
    <w:rsid w:val="00BA20D4"/>
    <w:rsid w:val="00BA24B5"/>
    <w:rsid w:val="00BA2662"/>
    <w:rsid w:val="00BA2709"/>
    <w:rsid w:val="00BA2D39"/>
    <w:rsid w:val="00BA2D89"/>
    <w:rsid w:val="00BA3383"/>
    <w:rsid w:val="00BA3973"/>
    <w:rsid w:val="00BA3F47"/>
    <w:rsid w:val="00BA40FC"/>
    <w:rsid w:val="00BA4762"/>
    <w:rsid w:val="00BA49EC"/>
    <w:rsid w:val="00BA4C6B"/>
    <w:rsid w:val="00BA4EA3"/>
    <w:rsid w:val="00BA50C3"/>
    <w:rsid w:val="00BA5206"/>
    <w:rsid w:val="00BA5251"/>
    <w:rsid w:val="00BA537A"/>
    <w:rsid w:val="00BA54CE"/>
    <w:rsid w:val="00BA5A51"/>
    <w:rsid w:val="00BA5A52"/>
    <w:rsid w:val="00BA5B72"/>
    <w:rsid w:val="00BA5D32"/>
    <w:rsid w:val="00BA5D41"/>
    <w:rsid w:val="00BA5E82"/>
    <w:rsid w:val="00BA628B"/>
    <w:rsid w:val="00BA6351"/>
    <w:rsid w:val="00BA63B2"/>
    <w:rsid w:val="00BA641B"/>
    <w:rsid w:val="00BA6556"/>
    <w:rsid w:val="00BA6624"/>
    <w:rsid w:val="00BA6869"/>
    <w:rsid w:val="00BA6B45"/>
    <w:rsid w:val="00BA6F5E"/>
    <w:rsid w:val="00BA749C"/>
    <w:rsid w:val="00BA75A7"/>
    <w:rsid w:val="00BA797C"/>
    <w:rsid w:val="00BA7B1B"/>
    <w:rsid w:val="00BB0064"/>
    <w:rsid w:val="00BB05A8"/>
    <w:rsid w:val="00BB06A6"/>
    <w:rsid w:val="00BB09EC"/>
    <w:rsid w:val="00BB0A75"/>
    <w:rsid w:val="00BB0BD5"/>
    <w:rsid w:val="00BB0C5C"/>
    <w:rsid w:val="00BB0C80"/>
    <w:rsid w:val="00BB0D6F"/>
    <w:rsid w:val="00BB136D"/>
    <w:rsid w:val="00BB15C7"/>
    <w:rsid w:val="00BB1658"/>
    <w:rsid w:val="00BB1A65"/>
    <w:rsid w:val="00BB1E41"/>
    <w:rsid w:val="00BB203B"/>
    <w:rsid w:val="00BB24EB"/>
    <w:rsid w:val="00BB2537"/>
    <w:rsid w:val="00BB2757"/>
    <w:rsid w:val="00BB2E56"/>
    <w:rsid w:val="00BB307B"/>
    <w:rsid w:val="00BB3139"/>
    <w:rsid w:val="00BB32E7"/>
    <w:rsid w:val="00BB3407"/>
    <w:rsid w:val="00BB373A"/>
    <w:rsid w:val="00BB3BA7"/>
    <w:rsid w:val="00BB3C5A"/>
    <w:rsid w:val="00BB3C97"/>
    <w:rsid w:val="00BB3E7B"/>
    <w:rsid w:val="00BB3E9F"/>
    <w:rsid w:val="00BB40F2"/>
    <w:rsid w:val="00BB41B6"/>
    <w:rsid w:val="00BB4416"/>
    <w:rsid w:val="00BB453D"/>
    <w:rsid w:val="00BB46A8"/>
    <w:rsid w:val="00BB48E6"/>
    <w:rsid w:val="00BB5020"/>
    <w:rsid w:val="00BB51F5"/>
    <w:rsid w:val="00BB534C"/>
    <w:rsid w:val="00BB53EE"/>
    <w:rsid w:val="00BB54CB"/>
    <w:rsid w:val="00BB55F7"/>
    <w:rsid w:val="00BB569E"/>
    <w:rsid w:val="00BB5870"/>
    <w:rsid w:val="00BB591D"/>
    <w:rsid w:val="00BB5A6F"/>
    <w:rsid w:val="00BB5AA8"/>
    <w:rsid w:val="00BB5E85"/>
    <w:rsid w:val="00BB5EF7"/>
    <w:rsid w:val="00BB5FFE"/>
    <w:rsid w:val="00BB60BF"/>
    <w:rsid w:val="00BB6123"/>
    <w:rsid w:val="00BB6225"/>
    <w:rsid w:val="00BB646B"/>
    <w:rsid w:val="00BB686F"/>
    <w:rsid w:val="00BB6ABA"/>
    <w:rsid w:val="00BB6D03"/>
    <w:rsid w:val="00BB6E14"/>
    <w:rsid w:val="00BB6F9A"/>
    <w:rsid w:val="00BB70D1"/>
    <w:rsid w:val="00BB7206"/>
    <w:rsid w:val="00BB7235"/>
    <w:rsid w:val="00BB74A6"/>
    <w:rsid w:val="00BB760C"/>
    <w:rsid w:val="00BB76EE"/>
    <w:rsid w:val="00BB794B"/>
    <w:rsid w:val="00BB7D57"/>
    <w:rsid w:val="00BB7DF0"/>
    <w:rsid w:val="00BC0131"/>
    <w:rsid w:val="00BC026F"/>
    <w:rsid w:val="00BC0461"/>
    <w:rsid w:val="00BC04F9"/>
    <w:rsid w:val="00BC0CCE"/>
    <w:rsid w:val="00BC13F3"/>
    <w:rsid w:val="00BC140E"/>
    <w:rsid w:val="00BC1422"/>
    <w:rsid w:val="00BC1909"/>
    <w:rsid w:val="00BC1FB4"/>
    <w:rsid w:val="00BC2070"/>
    <w:rsid w:val="00BC236B"/>
    <w:rsid w:val="00BC2500"/>
    <w:rsid w:val="00BC2710"/>
    <w:rsid w:val="00BC28C8"/>
    <w:rsid w:val="00BC2915"/>
    <w:rsid w:val="00BC2D66"/>
    <w:rsid w:val="00BC2DD5"/>
    <w:rsid w:val="00BC2E8A"/>
    <w:rsid w:val="00BC31FA"/>
    <w:rsid w:val="00BC321A"/>
    <w:rsid w:val="00BC3335"/>
    <w:rsid w:val="00BC33E6"/>
    <w:rsid w:val="00BC3430"/>
    <w:rsid w:val="00BC358E"/>
    <w:rsid w:val="00BC3883"/>
    <w:rsid w:val="00BC39F2"/>
    <w:rsid w:val="00BC3DC7"/>
    <w:rsid w:val="00BC4019"/>
    <w:rsid w:val="00BC4163"/>
    <w:rsid w:val="00BC4230"/>
    <w:rsid w:val="00BC4320"/>
    <w:rsid w:val="00BC46FA"/>
    <w:rsid w:val="00BC47FA"/>
    <w:rsid w:val="00BC4842"/>
    <w:rsid w:val="00BC48A8"/>
    <w:rsid w:val="00BC48FF"/>
    <w:rsid w:val="00BC4981"/>
    <w:rsid w:val="00BC4B77"/>
    <w:rsid w:val="00BC4CA2"/>
    <w:rsid w:val="00BC504C"/>
    <w:rsid w:val="00BC5127"/>
    <w:rsid w:val="00BC512E"/>
    <w:rsid w:val="00BC5593"/>
    <w:rsid w:val="00BC56F6"/>
    <w:rsid w:val="00BC571D"/>
    <w:rsid w:val="00BC58E2"/>
    <w:rsid w:val="00BC5DFF"/>
    <w:rsid w:val="00BC5E38"/>
    <w:rsid w:val="00BC6054"/>
    <w:rsid w:val="00BC60D6"/>
    <w:rsid w:val="00BC617E"/>
    <w:rsid w:val="00BC62F7"/>
    <w:rsid w:val="00BC6567"/>
    <w:rsid w:val="00BC69AE"/>
    <w:rsid w:val="00BC6EF3"/>
    <w:rsid w:val="00BC73C7"/>
    <w:rsid w:val="00BC74FC"/>
    <w:rsid w:val="00BC7611"/>
    <w:rsid w:val="00BC7DA2"/>
    <w:rsid w:val="00BC7FFB"/>
    <w:rsid w:val="00BD0002"/>
    <w:rsid w:val="00BD0373"/>
    <w:rsid w:val="00BD0375"/>
    <w:rsid w:val="00BD03FF"/>
    <w:rsid w:val="00BD04C7"/>
    <w:rsid w:val="00BD06EE"/>
    <w:rsid w:val="00BD07BF"/>
    <w:rsid w:val="00BD07CC"/>
    <w:rsid w:val="00BD09CA"/>
    <w:rsid w:val="00BD0D80"/>
    <w:rsid w:val="00BD0F08"/>
    <w:rsid w:val="00BD1587"/>
    <w:rsid w:val="00BD15B2"/>
    <w:rsid w:val="00BD17CA"/>
    <w:rsid w:val="00BD18CF"/>
    <w:rsid w:val="00BD1B14"/>
    <w:rsid w:val="00BD1B35"/>
    <w:rsid w:val="00BD1D9E"/>
    <w:rsid w:val="00BD1EBC"/>
    <w:rsid w:val="00BD200E"/>
    <w:rsid w:val="00BD2160"/>
    <w:rsid w:val="00BD248D"/>
    <w:rsid w:val="00BD2496"/>
    <w:rsid w:val="00BD2529"/>
    <w:rsid w:val="00BD25AD"/>
    <w:rsid w:val="00BD28D3"/>
    <w:rsid w:val="00BD2A68"/>
    <w:rsid w:val="00BD2DEC"/>
    <w:rsid w:val="00BD2E06"/>
    <w:rsid w:val="00BD2F68"/>
    <w:rsid w:val="00BD2FE9"/>
    <w:rsid w:val="00BD375D"/>
    <w:rsid w:val="00BD4042"/>
    <w:rsid w:val="00BD41B7"/>
    <w:rsid w:val="00BD430D"/>
    <w:rsid w:val="00BD4616"/>
    <w:rsid w:val="00BD46DB"/>
    <w:rsid w:val="00BD4A18"/>
    <w:rsid w:val="00BD4A60"/>
    <w:rsid w:val="00BD4CD5"/>
    <w:rsid w:val="00BD4D8C"/>
    <w:rsid w:val="00BD56D9"/>
    <w:rsid w:val="00BD58DC"/>
    <w:rsid w:val="00BD5CE4"/>
    <w:rsid w:val="00BD5CFB"/>
    <w:rsid w:val="00BD5DB2"/>
    <w:rsid w:val="00BD5F12"/>
    <w:rsid w:val="00BD60A3"/>
    <w:rsid w:val="00BD6183"/>
    <w:rsid w:val="00BD64C7"/>
    <w:rsid w:val="00BD6522"/>
    <w:rsid w:val="00BD69BE"/>
    <w:rsid w:val="00BD6D36"/>
    <w:rsid w:val="00BD75E7"/>
    <w:rsid w:val="00BD7624"/>
    <w:rsid w:val="00BD7720"/>
    <w:rsid w:val="00BD779E"/>
    <w:rsid w:val="00BD77A1"/>
    <w:rsid w:val="00BD7A91"/>
    <w:rsid w:val="00BD7B65"/>
    <w:rsid w:val="00BD7C79"/>
    <w:rsid w:val="00BD7DED"/>
    <w:rsid w:val="00BD7F9E"/>
    <w:rsid w:val="00BE0DB7"/>
    <w:rsid w:val="00BE1030"/>
    <w:rsid w:val="00BE104F"/>
    <w:rsid w:val="00BE192B"/>
    <w:rsid w:val="00BE199B"/>
    <w:rsid w:val="00BE1FCE"/>
    <w:rsid w:val="00BE200F"/>
    <w:rsid w:val="00BE22D5"/>
    <w:rsid w:val="00BE230A"/>
    <w:rsid w:val="00BE2361"/>
    <w:rsid w:val="00BE25C9"/>
    <w:rsid w:val="00BE25EF"/>
    <w:rsid w:val="00BE2700"/>
    <w:rsid w:val="00BE2708"/>
    <w:rsid w:val="00BE297D"/>
    <w:rsid w:val="00BE29B2"/>
    <w:rsid w:val="00BE2D46"/>
    <w:rsid w:val="00BE3845"/>
    <w:rsid w:val="00BE3D2C"/>
    <w:rsid w:val="00BE3E39"/>
    <w:rsid w:val="00BE40B5"/>
    <w:rsid w:val="00BE40CA"/>
    <w:rsid w:val="00BE419B"/>
    <w:rsid w:val="00BE471D"/>
    <w:rsid w:val="00BE4742"/>
    <w:rsid w:val="00BE4B99"/>
    <w:rsid w:val="00BE4CA8"/>
    <w:rsid w:val="00BE4F35"/>
    <w:rsid w:val="00BE50D6"/>
    <w:rsid w:val="00BE54D3"/>
    <w:rsid w:val="00BE5535"/>
    <w:rsid w:val="00BE5588"/>
    <w:rsid w:val="00BE5601"/>
    <w:rsid w:val="00BE56DA"/>
    <w:rsid w:val="00BE57A5"/>
    <w:rsid w:val="00BE5CDF"/>
    <w:rsid w:val="00BE5D48"/>
    <w:rsid w:val="00BE5FDF"/>
    <w:rsid w:val="00BE63E9"/>
    <w:rsid w:val="00BE66DF"/>
    <w:rsid w:val="00BE6759"/>
    <w:rsid w:val="00BE6805"/>
    <w:rsid w:val="00BE71A2"/>
    <w:rsid w:val="00BE7381"/>
    <w:rsid w:val="00BE75CA"/>
    <w:rsid w:val="00BE7966"/>
    <w:rsid w:val="00BE7A3C"/>
    <w:rsid w:val="00BE7AB9"/>
    <w:rsid w:val="00BE7AE6"/>
    <w:rsid w:val="00BE7BB7"/>
    <w:rsid w:val="00BE7CE4"/>
    <w:rsid w:val="00BE7DB2"/>
    <w:rsid w:val="00BE7F95"/>
    <w:rsid w:val="00BF03D0"/>
    <w:rsid w:val="00BF057C"/>
    <w:rsid w:val="00BF05DE"/>
    <w:rsid w:val="00BF05F6"/>
    <w:rsid w:val="00BF0956"/>
    <w:rsid w:val="00BF0AC6"/>
    <w:rsid w:val="00BF0C14"/>
    <w:rsid w:val="00BF0E9C"/>
    <w:rsid w:val="00BF0F2B"/>
    <w:rsid w:val="00BF108C"/>
    <w:rsid w:val="00BF11D0"/>
    <w:rsid w:val="00BF18DD"/>
    <w:rsid w:val="00BF1AB7"/>
    <w:rsid w:val="00BF2172"/>
    <w:rsid w:val="00BF229C"/>
    <w:rsid w:val="00BF28ED"/>
    <w:rsid w:val="00BF2957"/>
    <w:rsid w:val="00BF2B43"/>
    <w:rsid w:val="00BF2BB8"/>
    <w:rsid w:val="00BF2D2B"/>
    <w:rsid w:val="00BF2E5E"/>
    <w:rsid w:val="00BF2ED0"/>
    <w:rsid w:val="00BF32F5"/>
    <w:rsid w:val="00BF3307"/>
    <w:rsid w:val="00BF3390"/>
    <w:rsid w:val="00BF3800"/>
    <w:rsid w:val="00BF3925"/>
    <w:rsid w:val="00BF3D4C"/>
    <w:rsid w:val="00BF3DC0"/>
    <w:rsid w:val="00BF3E1A"/>
    <w:rsid w:val="00BF3FE3"/>
    <w:rsid w:val="00BF43E6"/>
    <w:rsid w:val="00BF4510"/>
    <w:rsid w:val="00BF45AF"/>
    <w:rsid w:val="00BF488D"/>
    <w:rsid w:val="00BF49AC"/>
    <w:rsid w:val="00BF4A54"/>
    <w:rsid w:val="00BF4DB9"/>
    <w:rsid w:val="00BF4EB6"/>
    <w:rsid w:val="00BF4F46"/>
    <w:rsid w:val="00BF5017"/>
    <w:rsid w:val="00BF50D0"/>
    <w:rsid w:val="00BF5376"/>
    <w:rsid w:val="00BF547E"/>
    <w:rsid w:val="00BF54D5"/>
    <w:rsid w:val="00BF56CE"/>
    <w:rsid w:val="00BF578D"/>
    <w:rsid w:val="00BF57B5"/>
    <w:rsid w:val="00BF57F1"/>
    <w:rsid w:val="00BF5832"/>
    <w:rsid w:val="00BF58AA"/>
    <w:rsid w:val="00BF5E12"/>
    <w:rsid w:val="00BF5FA9"/>
    <w:rsid w:val="00BF6009"/>
    <w:rsid w:val="00BF63B8"/>
    <w:rsid w:val="00BF641C"/>
    <w:rsid w:val="00BF643A"/>
    <w:rsid w:val="00BF65D6"/>
    <w:rsid w:val="00BF65EE"/>
    <w:rsid w:val="00BF69C7"/>
    <w:rsid w:val="00BF6E9C"/>
    <w:rsid w:val="00BF70E7"/>
    <w:rsid w:val="00BF76F3"/>
    <w:rsid w:val="00BF77B8"/>
    <w:rsid w:val="00BF7837"/>
    <w:rsid w:val="00BF7945"/>
    <w:rsid w:val="00BF7BE7"/>
    <w:rsid w:val="00BF7DDD"/>
    <w:rsid w:val="00C002E6"/>
    <w:rsid w:val="00C006DD"/>
    <w:rsid w:val="00C0072B"/>
    <w:rsid w:val="00C00AC6"/>
    <w:rsid w:val="00C01059"/>
    <w:rsid w:val="00C01124"/>
    <w:rsid w:val="00C0189C"/>
    <w:rsid w:val="00C01C88"/>
    <w:rsid w:val="00C01DB6"/>
    <w:rsid w:val="00C01F27"/>
    <w:rsid w:val="00C01FDA"/>
    <w:rsid w:val="00C0211A"/>
    <w:rsid w:val="00C024A0"/>
    <w:rsid w:val="00C027B9"/>
    <w:rsid w:val="00C02A37"/>
    <w:rsid w:val="00C02A83"/>
    <w:rsid w:val="00C02A96"/>
    <w:rsid w:val="00C02B5F"/>
    <w:rsid w:val="00C02E37"/>
    <w:rsid w:val="00C0309B"/>
    <w:rsid w:val="00C036ED"/>
    <w:rsid w:val="00C03896"/>
    <w:rsid w:val="00C03B00"/>
    <w:rsid w:val="00C03BF3"/>
    <w:rsid w:val="00C03CD3"/>
    <w:rsid w:val="00C03EF9"/>
    <w:rsid w:val="00C03F06"/>
    <w:rsid w:val="00C040EF"/>
    <w:rsid w:val="00C04A45"/>
    <w:rsid w:val="00C04AEF"/>
    <w:rsid w:val="00C04C41"/>
    <w:rsid w:val="00C04E95"/>
    <w:rsid w:val="00C051B6"/>
    <w:rsid w:val="00C05408"/>
    <w:rsid w:val="00C054EB"/>
    <w:rsid w:val="00C0580C"/>
    <w:rsid w:val="00C058E9"/>
    <w:rsid w:val="00C063FE"/>
    <w:rsid w:val="00C069E8"/>
    <w:rsid w:val="00C06C3C"/>
    <w:rsid w:val="00C071D4"/>
    <w:rsid w:val="00C073D7"/>
    <w:rsid w:val="00C07743"/>
    <w:rsid w:val="00C07C01"/>
    <w:rsid w:val="00C07E7C"/>
    <w:rsid w:val="00C07FB8"/>
    <w:rsid w:val="00C10459"/>
    <w:rsid w:val="00C105F4"/>
    <w:rsid w:val="00C10686"/>
    <w:rsid w:val="00C1096F"/>
    <w:rsid w:val="00C10ECE"/>
    <w:rsid w:val="00C10EF9"/>
    <w:rsid w:val="00C110ED"/>
    <w:rsid w:val="00C111E3"/>
    <w:rsid w:val="00C1130D"/>
    <w:rsid w:val="00C11855"/>
    <w:rsid w:val="00C11865"/>
    <w:rsid w:val="00C119EF"/>
    <w:rsid w:val="00C11ABD"/>
    <w:rsid w:val="00C11CC7"/>
    <w:rsid w:val="00C11CD1"/>
    <w:rsid w:val="00C11EF0"/>
    <w:rsid w:val="00C11F0C"/>
    <w:rsid w:val="00C1207D"/>
    <w:rsid w:val="00C122ED"/>
    <w:rsid w:val="00C1257B"/>
    <w:rsid w:val="00C1271F"/>
    <w:rsid w:val="00C127D3"/>
    <w:rsid w:val="00C12AA8"/>
    <w:rsid w:val="00C12ABD"/>
    <w:rsid w:val="00C133BB"/>
    <w:rsid w:val="00C134F1"/>
    <w:rsid w:val="00C1372E"/>
    <w:rsid w:val="00C13B77"/>
    <w:rsid w:val="00C13BE6"/>
    <w:rsid w:val="00C14023"/>
    <w:rsid w:val="00C141BA"/>
    <w:rsid w:val="00C144A7"/>
    <w:rsid w:val="00C1464E"/>
    <w:rsid w:val="00C14744"/>
    <w:rsid w:val="00C14A63"/>
    <w:rsid w:val="00C14B64"/>
    <w:rsid w:val="00C14EB5"/>
    <w:rsid w:val="00C15009"/>
    <w:rsid w:val="00C1551F"/>
    <w:rsid w:val="00C15700"/>
    <w:rsid w:val="00C15918"/>
    <w:rsid w:val="00C15A6A"/>
    <w:rsid w:val="00C15CD3"/>
    <w:rsid w:val="00C15F3C"/>
    <w:rsid w:val="00C16095"/>
    <w:rsid w:val="00C160E1"/>
    <w:rsid w:val="00C1677F"/>
    <w:rsid w:val="00C167DB"/>
    <w:rsid w:val="00C16814"/>
    <w:rsid w:val="00C168B4"/>
    <w:rsid w:val="00C16921"/>
    <w:rsid w:val="00C16A1B"/>
    <w:rsid w:val="00C16ABD"/>
    <w:rsid w:val="00C16D2F"/>
    <w:rsid w:val="00C16ED3"/>
    <w:rsid w:val="00C16F8E"/>
    <w:rsid w:val="00C171CA"/>
    <w:rsid w:val="00C17248"/>
    <w:rsid w:val="00C172B1"/>
    <w:rsid w:val="00C1737A"/>
    <w:rsid w:val="00C17391"/>
    <w:rsid w:val="00C1750D"/>
    <w:rsid w:val="00C17704"/>
    <w:rsid w:val="00C1775B"/>
    <w:rsid w:val="00C17933"/>
    <w:rsid w:val="00C17ACA"/>
    <w:rsid w:val="00C17BF8"/>
    <w:rsid w:val="00C17C30"/>
    <w:rsid w:val="00C17E02"/>
    <w:rsid w:val="00C20029"/>
    <w:rsid w:val="00C200E1"/>
    <w:rsid w:val="00C20142"/>
    <w:rsid w:val="00C20455"/>
    <w:rsid w:val="00C209FF"/>
    <w:rsid w:val="00C20AC8"/>
    <w:rsid w:val="00C20CE1"/>
    <w:rsid w:val="00C2121E"/>
    <w:rsid w:val="00C21287"/>
    <w:rsid w:val="00C21469"/>
    <w:rsid w:val="00C21564"/>
    <w:rsid w:val="00C21A07"/>
    <w:rsid w:val="00C21C67"/>
    <w:rsid w:val="00C221D7"/>
    <w:rsid w:val="00C222CF"/>
    <w:rsid w:val="00C224B3"/>
    <w:rsid w:val="00C2269A"/>
    <w:rsid w:val="00C22D20"/>
    <w:rsid w:val="00C22E75"/>
    <w:rsid w:val="00C22E78"/>
    <w:rsid w:val="00C22F85"/>
    <w:rsid w:val="00C237C5"/>
    <w:rsid w:val="00C2389D"/>
    <w:rsid w:val="00C238D7"/>
    <w:rsid w:val="00C23D23"/>
    <w:rsid w:val="00C2414D"/>
    <w:rsid w:val="00C249BB"/>
    <w:rsid w:val="00C24A3D"/>
    <w:rsid w:val="00C24A44"/>
    <w:rsid w:val="00C24BF4"/>
    <w:rsid w:val="00C24C6D"/>
    <w:rsid w:val="00C25517"/>
    <w:rsid w:val="00C25565"/>
    <w:rsid w:val="00C25750"/>
    <w:rsid w:val="00C25751"/>
    <w:rsid w:val="00C25885"/>
    <w:rsid w:val="00C258F4"/>
    <w:rsid w:val="00C25944"/>
    <w:rsid w:val="00C25B78"/>
    <w:rsid w:val="00C25C48"/>
    <w:rsid w:val="00C25E17"/>
    <w:rsid w:val="00C26BC5"/>
    <w:rsid w:val="00C27413"/>
    <w:rsid w:val="00C27690"/>
    <w:rsid w:val="00C277EF"/>
    <w:rsid w:val="00C27A7C"/>
    <w:rsid w:val="00C27AA0"/>
    <w:rsid w:val="00C27B92"/>
    <w:rsid w:val="00C27B98"/>
    <w:rsid w:val="00C27C95"/>
    <w:rsid w:val="00C27D1A"/>
    <w:rsid w:val="00C27F40"/>
    <w:rsid w:val="00C27F77"/>
    <w:rsid w:val="00C27FF5"/>
    <w:rsid w:val="00C301CE"/>
    <w:rsid w:val="00C302D9"/>
    <w:rsid w:val="00C303BD"/>
    <w:rsid w:val="00C303DA"/>
    <w:rsid w:val="00C303EC"/>
    <w:rsid w:val="00C3066C"/>
    <w:rsid w:val="00C30947"/>
    <w:rsid w:val="00C30AF7"/>
    <w:rsid w:val="00C30BDA"/>
    <w:rsid w:val="00C30F1E"/>
    <w:rsid w:val="00C30F45"/>
    <w:rsid w:val="00C314A6"/>
    <w:rsid w:val="00C31C1D"/>
    <w:rsid w:val="00C31FB9"/>
    <w:rsid w:val="00C320CF"/>
    <w:rsid w:val="00C32440"/>
    <w:rsid w:val="00C32797"/>
    <w:rsid w:val="00C3294F"/>
    <w:rsid w:val="00C32C93"/>
    <w:rsid w:val="00C3336C"/>
    <w:rsid w:val="00C337D7"/>
    <w:rsid w:val="00C339A2"/>
    <w:rsid w:val="00C33FA2"/>
    <w:rsid w:val="00C343EF"/>
    <w:rsid w:val="00C346E6"/>
    <w:rsid w:val="00C34A47"/>
    <w:rsid w:val="00C34AA8"/>
    <w:rsid w:val="00C34BB8"/>
    <w:rsid w:val="00C34EE5"/>
    <w:rsid w:val="00C34FE4"/>
    <w:rsid w:val="00C3515F"/>
    <w:rsid w:val="00C352DB"/>
    <w:rsid w:val="00C3538B"/>
    <w:rsid w:val="00C353EF"/>
    <w:rsid w:val="00C35562"/>
    <w:rsid w:val="00C358A6"/>
    <w:rsid w:val="00C35E67"/>
    <w:rsid w:val="00C3624C"/>
    <w:rsid w:val="00C36483"/>
    <w:rsid w:val="00C365F8"/>
    <w:rsid w:val="00C3709B"/>
    <w:rsid w:val="00C37274"/>
    <w:rsid w:val="00C37747"/>
    <w:rsid w:val="00C37810"/>
    <w:rsid w:val="00C37BE4"/>
    <w:rsid w:val="00C37E45"/>
    <w:rsid w:val="00C37E95"/>
    <w:rsid w:val="00C4038F"/>
    <w:rsid w:val="00C4071F"/>
    <w:rsid w:val="00C40AF8"/>
    <w:rsid w:val="00C40BD6"/>
    <w:rsid w:val="00C40EE7"/>
    <w:rsid w:val="00C4129C"/>
    <w:rsid w:val="00C416B6"/>
    <w:rsid w:val="00C41811"/>
    <w:rsid w:val="00C419B8"/>
    <w:rsid w:val="00C41E5D"/>
    <w:rsid w:val="00C41EF9"/>
    <w:rsid w:val="00C42430"/>
    <w:rsid w:val="00C425CD"/>
    <w:rsid w:val="00C42934"/>
    <w:rsid w:val="00C42B45"/>
    <w:rsid w:val="00C4342B"/>
    <w:rsid w:val="00C436D5"/>
    <w:rsid w:val="00C43852"/>
    <w:rsid w:val="00C43A34"/>
    <w:rsid w:val="00C43E61"/>
    <w:rsid w:val="00C43FB5"/>
    <w:rsid w:val="00C441CA"/>
    <w:rsid w:val="00C44301"/>
    <w:rsid w:val="00C4481E"/>
    <w:rsid w:val="00C4485C"/>
    <w:rsid w:val="00C44A1B"/>
    <w:rsid w:val="00C44BEA"/>
    <w:rsid w:val="00C44EE1"/>
    <w:rsid w:val="00C44EFC"/>
    <w:rsid w:val="00C4507E"/>
    <w:rsid w:val="00C453D1"/>
    <w:rsid w:val="00C4592E"/>
    <w:rsid w:val="00C4596B"/>
    <w:rsid w:val="00C45A90"/>
    <w:rsid w:val="00C45A96"/>
    <w:rsid w:val="00C45B5E"/>
    <w:rsid w:val="00C45B9D"/>
    <w:rsid w:val="00C45BDC"/>
    <w:rsid w:val="00C45CD4"/>
    <w:rsid w:val="00C45CFE"/>
    <w:rsid w:val="00C46095"/>
    <w:rsid w:val="00C46347"/>
    <w:rsid w:val="00C467A4"/>
    <w:rsid w:val="00C4681F"/>
    <w:rsid w:val="00C4695C"/>
    <w:rsid w:val="00C46CAB"/>
    <w:rsid w:val="00C46D36"/>
    <w:rsid w:val="00C47469"/>
    <w:rsid w:val="00C47A4B"/>
    <w:rsid w:val="00C47E3D"/>
    <w:rsid w:val="00C47E63"/>
    <w:rsid w:val="00C47F83"/>
    <w:rsid w:val="00C50029"/>
    <w:rsid w:val="00C501D0"/>
    <w:rsid w:val="00C50454"/>
    <w:rsid w:val="00C50713"/>
    <w:rsid w:val="00C511A6"/>
    <w:rsid w:val="00C51279"/>
    <w:rsid w:val="00C512E7"/>
    <w:rsid w:val="00C51460"/>
    <w:rsid w:val="00C51463"/>
    <w:rsid w:val="00C514F3"/>
    <w:rsid w:val="00C5157E"/>
    <w:rsid w:val="00C51587"/>
    <w:rsid w:val="00C51B13"/>
    <w:rsid w:val="00C51BD3"/>
    <w:rsid w:val="00C51EC5"/>
    <w:rsid w:val="00C51F8F"/>
    <w:rsid w:val="00C5257A"/>
    <w:rsid w:val="00C5296A"/>
    <w:rsid w:val="00C52C64"/>
    <w:rsid w:val="00C53236"/>
    <w:rsid w:val="00C532D2"/>
    <w:rsid w:val="00C53427"/>
    <w:rsid w:val="00C534E8"/>
    <w:rsid w:val="00C53803"/>
    <w:rsid w:val="00C53F89"/>
    <w:rsid w:val="00C5448B"/>
    <w:rsid w:val="00C54733"/>
    <w:rsid w:val="00C54A88"/>
    <w:rsid w:val="00C54C3B"/>
    <w:rsid w:val="00C54DF2"/>
    <w:rsid w:val="00C54FAB"/>
    <w:rsid w:val="00C55602"/>
    <w:rsid w:val="00C55A5D"/>
    <w:rsid w:val="00C55DAA"/>
    <w:rsid w:val="00C55EE4"/>
    <w:rsid w:val="00C56029"/>
    <w:rsid w:val="00C56180"/>
    <w:rsid w:val="00C56675"/>
    <w:rsid w:val="00C56B0C"/>
    <w:rsid w:val="00C56E16"/>
    <w:rsid w:val="00C57104"/>
    <w:rsid w:val="00C57A0A"/>
    <w:rsid w:val="00C57F64"/>
    <w:rsid w:val="00C604BE"/>
    <w:rsid w:val="00C60578"/>
    <w:rsid w:val="00C60667"/>
    <w:rsid w:val="00C60680"/>
    <w:rsid w:val="00C609D1"/>
    <w:rsid w:val="00C60A47"/>
    <w:rsid w:val="00C60BC8"/>
    <w:rsid w:val="00C60D1D"/>
    <w:rsid w:val="00C60EE0"/>
    <w:rsid w:val="00C6184F"/>
    <w:rsid w:val="00C6188E"/>
    <w:rsid w:val="00C61B18"/>
    <w:rsid w:val="00C61BA9"/>
    <w:rsid w:val="00C61BE1"/>
    <w:rsid w:val="00C61C10"/>
    <w:rsid w:val="00C61CDB"/>
    <w:rsid w:val="00C61D3A"/>
    <w:rsid w:val="00C61FD3"/>
    <w:rsid w:val="00C62108"/>
    <w:rsid w:val="00C62B13"/>
    <w:rsid w:val="00C62D4D"/>
    <w:rsid w:val="00C630AB"/>
    <w:rsid w:val="00C630D0"/>
    <w:rsid w:val="00C63145"/>
    <w:rsid w:val="00C635CA"/>
    <w:rsid w:val="00C638D1"/>
    <w:rsid w:val="00C63A0E"/>
    <w:rsid w:val="00C63B6B"/>
    <w:rsid w:val="00C63DB8"/>
    <w:rsid w:val="00C6425D"/>
    <w:rsid w:val="00C644A2"/>
    <w:rsid w:val="00C644D9"/>
    <w:rsid w:val="00C64536"/>
    <w:rsid w:val="00C6462C"/>
    <w:rsid w:val="00C6470B"/>
    <w:rsid w:val="00C64A3A"/>
    <w:rsid w:val="00C64CF8"/>
    <w:rsid w:val="00C655D3"/>
    <w:rsid w:val="00C65B84"/>
    <w:rsid w:val="00C65F47"/>
    <w:rsid w:val="00C65FFD"/>
    <w:rsid w:val="00C6625A"/>
    <w:rsid w:val="00C663D3"/>
    <w:rsid w:val="00C66713"/>
    <w:rsid w:val="00C66790"/>
    <w:rsid w:val="00C66913"/>
    <w:rsid w:val="00C66B2B"/>
    <w:rsid w:val="00C66B97"/>
    <w:rsid w:val="00C66DB4"/>
    <w:rsid w:val="00C66DC3"/>
    <w:rsid w:val="00C66F8B"/>
    <w:rsid w:val="00C670CE"/>
    <w:rsid w:val="00C6723C"/>
    <w:rsid w:val="00C676ED"/>
    <w:rsid w:val="00C67AC4"/>
    <w:rsid w:val="00C67B62"/>
    <w:rsid w:val="00C67C86"/>
    <w:rsid w:val="00C67CA4"/>
    <w:rsid w:val="00C67D68"/>
    <w:rsid w:val="00C67DFC"/>
    <w:rsid w:val="00C67ECB"/>
    <w:rsid w:val="00C67F07"/>
    <w:rsid w:val="00C700EC"/>
    <w:rsid w:val="00C7011B"/>
    <w:rsid w:val="00C7030F"/>
    <w:rsid w:val="00C70314"/>
    <w:rsid w:val="00C7039F"/>
    <w:rsid w:val="00C70995"/>
    <w:rsid w:val="00C70DDB"/>
    <w:rsid w:val="00C70E11"/>
    <w:rsid w:val="00C7224C"/>
    <w:rsid w:val="00C727BB"/>
    <w:rsid w:val="00C7289F"/>
    <w:rsid w:val="00C729E4"/>
    <w:rsid w:val="00C72C0F"/>
    <w:rsid w:val="00C72C66"/>
    <w:rsid w:val="00C72D0C"/>
    <w:rsid w:val="00C72D63"/>
    <w:rsid w:val="00C72DFD"/>
    <w:rsid w:val="00C730ED"/>
    <w:rsid w:val="00C732DA"/>
    <w:rsid w:val="00C7385F"/>
    <w:rsid w:val="00C73D1A"/>
    <w:rsid w:val="00C73E0F"/>
    <w:rsid w:val="00C73F84"/>
    <w:rsid w:val="00C7402A"/>
    <w:rsid w:val="00C7426A"/>
    <w:rsid w:val="00C7433A"/>
    <w:rsid w:val="00C7433E"/>
    <w:rsid w:val="00C743BD"/>
    <w:rsid w:val="00C744BE"/>
    <w:rsid w:val="00C7452E"/>
    <w:rsid w:val="00C7474C"/>
    <w:rsid w:val="00C7481C"/>
    <w:rsid w:val="00C74A31"/>
    <w:rsid w:val="00C74AF9"/>
    <w:rsid w:val="00C74FCE"/>
    <w:rsid w:val="00C75107"/>
    <w:rsid w:val="00C752ED"/>
    <w:rsid w:val="00C7584F"/>
    <w:rsid w:val="00C75FA0"/>
    <w:rsid w:val="00C75FFA"/>
    <w:rsid w:val="00C764E4"/>
    <w:rsid w:val="00C765A9"/>
    <w:rsid w:val="00C7664E"/>
    <w:rsid w:val="00C7685E"/>
    <w:rsid w:val="00C76A8C"/>
    <w:rsid w:val="00C76DB9"/>
    <w:rsid w:val="00C76FDC"/>
    <w:rsid w:val="00C7720E"/>
    <w:rsid w:val="00C774B3"/>
    <w:rsid w:val="00C77788"/>
    <w:rsid w:val="00C779EE"/>
    <w:rsid w:val="00C80524"/>
    <w:rsid w:val="00C806B0"/>
    <w:rsid w:val="00C80B6E"/>
    <w:rsid w:val="00C80BD7"/>
    <w:rsid w:val="00C80D4C"/>
    <w:rsid w:val="00C80F49"/>
    <w:rsid w:val="00C80F53"/>
    <w:rsid w:val="00C8110D"/>
    <w:rsid w:val="00C81222"/>
    <w:rsid w:val="00C8127E"/>
    <w:rsid w:val="00C8135E"/>
    <w:rsid w:val="00C81762"/>
    <w:rsid w:val="00C81BE9"/>
    <w:rsid w:val="00C81D57"/>
    <w:rsid w:val="00C81EEF"/>
    <w:rsid w:val="00C82554"/>
    <w:rsid w:val="00C82569"/>
    <w:rsid w:val="00C826AA"/>
    <w:rsid w:val="00C828A3"/>
    <w:rsid w:val="00C82986"/>
    <w:rsid w:val="00C82A22"/>
    <w:rsid w:val="00C82C48"/>
    <w:rsid w:val="00C8312F"/>
    <w:rsid w:val="00C8329E"/>
    <w:rsid w:val="00C8347E"/>
    <w:rsid w:val="00C83802"/>
    <w:rsid w:val="00C83815"/>
    <w:rsid w:val="00C84162"/>
    <w:rsid w:val="00C842E8"/>
    <w:rsid w:val="00C84690"/>
    <w:rsid w:val="00C84A0A"/>
    <w:rsid w:val="00C84CA0"/>
    <w:rsid w:val="00C84FE4"/>
    <w:rsid w:val="00C85204"/>
    <w:rsid w:val="00C853E4"/>
    <w:rsid w:val="00C85648"/>
    <w:rsid w:val="00C8577F"/>
    <w:rsid w:val="00C85E91"/>
    <w:rsid w:val="00C85F42"/>
    <w:rsid w:val="00C86027"/>
    <w:rsid w:val="00C86045"/>
    <w:rsid w:val="00C862CD"/>
    <w:rsid w:val="00C863FE"/>
    <w:rsid w:val="00C8663E"/>
    <w:rsid w:val="00C86A75"/>
    <w:rsid w:val="00C86C70"/>
    <w:rsid w:val="00C86D44"/>
    <w:rsid w:val="00C86FFA"/>
    <w:rsid w:val="00C875ED"/>
    <w:rsid w:val="00C878EF"/>
    <w:rsid w:val="00C87A09"/>
    <w:rsid w:val="00C87A99"/>
    <w:rsid w:val="00C87E2A"/>
    <w:rsid w:val="00C9012F"/>
    <w:rsid w:val="00C90167"/>
    <w:rsid w:val="00C901B0"/>
    <w:rsid w:val="00C90457"/>
    <w:rsid w:val="00C90976"/>
    <w:rsid w:val="00C90C26"/>
    <w:rsid w:val="00C9123E"/>
    <w:rsid w:val="00C912A0"/>
    <w:rsid w:val="00C9163B"/>
    <w:rsid w:val="00C916F4"/>
    <w:rsid w:val="00C91790"/>
    <w:rsid w:val="00C917A0"/>
    <w:rsid w:val="00C91918"/>
    <w:rsid w:val="00C91AA1"/>
    <w:rsid w:val="00C91C26"/>
    <w:rsid w:val="00C91D89"/>
    <w:rsid w:val="00C9202B"/>
    <w:rsid w:val="00C9213D"/>
    <w:rsid w:val="00C922EB"/>
    <w:rsid w:val="00C92325"/>
    <w:rsid w:val="00C924D4"/>
    <w:rsid w:val="00C92837"/>
    <w:rsid w:val="00C92842"/>
    <w:rsid w:val="00C92CCC"/>
    <w:rsid w:val="00C931FA"/>
    <w:rsid w:val="00C936E2"/>
    <w:rsid w:val="00C93B04"/>
    <w:rsid w:val="00C93BD2"/>
    <w:rsid w:val="00C93C06"/>
    <w:rsid w:val="00C93E64"/>
    <w:rsid w:val="00C93EF8"/>
    <w:rsid w:val="00C9401A"/>
    <w:rsid w:val="00C94241"/>
    <w:rsid w:val="00C942F7"/>
    <w:rsid w:val="00C9431E"/>
    <w:rsid w:val="00C9437E"/>
    <w:rsid w:val="00C94438"/>
    <w:rsid w:val="00C945E7"/>
    <w:rsid w:val="00C94606"/>
    <w:rsid w:val="00C9475D"/>
    <w:rsid w:val="00C94BDE"/>
    <w:rsid w:val="00C9500B"/>
    <w:rsid w:val="00C9503F"/>
    <w:rsid w:val="00C95104"/>
    <w:rsid w:val="00C951DF"/>
    <w:rsid w:val="00C951F3"/>
    <w:rsid w:val="00C952DA"/>
    <w:rsid w:val="00C95441"/>
    <w:rsid w:val="00C955BA"/>
    <w:rsid w:val="00C955C7"/>
    <w:rsid w:val="00C9560E"/>
    <w:rsid w:val="00C95704"/>
    <w:rsid w:val="00C95B83"/>
    <w:rsid w:val="00C95E19"/>
    <w:rsid w:val="00C960F6"/>
    <w:rsid w:val="00C9653E"/>
    <w:rsid w:val="00C96937"/>
    <w:rsid w:val="00C96C69"/>
    <w:rsid w:val="00C96D63"/>
    <w:rsid w:val="00C96E20"/>
    <w:rsid w:val="00C972AB"/>
    <w:rsid w:val="00C976C1"/>
    <w:rsid w:val="00C9797F"/>
    <w:rsid w:val="00C97B5D"/>
    <w:rsid w:val="00C97F2E"/>
    <w:rsid w:val="00CA027C"/>
    <w:rsid w:val="00CA0316"/>
    <w:rsid w:val="00CA0A69"/>
    <w:rsid w:val="00CA0CF6"/>
    <w:rsid w:val="00CA1003"/>
    <w:rsid w:val="00CA1151"/>
    <w:rsid w:val="00CA11BE"/>
    <w:rsid w:val="00CA12A7"/>
    <w:rsid w:val="00CA13E0"/>
    <w:rsid w:val="00CA16AC"/>
    <w:rsid w:val="00CA1719"/>
    <w:rsid w:val="00CA181A"/>
    <w:rsid w:val="00CA198E"/>
    <w:rsid w:val="00CA1C93"/>
    <w:rsid w:val="00CA1E88"/>
    <w:rsid w:val="00CA1F49"/>
    <w:rsid w:val="00CA229F"/>
    <w:rsid w:val="00CA288E"/>
    <w:rsid w:val="00CA2981"/>
    <w:rsid w:val="00CA2B76"/>
    <w:rsid w:val="00CA300E"/>
    <w:rsid w:val="00CA32CE"/>
    <w:rsid w:val="00CA347A"/>
    <w:rsid w:val="00CA3486"/>
    <w:rsid w:val="00CA388B"/>
    <w:rsid w:val="00CA3914"/>
    <w:rsid w:val="00CA39DE"/>
    <w:rsid w:val="00CA3B94"/>
    <w:rsid w:val="00CA3C84"/>
    <w:rsid w:val="00CA3C92"/>
    <w:rsid w:val="00CA40CB"/>
    <w:rsid w:val="00CA4100"/>
    <w:rsid w:val="00CA419F"/>
    <w:rsid w:val="00CA4235"/>
    <w:rsid w:val="00CA441A"/>
    <w:rsid w:val="00CA4920"/>
    <w:rsid w:val="00CA4D53"/>
    <w:rsid w:val="00CA4E3D"/>
    <w:rsid w:val="00CA4EF6"/>
    <w:rsid w:val="00CA4F54"/>
    <w:rsid w:val="00CA509B"/>
    <w:rsid w:val="00CA51F1"/>
    <w:rsid w:val="00CA521E"/>
    <w:rsid w:val="00CA5345"/>
    <w:rsid w:val="00CA53AE"/>
    <w:rsid w:val="00CA574B"/>
    <w:rsid w:val="00CA5973"/>
    <w:rsid w:val="00CA5A2F"/>
    <w:rsid w:val="00CA5BA7"/>
    <w:rsid w:val="00CA5D45"/>
    <w:rsid w:val="00CA5E50"/>
    <w:rsid w:val="00CA60AE"/>
    <w:rsid w:val="00CA62D6"/>
    <w:rsid w:val="00CA6323"/>
    <w:rsid w:val="00CA652C"/>
    <w:rsid w:val="00CA68AA"/>
    <w:rsid w:val="00CA694F"/>
    <w:rsid w:val="00CA6B60"/>
    <w:rsid w:val="00CA715B"/>
    <w:rsid w:val="00CA71AB"/>
    <w:rsid w:val="00CA7A54"/>
    <w:rsid w:val="00CA7E43"/>
    <w:rsid w:val="00CB03A8"/>
    <w:rsid w:val="00CB05BC"/>
    <w:rsid w:val="00CB061C"/>
    <w:rsid w:val="00CB06D3"/>
    <w:rsid w:val="00CB0C0B"/>
    <w:rsid w:val="00CB1020"/>
    <w:rsid w:val="00CB1577"/>
    <w:rsid w:val="00CB1635"/>
    <w:rsid w:val="00CB1682"/>
    <w:rsid w:val="00CB16A2"/>
    <w:rsid w:val="00CB17E0"/>
    <w:rsid w:val="00CB188F"/>
    <w:rsid w:val="00CB1C7E"/>
    <w:rsid w:val="00CB2148"/>
    <w:rsid w:val="00CB21BF"/>
    <w:rsid w:val="00CB24CE"/>
    <w:rsid w:val="00CB2561"/>
    <w:rsid w:val="00CB25A4"/>
    <w:rsid w:val="00CB26BB"/>
    <w:rsid w:val="00CB27DD"/>
    <w:rsid w:val="00CB27E3"/>
    <w:rsid w:val="00CB2804"/>
    <w:rsid w:val="00CB28FC"/>
    <w:rsid w:val="00CB290B"/>
    <w:rsid w:val="00CB2C34"/>
    <w:rsid w:val="00CB2D07"/>
    <w:rsid w:val="00CB2D0B"/>
    <w:rsid w:val="00CB2DA5"/>
    <w:rsid w:val="00CB2F27"/>
    <w:rsid w:val="00CB338A"/>
    <w:rsid w:val="00CB33F2"/>
    <w:rsid w:val="00CB3838"/>
    <w:rsid w:val="00CB3929"/>
    <w:rsid w:val="00CB3A54"/>
    <w:rsid w:val="00CB3CB9"/>
    <w:rsid w:val="00CB428D"/>
    <w:rsid w:val="00CB469C"/>
    <w:rsid w:val="00CB4C1D"/>
    <w:rsid w:val="00CB4FF5"/>
    <w:rsid w:val="00CB50A1"/>
    <w:rsid w:val="00CB5214"/>
    <w:rsid w:val="00CB55F7"/>
    <w:rsid w:val="00CB59FF"/>
    <w:rsid w:val="00CB5A8A"/>
    <w:rsid w:val="00CB5AA4"/>
    <w:rsid w:val="00CB5F13"/>
    <w:rsid w:val="00CB5F1F"/>
    <w:rsid w:val="00CB60CF"/>
    <w:rsid w:val="00CB6124"/>
    <w:rsid w:val="00CB614E"/>
    <w:rsid w:val="00CB6236"/>
    <w:rsid w:val="00CB6732"/>
    <w:rsid w:val="00CB694C"/>
    <w:rsid w:val="00CB6DA1"/>
    <w:rsid w:val="00CB6DEE"/>
    <w:rsid w:val="00CB73D8"/>
    <w:rsid w:val="00CB74C5"/>
    <w:rsid w:val="00CB7765"/>
    <w:rsid w:val="00CB78EB"/>
    <w:rsid w:val="00CB792C"/>
    <w:rsid w:val="00CB798E"/>
    <w:rsid w:val="00CB7A44"/>
    <w:rsid w:val="00CB7B7A"/>
    <w:rsid w:val="00CB7BEB"/>
    <w:rsid w:val="00CB7D3A"/>
    <w:rsid w:val="00CB7EB1"/>
    <w:rsid w:val="00CB7F8B"/>
    <w:rsid w:val="00CB7FC9"/>
    <w:rsid w:val="00CC01D3"/>
    <w:rsid w:val="00CC0873"/>
    <w:rsid w:val="00CC09C9"/>
    <w:rsid w:val="00CC0A24"/>
    <w:rsid w:val="00CC0A62"/>
    <w:rsid w:val="00CC0AFA"/>
    <w:rsid w:val="00CC0E28"/>
    <w:rsid w:val="00CC1172"/>
    <w:rsid w:val="00CC11AB"/>
    <w:rsid w:val="00CC1223"/>
    <w:rsid w:val="00CC1458"/>
    <w:rsid w:val="00CC19D4"/>
    <w:rsid w:val="00CC1AA8"/>
    <w:rsid w:val="00CC2491"/>
    <w:rsid w:val="00CC255D"/>
    <w:rsid w:val="00CC29A2"/>
    <w:rsid w:val="00CC29CB"/>
    <w:rsid w:val="00CC30B2"/>
    <w:rsid w:val="00CC31BC"/>
    <w:rsid w:val="00CC321E"/>
    <w:rsid w:val="00CC350C"/>
    <w:rsid w:val="00CC360D"/>
    <w:rsid w:val="00CC36A4"/>
    <w:rsid w:val="00CC38F3"/>
    <w:rsid w:val="00CC3ED5"/>
    <w:rsid w:val="00CC3FA0"/>
    <w:rsid w:val="00CC4064"/>
    <w:rsid w:val="00CC41D3"/>
    <w:rsid w:val="00CC4341"/>
    <w:rsid w:val="00CC465F"/>
    <w:rsid w:val="00CC46ED"/>
    <w:rsid w:val="00CC496F"/>
    <w:rsid w:val="00CC4F2E"/>
    <w:rsid w:val="00CC534D"/>
    <w:rsid w:val="00CC54D9"/>
    <w:rsid w:val="00CC568C"/>
    <w:rsid w:val="00CC56C0"/>
    <w:rsid w:val="00CC579D"/>
    <w:rsid w:val="00CC5A13"/>
    <w:rsid w:val="00CC5E7F"/>
    <w:rsid w:val="00CC5E93"/>
    <w:rsid w:val="00CC5FEB"/>
    <w:rsid w:val="00CC6064"/>
    <w:rsid w:val="00CC6146"/>
    <w:rsid w:val="00CC6209"/>
    <w:rsid w:val="00CC63EA"/>
    <w:rsid w:val="00CC679C"/>
    <w:rsid w:val="00CC6A7B"/>
    <w:rsid w:val="00CC6F19"/>
    <w:rsid w:val="00CC71A3"/>
    <w:rsid w:val="00CC7367"/>
    <w:rsid w:val="00CC7A7C"/>
    <w:rsid w:val="00CC7E88"/>
    <w:rsid w:val="00CC7F3A"/>
    <w:rsid w:val="00CC7FBF"/>
    <w:rsid w:val="00CD00B4"/>
    <w:rsid w:val="00CD0125"/>
    <w:rsid w:val="00CD014C"/>
    <w:rsid w:val="00CD01A2"/>
    <w:rsid w:val="00CD061C"/>
    <w:rsid w:val="00CD061F"/>
    <w:rsid w:val="00CD0966"/>
    <w:rsid w:val="00CD0D74"/>
    <w:rsid w:val="00CD0EF8"/>
    <w:rsid w:val="00CD114A"/>
    <w:rsid w:val="00CD11AC"/>
    <w:rsid w:val="00CD1AFB"/>
    <w:rsid w:val="00CD1CF3"/>
    <w:rsid w:val="00CD1D10"/>
    <w:rsid w:val="00CD1DA4"/>
    <w:rsid w:val="00CD211A"/>
    <w:rsid w:val="00CD26A4"/>
    <w:rsid w:val="00CD2798"/>
    <w:rsid w:val="00CD27C8"/>
    <w:rsid w:val="00CD299E"/>
    <w:rsid w:val="00CD2AB9"/>
    <w:rsid w:val="00CD2B80"/>
    <w:rsid w:val="00CD2C36"/>
    <w:rsid w:val="00CD2DE9"/>
    <w:rsid w:val="00CD3275"/>
    <w:rsid w:val="00CD33DD"/>
    <w:rsid w:val="00CD36B6"/>
    <w:rsid w:val="00CD3722"/>
    <w:rsid w:val="00CD377C"/>
    <w:rsid w:val="00CD3796"/>
    <w:rsid w:val="00CD3943"/>
    <w:rsid w:val="00CD3E56"/>
    <w:rsid w:val="00CD4296"/>
    <w:rsid w:val="00CD42AA"/>
    <w:rsid w:val="00CD430D"/>
    <w:rsid w:val="00CD432A"/>
    <w:rsid w:val="00CD444A"/>
    <w:rsid w:val="00CD4603"/>
    <w:rsid w:val="00CD474F"/>
    <w:rsid w:val="00CD49E9"/>
    <w:rsid w:val="00CD4CBE"/>
    <w:rsid w:val="00CD4D9D"/>
    <w:rsid w:val="00CD4E0E"/>
    <w:rsid w:val="00CD4E72"/>
    <w:rsid w:val="00CD4EA2"/>
    <w:rsid w:val="00CD4ED1"/>
    <w:rsid w:val="00CD4ED2"/>
    <w:rsid w:val="00CD4F5B"/>
    <w:rsid w:val="00CD4F8E"/>
    <w:rsid w:val="00CD510E"/>
    <w:rsid w:val="00CD565B"/>
    <w:rsid w:val="00CD57F7"/>
    <w:rsid w:val="00CD5981"/>
    <w:rsid w:val="00CD5C6A"/>
    <w:rsid w:val="00CD5E4D"/>
    <w:rsid w:val="00CD60F3"/>
    <w:rsid w:val="00CD6222"/>
    <w:rsid w:val="00CD639E"/>
    <w:rsid w:val="00CD63C7"/>
    <w:rsid w:val="00CD6780"/>
    <w:rsid w:val="00CD67D4"/>
    <w:rsid w:val="00CD67E9"/>
    <w:rsid w:val="00CD69BC"/>
    <w:rsid w:val="00CD69C1"/>
    <w:rsid w:val="00CD6BED"/>
    <w:rsid w:val="00CD6DDA"/>
    <w:rsid w:val="00CD7546"/>
    <w:rsid w:val="00CD7D60"/>
    <w:rsid w:val="00CD7E31"/>
    <w:rsid w:val="00CE0178"/>
    <w:rsid w:val="00CE072A"/>
    <w:rsid w:val="00CE0906"/>
    <w:rsid w:val="00CE0B75"/>
    <w:rsid w:val="00CE0ED0"/>
    <w:rsid w:val="00CE0F4C"/>
    <w:rsid w:val="00CE167E"/>
    <w:rsid w:val="00CE17EE"/>
    <w:rsid w:val="00CE1CA4"/>
    <w:rsid w:val="00CE1CC5"/>
    <w:rsid w:val="00CE1FE3"/>
    <w:rsid w:val="00CE226D"/>
    <w:rsid w:val="00CE26C5"/>
    <w:rsid w:val="00CE2AAB"/>
    <w:rsid w:val="00CE2D42"/>
    <w:rsid w:val="00CE2EE6"/>
    <w:rsid w:val="00CE3097"/>
    <w:rsid w:val="00CE3BF5"/>
    <w:rsid w:val="00CE3C71"/>
    <w:rsid w:val="00CE3E2E"/>
    <w:rsid w:val="00CE3E73"/>
    <w:rsid w:val="00CE40DE"/>
    <w:rsid w:val="00CE4144"/>
    <w:rsid w:val="00CE4716"/>
    <w:rsid w:val="00CE4DE8"/>
    <w:rsid w:val="00CE5067"/>
    <w:rsid w:val="00CE509B"/>
    <w:rsid w:val="00CE527C"/>
    <w:rsid w:val="00CE539A"/>
    <w:rsid w:val="00CE5C76"/>
    <w:rsid w:val="00CE6774"/>
    <w:rsid w:val="00CE6C37"/>
    <w:rsid w:val="00CE6F5F"/>
    <w:rsid w:val="00CE6FE2"/>
    <w:rsid w:val="00CE769A"/>
    <w:rsid w:val="00CE785B"/>
    <w:rsid w:val="00CE79B1"/>
    <w:rsid w:val="00CE79E6"/>
    <w:rsid w:val="00CE7A16"/>
    <w:rsid w:val="00CE7B3B"/>
    <w:rsid w:val="00CE7C2A"/>
    <w:rsid w:val="00CE7CD3"/>
    <w:rsid w:val="00CE7E6F"/>
    <w:rsid w:val="00CF02F9"/>
    <w:rsid w:val="00CF0489"/>
    <w:rsid w:val="00CF097F"/>
    <w:rsid w:val="00CF0D90"/>
    <w:rsid w:val="00CF0F27"/>
    <w:rsid w:val="00CF1064"/>
    <w:rsid w:val="00CF1075"/>
    <w:rsid w:val="00CF1083"/>
    <w:rsid w:val="00CF11F5"/>
    <w:rsid w:val="00CF126C"/>
    <w:rsid w:val="00CF12A8"/>
    <w:rsid w:val="00CF1834"/>
    <w:rsid w:val="00CF18B2"/>
    <w:rsid w:val="00CF1AFA"/>
    <w:rsid w:val="00CF1C3A"/>
    <w:rsid w:val="00CF1D26"/>
    <w:rsid w:val="00CF1F5A"/>
    <w:rsid w:val="00CF1FFA"/>
    <w:rsid w:val="00CF2265"/>
    <w:rsid w:val="00CF2487"/>
    <w:rsid w:val="00CF24D4"/>
    <w:rsid w:val="00CF2598"/>
    <w:rsid w:val="00CF2897"/>
    <w:rsid w:val="00CF2C99"/>
    <w:rsid w:val="00CF2E14"/>
    <w:rsid w:val="00CF2F8C"/>
    <w:rsid w:val="00CF32E1"/>
    <w:rsid w:val="00CF34B5"/>
    <w:rsid w:val="00CF355F"/>
    <w:rsid w:val="00CF36F1"/>
    <w:rsid w:val="00CF386A"/>
    <w:rsid w:val="00CF3D74"/>
    <w:rsid w:val="00CF3DD4"/>
    <w:rsid w:val="00CF41F1"/>
    <w:rsid w:val="00CF43D2"/>
    <w:rsid w:val="00CF44D2"/>
    <w:rsid w:val="00CF471E"/>
    <w:rsid w:val="00CF4746"/>
    <w:rsid w:val="00CF4D6F"/>
    <w:rsid w:val="00CF4FAF"/>
    <w:rsid w:val="00CF5193"/>
    <w:rsid w:val="00CF5291"/>
    <w:rsid w:val="00CF557B"/>
    <w:rsid w:val="00CF5751"/>
    <w:rsid w:val="00CF57E5"/>
    <w:rsid w:val="00CF5847"/>
    <w:rsid w:val="00CF5A60"/>
    <w:rsid w:val="00CF61AB"/>
    <w:rsid w:val="00CF6343"/>
    <w:rsid w:val="00CF649C"/>
    <w:rsid w:val="00CF668B"/>
    <w:rsid w:val="00CF6822"/>
    <w:rsid w:val="00CF6935"/>
    <w:rsid w:val="00CF697D"/>
    <w:rsid w:val="00CF69A3"/>
    <w:rsid w:val="00CF6BC3"/>
    <w:rsid w:val="00CF6C16"/>
    <w:rsid w:val="00CF6E33"/>
    <w:rsid w:val="00CF6F0E"/>
    <w:rsid w:val="00CF70E1"/>
    <w:rsid w:val="00CF719D"/>
    <w:rsid w:val="00CF738C"/>
    <w:rsid w:val="00CF7431"/>
    <w:rsid w:val="00CF780C"/>
    <w:rsid w:val="00CF7CA2"/>
    <w:rsid w:val="00CF7D63"/>
    <w:rsid w:val="00CF7EC9"/>
    <w:rsid w:val="00D003F4"/>
    <w:rsid w:val="00D00513"/>
    <w:rsid w:val="00D0060D"/>
    <w:rsid w:val="00D007C4"/>
    <w:rsid w:val="00D0089C"/>
    <w:rsid w:val="00D00AD8"/>
    <w:rsid w:val="00D01029"/>
    <w:rsid w:val="00D012B9"/>
    <w:rsid w:val="00D01473"/>
    <w:rsid w:val="00D01680"/>
    <w:rsid w:val="00D019EB"/>
    <w:rsid w:val="00D019F4"/>
    <w:rsid w:val="00D01CA8"/>
    <w:rsid w:val="00D01CF2"/>
    <w:rsid w:val="00D01EBF"/>
    <w:rsid w:val="00D02508"/>
    <w:rsid w:val="00D0251D"/>
    <w:rsid w:val="00D02628"/>
    <w:rsid w:val="00D0290B"/>
    <w:rsid w:val="00D02A2C"/>
    <w:rsid w:val="00D02C57"/>
    <w:rsid w:val="00D02E0F"/>
    <w:rsid w:val="00D02F12"/>
    <w:rsid w:val="00D03012"/>
    <w:rsid w:val="00D03017"/>
    <w:rsid w:val="00D03112"/>
    <w:rsid w:val="00D0312B"/>
    <w:rsid w:val="00D0328B"/>
    <w:rsid w:val="00D03C06"/>
    <w:rsid w:val="00D03F92"/>
    <w:rsid w:val="00D04077"/>
    <w:rsid w:val="00D041CA"/>
    <w:rsid w:val="00D043BE"/>
    <w:rsid w:val="00D04449"/>
    <w:rsid w:val="00D04BA7"/>
    <w:rsid w:val="00D04BBB"/>
    <w:rsid w:val="00D05058"/>
    <w:rsid w:val="00D051E7"/>
    <w:rsid w:val="00D054DA"/>
    <w:rsid w:val="00D05561"/>
    <w:rsid w:val="00D05990"/>
    <w:rsid w:val="00D059C8"/>
    <w:rsid w:val="00D05C61"/>
    <w:rsid w:val="00D05CBC"/>
    <w:rsid w:val="00D05D57"/>
    <w:rsid w:val="00D05F54"/>
    <w:rsid w:val="00D06173"/>
    <w:rsid w:val="00D061B5"/>
    <w:rsid w:val="00D062DE"/>
    <w:rsid w:val="00D065E7"/>
    <w:rsid w:val="00D0671F"/>
    <w:rsid w:val="00D06819"/>
    <w:rsid w:val="00D069A6"/>
    <w:rsid w:val="00D069F4"/>
    <w:rsid w:val="00D06A0D"/>
    <w:rsid w:val="00D06BFA"/>
    <w:rsid w:val="00D06D81"/>
    <w:rsid w:val="00D06F46"/>
    <w:rsid w:val="00D06F65"/>
    <w:rsid w:val="00D06FA4"/>
    <w:rsid w:val="00D06FC0"/>
    <w:rsid w:val="00D0707F"/>
    <w:rsid w:val="00D071CB"/>
    <w:rsid w:val="00D0747A"/>
    <w:rsid w:val="00D07637"/>
    <w:rsid w:val="00D076FE"/>
    <w:rsid w:val="00D0795C"/>
    <w:rsid w:val="00D07A50"/>
    <w:rsid w:val="00D07EDD"/>
    <w:rsid w:val="00D07F61"/>
    <w:rsid w:val="00D1014E"/>
    <w:rsid w:val="00D1028D"/>
    <w:rsid w:val="00D10463"/>
    <w:rsid w:val="00D10805"/>
    <w:rsid w:val="00D1084D"/>
    <w:rsid w:val="00D10CA8"/>
    <w:rsid w:val="00D10F0D"/>
    <w:rsid w:val="00D11086"/>
    <w:rsid w:val="00D11BA6"/>
    <w:rsid w:val="00D11EB5"/>
    <w:rsid w:val="00D12149"/>
    <w:rsid w:val="00D121F4"/>
    <w:rsid w:val="00D12426"/>
    <w:rsid w:val="00D12BD2"/>
    <w:rsid w:val="00D12F77"/>
    <w:rsid w:val="00D1305E"/>
    <w:rsid w:val="00D13285"/>
    <w:rsid w:val="00D1393A"/>
    <w:rsid w:val="00D139BC"/>
    <w:rsid w:val="00D13AA0"/>
    <w:rsid w:val="00D13B38"/>
    <w:rsid w:val="00D13B5F"/>
    <w:rsid w:val="00D13CF4"/>
    <w:rsid w:val="00D13E43"/>
    <w:rsid w:val="00D13F25"/>
    <w:rsid w:val="00D1431C"/>
    <w:rsid w:val="00D14461"/>
    <w:rsid w:val="00D14715"/>
    <w:rsid w:val="00D1478C"/>
    <w:rsid w:val="00D14826"/>
    <w:rsid w:val="00D1496F"/>
    <w:rsid w:val="00D14ACE"/>
    <w:rsid w:val="00D14E53"/>
    <w:rsid w:val="00D14F9E"/>
    <w:rsid w:val="00D150A5"/>
    <w:rsid w:val="00D151C1"/>
    <w:rsid w:val="00D1520E"/>
    <w:rsid w:val="00D154B8"/>
    <w:rsid w:val="00D156C8"/>
    <w:rsid w:val="00D1595D"/>
    <w:rsid w:val="00D15E1E"/>
    <w:rsid w:val="00D15E35"/>
    <w:rsid w:val="00D15FBB"/>
    <w:rsid w:val="00D15FBD"/>
    <w:rsid w:val="00D16077"/>
    <w:rsid w:val="00D160D0"/>
    <w:rsid w:val="00D1611D"/>
    <w:rsid w:val="00D163A5"/>
    <w:rsid w:val="00D166AB"/>
    <w:rsid w:val="00D16C83"/>
    <w:rsid w:val="00D16E65"/>
    <w:rsid w:val="00D17176"/>
    <w:rsid w:val="00D17265"/>
    <w:rsid w:val="00D17890"/>
    <w:rsid w:val="00D17977"/>
    <w:rsid w:val="00D17C60"/>
    <w:rsid w:val="00D20028"/>
    <w:rsid w:val="00D201D3"/>
    <w:rsid w:val="00D20285"/>
    <w:rsid w:val="00D2046A"/>
    <w:rsid w:val="00D206D7"/>
    <w:rsid w:val="00D208B4"/>
    <w:rsid w:val="00D20A93"/>
    <w:rsid w:val="00D20D87"/>
    <w:rsid w:val="00D20FD8"/>
    <w:rsid w:val="00D2143E"/>
    <w:rsid w:val="00D21474"/>
    <w:rsid w:val="00D2178E"/>
    <w:rsid w:val="00D21DCE"/>
    <w:rsid w:val="00D21F58"/>
    <w:rsid w:val="00D21F89"/>
    <w:rsid w:val="00D21FFC"/>
    <w:rsid w:val="00D2210E"/>
    <w:rsid w:val="00D2224C"/>
    <w:rsid w:val="00D22391"/>
    <w:rsid w:val="00D2247A"/>
    <w:rsid w:val="00D224E5"/>
    <w:rsid w:val="00D226BB"/>
    <w:rsid w:val="00D22B68"/>
    <w:rsid w:val="00D22C68"/>
    <w:rsid w:val="00D22CAF"/>
    <w:rsid w:val="00D22FF2"/>
    <w:rsid w:val="00D23252"/>
    <w:rsid w:val="00D23595"/>
    <w:rsid w:val="00D235F4"/>
    <w:rsid w:val="00D23671"/>
    <w:rsid w:val="00D23BA5"/>
    <w:rsid w:val="00D24170"/>
    <w:rsid w:val="00D24B2E"/>
    <w:rsid w:val="00D25143"/>
    <w:rsid w:val="00D25233"/>
    <w:rsid w:val="00D253F2"/>
    <w:rsid w:val="00D25627"/>
    <w:rsid w:val="00D261A6"/>
    <w:rsid w:val="00D2645B"/>
    <w:rsid w:val="00D2657F"/>
    <w:rsid w:val="00D26798"/>
    <w:rsid w:val="00D26D47"/>
    <w:rsid w:val="00D26DD0"/>
    <w:rsid w:val="00D27284"/>
    <w:rsid w:val="00D27949"/>
    <w:rsid w:val="00D27C44"/>
    <w:rsid w:val="00D27CCD"/>
    <w:rsid w:val="00D27D46"/>
    <w:rsid w:val="00D27EC2"/>
    <w:rsid w:val="00D30691"/>
    <w:rsid w:val="00D30986"/>
    <w:rsid w:val="00D309D6"/>
    <w:rsid w:val="00D30BA0"/>
    <w:rsid w:val="00D30CB1"/>
    <w:rsid w:val="00D31417"/>
    <w:rsid w:val="00D316ED"/>
    <w:rsid w:val="00D3186E"/>
    <w:rsid w:val="00D32090"/>
    <w:rsid w:val="00D3212D"/>
    <w:rsid w:val="00D3233B"/>
    <w:rsid w:val="00D32347"/>
    <w:rsid w:val="00D325F7"/>
    <w:rsid w:val="00D32622"/>
    <w:rsid w:val="00D327BB"/>
    <w:rsid w:val="00D3288D"/>
    <w:rsid w:val="00D328CD"/>
    <w:rsid w:val="00D328DD"/>
    <w:rsid w:val="00D32906"/>
    <w:rsid w:val="00D32A6C"/>
    <w:rsid w:val="00D32C50"/>
    <w:rsid w:val="00D32D06"/>
    <w:rsid w:val="00D32F2D"/>
    <w:rsid w:val="00D33173"/>
    <w:rsid w:val="00D332F5"/>
    <w:rsid w:val="00D33399"/>
    <w:rsid w:val="00D333DA"/>
    <w:rsid w:val="00D33680"/>
    <w:rsid w:val="00D337BC"/>
    <w:rsid w:val="00D338B1"/>
    <w:rsid w:val="00D33A05"/>
    <w:rsid w:val="00D33AB7"/>
    <w:rsid w:val="00D33BB2"/>
    <w:rsid w:val="00D33E41"/>
    <w:rsid w:val="00D34239"/>
    <w:rsid w:val="00D343C5"/>
    <w:rsid w:val="00D34400"/>
    <w:rsid w:val="00D3449E"/>
    <w:rsid w:val="00D346B4"/>
    <w:rsid w:val="00D34D22"/>
    <w:rsid w:val="00D34FEB"/>
    <w:rsid w:val="00D350FD"/>
    <w:rsid w:val="00D35247"/>
    <w:rsid w:val="00D3530D"/>
    <w:rsid w:val="00D35454"/>
    <w:rsid w:val="00D35534"/>
    <w:rsid w:val="00D3592C"/>
    <w:rsid w:val="00D35A88"/>
    <w:rsid w:val="00D35B83"/>
    <w:rsid w:val="00D35BCA"/>
    <w:rsid w:val="00D35D98"/>
    <w:rsid w:val="00D35EFF"/>
    <w:rsid w:val="00D36043"/>
    <w:rsid w:val="00D3607A"/>
    <w:rsid w:val="00D36168"/>
    <w:rsid w:val="00D36255"/>
    <w:rsid w:val="00D3626B"/>
    <w:rsid w:val="00D3630F"/>
    <w:rsid w:val="00D36380"/>
    <w:rsid w:val="00D36795"/>
    <w:rsid w:val="00D36814"/>
    <w:rsid w:val="00D368A4"/>
    <w:rsid w:val="00D36B40"/>
    <w:rsid w:val="00D36BD3"/>
    <w:rsid w:val="00D36C9C"/>
    <w:rsid w:val="00D36FCD"/>
    <w:rsid w:val="00D36FF2"/>
    <w:rsid w:val="00D37636"/>
    <w:rsid w:val="00D378F5"/>
    <w:rsid w:val="00D37D3B"/>
    <w:rsid w:val="00D37E1C"/>
    <w:rsid w:val="00D37E85"/>
    <w:rsid w:val="00D40241"/>
    <w:rsid w:val="00D4027F"/>
    <w:rsid w:val="00D4039B"/>
    <w:rsid w:val="00D403E2"/>
    <w:rsid w:val="00D40547"/>
    <w:rsid w:val="00D408D3"/>
    <w:rsid w:val="00D409F0"/>
    <w:rsid w:val="00D40BC6"/>
    <w:rsid w:val="00D40DA3"/>
    <w:rsid w:val="00D40E03"/>
    <w:rsid w:val="00D41081"/>
    <w:rsid w:val="00D411E9"/>
    <w:rsid w:val="00D41297"/>
    <w:rsid w:val="00D41508"/>
    <w:rsid w:val="00D41881"/>
    <w:rsid w:val="00D41B7F"/>
    <w:rsid w:val="00D41C21"/>
    <w:rsid w:val="00D41DA1"/>
    <w:rsid w:val="00D41F68"/>
    <w:rsid w:val="00D41F9F"/>
    <w:rsid w:val="00D4207B"/>
    <w:rsid w:val="00D4231E"/>
    <w:rsid w:val="00D423B6"/>
    <w:rsid w:val="00D42407"/>
    <w:rsid w:val="00D42693"/>
    <w:rsid w:val="00D42764"/>
    <w:rsid w:val="00D42928"/>
    <w:rsid w:val="00D42999"/>
    <w:rsid w:val="00D4344C"/>
    <w:rsid w:val="00D434AD"/>
    <w:rsid w:val="00D434F6"/>
    <w:rsid w:val="00D43522"/>
    <w:rsid w:val="00D43678"/>
    <w:rsid w:val="00D43A21"/>
    <w:rsid w:val="00D43D32"/>
    <w:rsid w:val="00D43FB6"/>
    <w:rsid w:val="00D44275"/>
    <w:rsid w:val="00D4458E"/>
    <w:rsid w:val="00D445FD"/>
    <w:rsid w:val="00D446AB"/>
    <w:rsid w:val="00D44734"/>
    <w:rsid w:val="00D44BCD"/>
    <w:rsid w:val="00D44E84"/>
    <w:rsid w:val="00D4508A"/>
    <w:rsid w:val="00D45122"/>
    <w:rsid w:val="00D453A3"/>
    <w:rsid w:val="00D453D8"/>
    <w:rsid w:val="00D45420"/>
    <w:rsid w:val="00D45A40"/>
    <w:rsid w:val="00D45EB1"/>
    <w:rsid w:val="00D45ED2"/>
    <w:rsid w:val="00D45F8A"/>
    <w:rsid w:val="00D46044"/>
    <w:rsid w:val="00D462BD"/>
    <w:rsid w:val="00D463CF"/>
    <w:rsid w:val="00D46937"/>
    <w:rsid w:val="00D46EC7"/>
    <w:rsid w:val="00D4706C"/>
    <w:rsid w:val="00D4724B"/>
    <w:rsid w:val="00D4760F"/>
    <w:rsid w:val="00D47774"/>
    <w:rsid w:val="00D47C51"/>
    <w:rsid w:val="00D47CE4"/>
    <w:rsid w:val="00D47F96"/>
    <w:rsid w:val="00D50060"/>
    <w:rsid w:val="00D501F2"/>
    <w:rsid w:val="00D50951"/>
    <w:rsid w:val="00D511F2"/>
    <w:rsid w:val="00D515D7"/>
    <w:rsid w:val="00D51801"/>
    <w:rsid w:val="00D51A16"/>
    <w:rsid w:val="00D51B67"/>
    <w:rsid w:val="00D51D00"/>
    <w:rsid w:val="00D51D13"/>
    <w:rsid w:val="00D51E14"/>
    <w:rsid w:val="00D51F33"/>
    <w:rsid w:val="00D51F8E"/>
    <w:rsid w:val="00D52305"/>
    <w:rsid w:val="00D52420"/>
    <w:rsid w:val="00D52694"/>
    <w:rsid w:val="00D52E04"/>
    <w:rsid w:val="00D52EC3"/>
    <w:rsid w:val="00D53169"/>
    <w:rsid w:val="00D531C7"/>
    <w:rsid w:val="00D5370F"/>
    <w:rsid w:val="00D53885"/>
    <w:rsid w:val="00D53915"/>
    <w:rsid w:val="00D53B8F"/>
    <w:rsid w:val="00D53B97"/>
    <w:rsid w:val="00D53BDD"/>
    <w:rsid w:val="00D5405D"/>
    <w:rsid w:val="00D5419A"/>
    <w:rsid w:val="00D54720"/>
    <w:rsid w:val="00D548BC"/>
    <w:rsid w:val="00D54FA3"/>
    <w:rsid w:val="00D55167"/>
    <w:rsid w:val="00D551A5"/>
    <w:rsid w:val="00D555EF"/>
    <w:rsid w:val="00D55811"/>
    <w:rsid w:val="00D55C91"/>
    <w:rsid w:val="00D55CD6"/>
    <w:rsid w:val="00D55D27"/>
    <w:rsid w:val="00D55D63"/>
    <w:rsid w:val="00D55EB2"/>
    <w:rsid w:val="00D562E5"/>
    <w:rsid w:val="00D56822"/>
    <w:rsid w:val="00D569AB"/>
    <w:rsid w:val="00D56A84"/>
    <w:rsid w:val="00D56AF0"/>
    <w:rsid w:val="00D56D19"/>
    <w:rsid w:val="00D56DD2"/>
    <w:rsid w:val="00D56F6E"/>
    <w:rsid w:val="00D57124"/>
    <w:rsid w:val="00D571C9"/>
    <w:rsid w:val="00D571D3"/>
    <w:rsid w:val="00D573FB"/>
    <w:rsid w:val="00D57552"/>
    <w:rsid w:val="00D57687"/>
    <w:rsid w:val="00D5792E"/>
    <w:rsid w:val="00D57C28"/>
    <w:rsid w:val="00D6017E"/>
    <w:rsid w:val="00D6027F"/>
    <w:rsid w:val="00D6030E"/>
    <w:rsid w:val="00D6039A"/>
    <w:rsid w:val="00D605A7"/>
    <w:rsid w:val="00D6075D"/>
    <w:rsid w:val="00D6086A"/>
    <w:rsid w:val="00D6095C"/>
    <w:rsid w:val="00D6099E"/>
    <w:rsid w:val="00D60C51"/>
    <w:rsid w:val="00D60C6F"/>
    <w:rsid w:val="00D61081"/>
    <w:rsid w:val="00D614C1"/>
    <w:rsid w:val="00D61527"/>
    <w:rsid w:val="00D61896"/>
    <w:rsid w:val="00D61BA8"/>
    <w:rsid w:val="00D61CAA"/>
    <w:rsid w:val="00D61D00"/>
    <w:rsid w:val="00D61FB8"/>
    <w:rsid w:val="00D61FBE"/>
    <w:rsid w:val="00D620A9"/>
    <w:rsid w:val="00D62365"/>
    <w:rsid w:val="00D623FB"/>
    <w:rsid w:val="00D624B9"/>
    <w:rsid w:val="00D6269A"/>
    <w:rsid w:val="00D626F6"/>
    <w:rsid w:val="00D6271F"/>
    <w:rsid w:val="00D6276B"/>
    <w:rsid w:val="00D62A81"/>
    <w:rsid w:val="00D62A9A"/>
    <w:rsid w:val="00D62BF2"/>
    <w:rsid w:val="00D62DF0"/>
    <w:rsid w:val="00D633EE"/>
    <w:rsid w:val="00D63983"/>
    <w:rsid w:val="00D63D4B"/>
    <w:rsid w:val="00D63F75"/>
    <w:rsid w:val="00D63FD1"/>
    <w:rsid w:val="00D63FDB"/>
    <w:rsid w:val="00D64527"/>
    <w:rsid w:val="00D645DF"/>
    <w:rsid w:val="00D646E7"/>
    <w:rsid w:val="00D64B00"/>
    <w:rsid w:val="00D64B0E"/>
    <w:rsid w:val="00D64DCC"/>
    <w:rsid w:val="00D64E81"/>
    <w:rsid w:val="00D651EE"/>
    <w:rsid w:val="00D6530B"/>
    <w:rsid w:val="00D65497"/>
    <w:rsid w:val="00D65521"/>
    <w:rsid w:val="00D655E9"/>
    <w:rsid w:val="00D6581D"/>
    <w:rsid w:val="00D65B1D"/>
    <w:rsid w:val="00D65E64"/>
    <w:rsid w:val="00D6617A"/>
    <w:rsid w:val="00D662A1"/>
    <w:rsid w:val="00D66384"/>
    <w:rsid w:val="00D667EE"/>
    <w:rsid w:val="00D6696D"/>
    <w:rsid w:val="00D66BE4"/>
    <w:rsid w:val="00D66DAE"/>
    <w:rsid w:val="00D66E98"/>
    <w:rsid w:val="00D67535"/>
    <w:rsid w:val="00D67540"/>
    <w:rsid w:val="00D67A96"/>
    <w:rsid w:val="00D67AE4"/>
    <w:rsid w:val="00D67BF5"/>
    <w:rsid w:val="00D67CE8"/>
    <w:rsid w:val="00D67EB4"/>
    <w:rsid w:val="00D70023"/>
    <w:rsid w:val="00D70188"/>
    <w:rsid w:val="00D704BE"/>
    <w:rsid w:val="00D70982"/>
    <w:rsid w:val="00D70AB2"/>
    <w:rsid w:val="00D70BC0"/>
    <w:rsid w:val="00D70DA6"/>
    <w:rsid w:val="00D70EA4"/>
    <w:rsid w:val="00D70F01"/>
    <w:rsid w:val="00D70F34"/>
    <w:rsid w:val="00D710FF"/>
    <w:rsid w:val="00D7115A"/>
    <w:rsid w:val="00D71223"/>
    <w:rsid w:val="00D71510"/>
    <w:rsid w:val="00D71523"/>
    <w:rsid w:val="00D71AF3"/>
    <w:rsid w:val="00D71E6A"/>
    <w:rsid w:val="00D71F96"/>
    <w:rsid w:val="00D71FD8"/>
    <w:rsid w:val="00D720B0"/>
    <w:rsid w:val="00D72488"/>
    <w:rsid w:val="00D725BD"/>
    <w:rsid w:val="00D7270A"/>
    <w:rsid w:val="00D7293D"/>
    <w:rsid w:val="00D72ED4"/>
    <w:rsid w:val="00D732D0"/>
    <w:rsid w:val="00D73330"/>
    <w:rsid w:val="00D73443"/>
    <w:rsid w:val="00D734FB"/>
    <w:rsid w:val="00D73597"/>
    <w:rsid w:val="00D735EC"/>
    <w:rsid w:val="00D73AC8"/>
    <w:rsid w:val="00D73BB4"/>
    <w:rsid w:val="00D73CC3"/>
    <w:rsid w:val="00D73DB9"/>
    <w:rsid w:val="00D74234"/>
    <w:rsid w:val="00D7431B"/>
    <w:rsid w:val="00D7450D"/>
    <w:rsid w:val="00D74A85"/>
    <w:rsid w:val="00D74B75"/>
    <w:rsid w:val="00D74C0D"/>
    <w:rsid w:val="00D74C8E"/>
    <w:rsid w:val="00D74D29"/>
    <w:rsid w:val="00D75044"/>
    <w:rsid w:val="00D7529D"/>
    <w:rsid w:val="00D7549F"/>
    <w:rsid w:val="00D755BE"/>
    <w:rsid w:val="00D7560B"/>
    <w:rsid w:val="00D75872"/>
    <w:rsid w:val="00D7594E"/>
    <w:rsid w:val="00D759AB"/>
    <w:rsid w:val="00D75C88"/>
    <w:rsid w:val="00D75CE3"/>
    <w:rsid w:val="00D75F8C"/>
    <w:rsid w:val="00D76619"/>
    <w:rsid w:val="00D7696B"/>
    <w:rsid w:val="00D7696F"/>
    <w:rsid w:val="00D769A4"/>
    <w:rsid w:val="00D76C86"/>
    <w:rsid w:val="00D76D18"/>
    <w:rsid w:val="00D76F9E"/>
    <w:rsid w:val="00D77097"/>
    <w:rsid w:val="00D77212"/>
    <w:rsid w:val="00D772B2"/>
    <w:rsid w:val="00D7768F"/>
    <w:rsid w:val="00D777D2"/>
    <w:rsid w:val="00D7798A"/>
    <w:rsid w:val="00D77B34"/>
    <w:rsid w:val="00D77D05"/>
    <w:rsid w:val="00D77E91"/>
    <w:rsid w:val="00D802D4"/>
    <w:rsid w:val="00D80437"/>
    <w:rsid w:val="00D8050F"/>
    <w:rsid w:val="00D806B2"/>
    <w:rsid w:val="00D809FB"/>
    <w:rsid w:val="00D80E21"/>
    <w:rsid w:val="00D810AF"/>
    <w:rsid w:val="00D812BF"/>
    <w:rsid w:val="00D812D9"/>
    <w:rsid w:val="00D8137F"/>
    <w:rsid w:val="00D81EEC"/>
    <w:rsid w:val="00D81FBE"/>
    <w:rsid w:val="00D82008"/>
    <w:rsid w:val="00D82251"/>
    <w:rsid w:val="00D822B3"/>
    <w:rsid w:val="00D8279A"/>
    <w:rsid w:val="00D829D8"/>
    <w:rsid w:val="00D82A14"/>
    <w:rsid w:val="00D8324D"/>
    <w:rsid w:val="00D83262"/>
    <w:rsid w:val="00D83748"/>
    <w:rsid w:val="00D83A6F"/>
    <w:rsid w:val="00D83DDE"/>
    <w:rsid w:val="00D83FC0"/>
    <w:rsid w:val="00D840F2"/>
    <w:rsid w:val="00D8420B"/>
    <w:rsid w:val="00D845EB"/>
    <w:rsid w:val="00D845F7"/>
    <w:rsid w:val="00D847CB"/>
    <w:rsid w:val="00D848A0"/>
    <w:rsid w:val="00D84D5A"/>
    <w:rsid w:val="00D858AF"/>
    <w:rsid w:val="00D859B0"/>
    <w:rsid w:val="00D85A7B"/>
    <w:rsid w:val="00D85AA1"/>
    <w:rsid w:val="00D85CD9"/>
    <w:rsid w:val="00D85F16"/>
    <w:rsid w:val="00D86806"/>
    <w:rsid w:val="00D86F0F"/>
    <w:rsid w:val="00D874D0"/>
    <w:rsid w:val="00D874EF"/>
    <w:rsid w:val="00D87B0E"/>
    <w:rsid w:val="00D87D10"/>
    <w:rsid w:val="00D87D24"/>
    <w:rsid w:val="00D87F24"/>
    <w:rsid w:val="00D901D5"/>
    <w:rsid w:val="00D908EB"/>
    <w:rsid w:val="00D90A6C"/>
    <w:rsid w:val="00D90A7A"/>
    <w:rsid w:val="00D90D34"/>
    <w:rsid w:val="00D90E32"/>
    <w:rsid w:val="00D90E85"/>
    <w:rsid w:val="00D91019"/>
    <w:rsid w:val="00D912D0"/>
    <w:rsid w:val="00D9146D"/>
    <w:rsid w:val="00D91483"/>
    <w:rsid w:val="00D915C8"/>
    <w:rsid w:val="00D91B2E"/>
    <w:rsid w:val="00D91B64"/>
    <w:rsid w:val="00D91E94"/>
    <w:rsid w:val="00D922CC"/>
    <w:rsid w:val="00D923F4"/>
    <w:rsid w:val="00D923F6"/>
    <w:rsid w:val="00D9240E"/>
    <w:rsid w:val="00D926C3"/>
    <w:rsid w:val="00D927D0"/>
    <w:rsid w:val="00D928AB"/>
    <w:rsid w:val="00D929D0"/>
    <w:rsid w:val="00D92AB4"/>
    <w:rsid w:val="00D92E4A"/>
    <w:rsid w:val="00D931B7"/>
    <w:rsid w:val="00D9357D"/>
    <w:rsid w:val="00D9371E"/>
    <w:rsid w:val="00D937B9"/>
    <w:rsid w:val="00D939FE"/>
    <w:rsid w:val="00D93C71"/>
    <w:rsid w:val="00D93CD2"/>
    <w:rsid w:val="00D942DB"/>
    <w:rsid w:val="00D94D5D"/>
    <w:rsid w:val="00D94EBE"/>
    <w:rsid w:val="00D95180"/>
    <w:rsid w:val="00D951AA"/>
    <w:rsid w:val="00D955F6"/>
    <w:rsid w:val="00D95714"/>
    <w:rsid w:val="00D95B86"/>
    <w:rsid w:val="00D95B93"/>
    <w:rsid w:val="00D95EA4"/>
    <w:rsid w:val="00D95F9C"/>
    <w:rsid w:val="00D96582"/>
    <w:rsid w:val="00D96D6E"/>
    <w:rsid w:val="00D96E2C"/>
    <w:rsid w:val="00D96E83"/>
    <w:rsid w:val="00D96F64"/>
    <w:rsid w:val="00D97240"/>
    <w:rsid w:val="00D97445"/>
    <w:rsid w:val="00D97538"/>
    <w:rsid w:val="00D9786D"/>
    <w:rsid w:val="00D97D84"/>
    <w:rsid w:val="00DA01E0"/>
    <w:rsid w:val="00DA03F8"/>
    <w:rsid w:val="00DA06A3"/>
    <w:rsid w:val="00DA071C"/>
    <w:rsid w:val="00DA0887"/>
    <w:rsid w:val="00DA09C3"/>
    <w:rsid w:val="00DA09FD"/>
    <w:rsid w:val="00DA0D47"/>
    <w:rsid w:val="00DA117A"/>
    <w:rsid w:val="00DA119B"/>
    <w:rsid w:val="00DA12F5"/>
    <w:rsid w:val="00DA133D"/>
    <w:rsid w:val="00DA14E7"/>
    <w:rsid w:val="00DA169A"/>
    <w:rsid w:val="00DA1E74"/>
    <w:rsid w:val="00DA20B2"/>
    <w:rsid w:val="00DA2370"/>
    <w:rsid w:val="00DA2760"/>
    <w:rsid w:val="00DA29C9"/>
    <w:rsid w:val="00DA2DA4"/>
    <w:rsid w:val="00DA3463"/>
    <w:rsid w:val="00DA38FE"/>
    <w:rsid w:val="00DA39B7"/>
    <w:rsid w:val="00DA3D3D"/>
    <w:rsid w:val="00DA3EB3"/>
    <w:rsid w:val="00DA3EE6"/>
    <w:rsid w:val="00DA4032"/>
    <w:rsid w:val="00DA42A0"/>
    <w:rsid w:val="00DA45EA"/>
    <w:rsid w:val="00DA4A88"/>
    <w:rsid w:val="00DA4C60"/>
    <w:rsid w:val="00DA52A3"/>
    <w:rsid w:val="00DA541F"/>
    <w:rsid w:val="00DA567D"/>
    <w:rsid w:val="00DA56CF"/>
    <w:rsid w:val="00DA5808"/>
    <w:rsid w:val="00DA5A7A"/>
    <w:rsid w:val="00DA5B09"/>
    <w:rsid w:val="00DA5DC2"/>
    <w:rsid w:val="00DA600F"/>
    <w:rsid w:val="00DA616A"/>
    <w:rsid w:val="00DA621B"/>
    <w:rsid w:val="00DA6257"/>
    <w:rsid w:val="00DA6337"/>
    <w:rsid w:val="00DA6489"/>
    <w:rsid w:val="00DA673B"/>
    <w:rsid w:val="00DA6868"/>
    <w:rsid w:val="00DA6A26"/>
    <w:rsid w:val="00DA6B99"/>
    <w:rsid w:val="00DA6FAF"/>
    <w:rsid w:val="00DA7478"/>
    <w:rsid w:val="00DA74A4"/>
    <w:rsid w:val="00DA74CC"/>
    <w:rsid w:val="00DA7787"/>
    <w:rsid w:val="00DA7A11"/>
    <w:rsid w:val="00DA7A52"/>
    <w:rsid w:val="00DB02A3"/>
    <w:rsid w:val="00DB03AE"/>
    <w:rsid w:val="00DB0486"/>
    <w:rsid w:val="00DB05B0"/>
    <w:rsid w:val="00DB07D7"/>
    <w:rsid w:val="00DB0816"/>
    <w:rsid w:val="00DB087D"/>
    <w:rsid w:val="00DB092A"/>
    <w:rsid w:val="00DB095C"/>
    <w:rsid w:val="00DB0D94"/>
    <w:rsid w:val="00DB0E19"/>
    <w:rsid w:val="00DB0E46"/>
    <w:rsid w:val="00DB0EA0"/>
    <w:rsid w:val="00DB1192"/>
    <w:rsid w:val="00DB158C"/>
    <w:rsid w:val="00DB182E"/>
    <w:rsid w:val="00DB1E21"/>
    <w:rsid w:val="00DB1E36"/>
    <w:rsid w:val="00DB20AD"/>
    <w:rsid w:val="00DB239F"/>
    <w:rsid w:val="00DB25C8"/>
    <w:rsid w:val="00DB27A3"/>
    <w:rsid w:val="00DB28B8"/>
    <w:rsid w:val="00DB28B9"/>
    <w:rsid w:val="00DB2936"/>
    <w:rsid w:val="00DB2AC5"/>
    <w:rsid w:val="00DB2AED"/>
    <w:rsid w:val="00DB2C5D"/>
    <w:rsid w:val="00DB2C9D"/>
    <w:rsid w:val="00DB2DC6"/>
    <w:rsid w:val="00DB3689"/>
    <w:rsid w:val="00DB36D9"/>
    <w:rsid w:val="00DB3754"/>
    <w:rsid w:val="00DB3862"/>
    <w:rsid w:val="00DB38A2"/>
    <w:rsid w:val="00DB3913"/>
    <w:rsid w:val="00DB3C55"/>
    <w:rsid w:val="00DB3C5C"/>
    <w:rsid w:val="00DB3CAB"/>
    <w:rsid w:val="00DB4255"/>
    <w:rsid w:val="00DB4855"/>
    <w:rsid w:val="00DB48FC"/>
    <w:rsid w:val="00DB4941"/>
    <w:rsid w:val="00DB4BDA"/>
    <w:rsid w:val="00DB4E47"/>
    <w:rsid w:val="00DB4EF9"/>
    <w:rsid w:val="00DB5679"/>
    <w:rsid w:val="00DB58FE"/>
    <w:rsid w:val="00DB5BD0"/>
    <w:rsid w:val="00DB5C8D"/>
    <w:rsid w:val="00DB5F8D"/>
    <w:rsid w:val="00DB5FBE"/>
    <w:rsid w:val="00DB634B"/>
    <w:rsid w:val="00DB6416"/>
    <w:rsid w:val="00DB6621"/>
    <w:rsid w:val="00DB6720"/>
    <w:rsid w:val="00DB6912"/>
    <w:rsid w:val="00DB6A68"/>
    <w:rsid w:val="00DB714B"/>
    <w:rsid w:val="00DB72FD"/>
    <w:rsid w:val="00DB7342"/>
    <w:rsid w:val="00DB73B0"/>
    <w:rsid w:val="00DB780A"/>
    <w:rsid w:val="00DB786A"/>
    <w:rsid w:val="00DB79F1"/>
    <w:rsid w:val="00DB7F95"/>
    <w:rsid w:val="00DC01B8"/>
    <w:rsid w:val="00DC0821"/>
    <w:rsid w:val="00DC09F3"/>
    <w:rsid w:val="00DC114D"/>
    <w:rsid w:val="00DC130D"/>
    <w:rsid w:val="00DC140F"/>
    <w:rsid w:val="00DC1446"/>
    <w:rsid w:val="00DC18A7"/>
    <w:rsid w:val="00DC1A36"/>
    <w:rsid w:val="00DC1F4B"/>
    <w:rsid w:val="00DC1FF9"/>
    <w:rsid w:val="00DC2029"/>
    <w:rsid w:val="00DC2073"/>
    <w:rsid w:val="00DC2286"/>
    <w:rsid w:val="00DC24C1"/>
    <w:rsid w:val="00DC2838"/>
    <w:rsid w:val="00DC28C6"/>
    <w:rsid w:val="00DC2D50"/>
    <w:rsid w:val="00DC2E2D"/>
    <w:rsid w:val="00DC2FBA"/>
    <w:rsid w:val="00DC31C9"/>
    <w:rsid w:val="00DC322D"/>
    <w:rsid w:val="00DC322E"/>
    <w:rsid w:val="00DC33B8"/>
    <w:rsid w:val="00DC350D"/>
    <w:rsid w:val="00DC3717"/>
    <w:rsid w:val="00DC3787"/>
    <w:rsid w:val="00DC3A5D"/>
    <w:rsid w:val="00DC3C41"/>
    <w:rsid w:val="00DC3C7A"/>
    <w:rsid w:val="00DC3C91"/>
    <w:rsid w:val="00DC3DAE"/>
    <w:rsid w:val="00DC3DC7"/>
    <w:rsid w:val="00DC3E2F"/>
    <w:rsid w:val="00DC3E84"/>
    <w:rsid w:val="00DC4011"/>
    <w:rsid w:val="00DC40B2"/>
    <w:rsid w:val="00DC40C1"/>
    <w:rsid w:val="00DC41DB"/>
    <w:rsid w:val="00DC4258"/>
    <w:rsid w:val="00DC45E8"/>
    <w:rsid w:val="00DC4952"/>
    <w:rsid w:val="00DC4ADF"/>
    <w:rsid w:val="00DC4AE1"/>
    <w:rsid w:val="00DC4B23"/>
    <w:rsid w:val="00DC4BEC"/>
    <w:rsid w:val="00DC4FA4"/>
    <w:rsid w:val="00DC50AD"/>
    <w:rsid w:val="00DC59CB"/>
    <w:rsid w:val="00DC5CCF"/>
    <w:rsid w:val="00DC6046"/>
    <w:rsid w:val="00DC6356"/>
    <w:rsid w:val="00DC645A"/>
    <w:rsid w:val="00DC6615"/>
    <w:rsid w:val="00DC6759"/>
    <w:rsid w:val="00DC6D7E"/>
    <w:rsid w:val="00DC71E9"/>
    <w:rsid w:val="00DC7342"/>
    <w:rsid w:val="00DC7347"/>
    <w:rsid w:val="00DC7BAF"/>
    <w:rsid w:val="00DC7F7B"/>
    <w:rsid w:val="00DD0151"/>
    <w:rsid w:val="00DD06A3"/>
    <w:rsid w:val="00DD0775"/>
    <w:rsid w:val="00DD08AD"/>
    <w:rsid w:val="00DD099A"/>
    <w:rsid w:val="00DD09D0"/>
    <w:rsid w:val="00DD0DFE"/>
    <w:rsid w:val="00DD0E23"/>
    <w:rsid w:val="00DD1104"/>
    <w:rsid w:val="00DD114F"/>
    <w:rsid w:val="00DD1179"/>
    <w:rsid w:val="00DD1302"/>
    <w:rsid w:val="00DD1A9A"/>
    <w:rsid w:val="00DD1F1A"/>
    <w:rsid w:val="00DD220E"/>
    <w:rsid w:val="00DD2254"/>
    <w:rsid w:val="00DD2342"/>
    <w:rsid w:val="00DD239E"/>
    <w:rsid w:val="00DD2526"/>
    <w:rsid w:val="00DD26F9"/>
    <w:rsid w:val="00DD271B"/>
    <w:rsid w:val="00DD29E5"/>
    <w:rsid w:val="00DD2B52"/>
    <w:rsid w:val="00DD2BB4"/>
    <w:rsid w:val="00DD336C"/>
    <w:rsid w:val="00DD3492"/>
    <w:rsid w:val="00DD3663"/>
    <w:rsid w:val="00DD3715"/>
    <w:rsid w:val="00DD3BAE"/>
    <w:rsid w:val="00DD425A"/>
    <w:rsid w:val="00DD42AE"/>
    <w:rsid w:val="00DD4340"/>
    <w:rsid w:val="00DD43C2"/>
    <w:rsid w:val="00DD465A"/>
    <w:rsid w:val="00DD492C"/>
    <w:rsid w:val="00DD4959"/>
    <w:rsid w:val="00DD49A4"/>
    <w:rsid w:val="00DD4C6E"/>
    <w:rsid w:val="00DD4EC5"/>
    <w:rsid w:val="00DD51F0"/>
    <w:rsid w:val="00DD521D"/>
    <w:rsid w:val="00DD5252"/>
    <w:rsid w:val="00DD5695"/>
    <w:rsid w:val="00DD586B"/>
    <w:rsid w:val="00DD5C27"/>
    <w:rsid w:val="00DD5E2E"/>
    <w:rsid w:val="00DD5F60"/>
    <w:rsid w:val="00DD5FE0"/>
    <w:rsid w:val="00DD6565"/>
    <w:rsid w:val="00DD67F1"/>
    <w:rsid w:val="00DD6884"/>
    <w:rsid w:val="00DD6B15"/>
    <w:rsid w:val="00DD6B35"/>
    <w:rsid w:val="00DD6C21"/>
    <w:rsid w:val="00DD7135"/>
    <w:rsid w:val="00DD7432"/>
    <w:rsid w:val="00DD7491"/>
    <w:rsid w:val="00DD750D"/>
    <w:rsid w:val="00DD795D"/>
    <w:rsid w:val="00DD7A57"/>
    <w:rsid w:val="00DD7BF5"/>
    <w:rsid w:val="00DD7CE8"/>
    <w:rsid w:val="00DD7E5C"/>
    <w:rsid w:val="00DE0165"/>
    <w:rsid w:val="00DE098E"/>
    <w:rsid w:val="00DE0A61"/>
    <w:rsid w:val="00DE0AF0"/>
    <w:rsid w:val="00DE0C7F"/>
    <w:rsid w:val="00DE0FC4"/>
    <w:rsid w:val="00DE0FFD"/>
    <w:rsid w:val="00DE1071"/>
    <w:rsid w:val="00DE125C"/>
    <w:rsid w:val="00DE1348"/>
    <w:rsid w:val="00DE136B"/>
    <w:rsid w:val="00DE1452"/>
    <w:rsid w:val="00DE1E2F"/>
    <w:rsid w:val="00DE1ED9"/>
    <w:rsid w:val="00DE1F1F"/>
    <w:rsid w:val="00DE2486"/>
    <w:rsid w:val="00DE2564"/>
    <w:rsid w:val="00DE28E1"/>
    <w:rsid w:val="00DE2992"/>
    <w:rsid w:val="00DE2BDE"/>
    <w:rsid w:val="00DE2E4A"/>
    <w:rsid w:val="00DE3073"/>
    <w:rsid w:val="00DE3112"/>
    <w:rsid w:val="00DE329E"/>
    <w:rsid w:val="00DE3321"/>
    <w:rsid w:val="00DE33ED"/>
    <w:rsid w:val="00DE381F"/>
    <w:rsid w:val="00DE3B4D"/>
    <w:rsid w:val="00DE41E3"/>
    <w:rsid w:val="00DE42B7"/>
    <w:rsid w:val="00DE4475"/>
    <w:rsid w:val="00DE4838"/>
    <w:rsid w:val="00DE4889"/>
    <w:rsid w:val="00DE4969"/>
    <w:rsid w:val="00DE4B82"/>
    <w:rsid w:val="00DE4E6D"/>
    <w:rsid w:val="00DE531D"/>
    <w:rsid w:val="00DE5365"/>
    <w:rsid w:val="00DE5731"/>
    <w:rsid w:val="00DE5C57"/>
    <w:rsid w:val="00DE5C9A"/>
    <w:rsid w:val="00DE5D53"/>
    <w:rsid w:val="00DE6150"/>
    <w:rsid w:val="00DE61E8"/>
    <w:rsid w:val="00DE62BE"/>
    <w:rsid w:val="00DE66AF"/>
    <w:rsid w:val="00DE678A"/>
    <w:rsid w:val="00DE67D7"/>
    <w:rsid w:val="00DE6BEF"/>
    <w:rsid w:val="00DE6C65"/>
    <w:rsid w:val="00DE6CEB"/>
    <w:rsid w:val="00DE6CEF"/>
    <w:rsid w:val="00DE6E96"/>
    <w:rsid w:val="00DE717F"/>
    <w:rsid w:val="00DE76E1"/>
    <w:rsid w:val="00DE77AA"/>
    <w:rsid w:val="00DE7A36"/>
    <w:rsid w:val="00DE7A7C"/>
    <w:rsid w:val="00DF000A"/>
    <w:rsid w:val="00DF0407"/>
    <w:rsid w:val="00DF04C2"/>
    <w:rsid w:val="00DF0A3F"/>
    <w:rsid w:val="00DF0D54"/>
    <w:rsid w:val="00DF0FBE"/>
    <w:rsid w:val="00DF1012"/>
    <w:rsid w:val="00DF1199"/>
    <w:rsid w:val="00DF15C1"/>
    <w:rsid w:val="00DF1AA9"/>
    <w:rsid w:val="00DF1AEF"/>
    <w:rsid w:val="00DF1B79"/>
    <w:rsid w:val="00DF1BC4"/>
    <w:rsid w:val="00DF1D53"/>
    <w:rsid w:val="00DF2150"/>
    <w:rsid w:val="00DF21C1"/>
    <w:rsid w:val="00DF22D4"/>
    <w:rsid w:val="00DF22EB"/>
    <w:rsid w:val="00DF2B80"/>
    <w:rsid w:val="00DF30D0"/>
    <w:rsid w:val="00DF312C"/>
    <w:rsid w:val="00DF325F"/>
    <w:rsid w:val="00DF342F"/>
    <w:rsid w:val="00DF3456"/>
    <w:rsid w:val="00DF349F"/>
    <w:rsid w:val="00DF41E4"/>
    <w:rsid w:val="00DF42C0"/>
    <w:rsid w:val="00DF43D9"/>
    <w:rsid w:val="00DF4AE3"/>
    <w:rsid w:val="00DF4D7B"/>
    <w:rsid w:val="00DF4E38"/>
    <w:rsid w:val="00DF50CE"/>
    <w:rsid w:val="00DF539D"/>
    <w:rsid w:val="00DF55E9"/>
    <w:rsid w:val="00DF5682"/>
    <w:rsid w:val="00DF57FE"/>
    <w:rsid w:val="00DF5905"/>
    <w:rsid w:val="00DF5CC7"/>
    <w:rsid w:val="00DF5D8C"/>
    <w:rsid w:val="00DF5F02"/>
    <w:rsid w:val="00DF61F8"/>
    <w:rsid w:val="00DF6454"/>
    <w:rsid w:val="00DF678D"/>
    <w:rsid w:val="00DF6842"/>
    <w:rsid w:val="00DF6A0B"/>
    <w:rsid w:val="00DF6E70"/>
    <w:rsid w:val="00DF7091"/>
    <w:rsid w:val="00DF76D5"/>
    <w:rsid w:val="00DF76EB"/>
    <w:rsid w:val="00DF76FF"/>
    <w:rsid w:val="00DF7980"/>
    <w:rsid w:val="00E000B9"/>
    <w:rsid w:val="00E0040C"/>
    <w:rsid w:val="00E0040E"/>
    <w:rsid w:val="00E00673"/>
    <w:rsid w:val="00E007B5"/>
    <w:rsid w:val="00E00814"/>
    <w:rsid w:val="00E00BB8"/>
    <w:rsid w:val="00E00CD3"/>
    <w:rsid w:val="00E00E01"/>
    <w:rsid w:val="00E0130B"/>
    <w:rsid w:val="00E01773"/>
    <w:rsid w:val="00E0183E"/>
    <w:rsid w:val="00E01C93"/>
    <w:rsid w:val="00E01D60"/>
    <w:rsid w:val="00E01F3C"/>
    <w:rsid w:val="00E0221B"/>
    <w:rsid w:val="00E02258"/>
    <w:rsid w:val="00E02453"/>
    <w:rsid w:val="00E025CC"/>
    <w:rsid w:val="00E025F8"/>
    <w:rsid w:val="00E0293E"/>
    <w:rsid w:val="00E02AEB"/>
    <w:rsid w:val="00E02BEF"/>
    <w:rsid w:val="00E02C63"/>
    <w:rsid w:val="00E02EEF"/>
    <w:rsid w:val="00E02EFC"/>
    <w:rsid w:val="00E0306C"/>
    <w:rsid w:val="00E0320D"/>
    <w:rsid w:val="00E035A7"/>
    <w:rsid w:val="00E03857"/>
    <w:rsid w:val="00E0396A"/>
    <w:rsid w:val="00E03AAB"/>
    <w:rsid w:val="00E03AB5"/>
    <w:rsid w:val="00E03DBC"/>
    <w:rsid w:val="00E045D6"/>
    <w:rsid w:val="00E046DE"/>
    <w:rsid w:val="00E04856"/>
    <w:rsid w:val="00E048B5"/>
    <w:rsid w:val="00E04B52"/>
    <w:rsid w:val="00E04ED7"/>
    <w:rsid w:val="00E05470"/>
    <w:rsid w:val="00E05C16"/>
    <w:rsid w:val="00E05E70"/>
    <w:rsid w:val="00E05FF9"/>
    <w:rsid w:val="00E062E8"/>
    <w:rsid w:val="00E064C5"/>
    <w:rsid w:val="00E064E0"/>
    <w:rsid w:val="00E065CD"/>
    <w:rsid w:val="00E066A7"/>
    <w:rsid w:val="00E067A1"/>
    <w:rsid w:val="00E06987"/>
    <w:rsid w:val="00E06BA6"/>
    <w:rsid w:val="00E06D8C"/>
    <w:rsid w:val="00E06EB3"/>
    <w:rsid w:val="00E0717C"/>
    <w:rsid w:val="00E074D7"/>
    <w:rsid w:val="00E07975"/>
    <w:rsid w:val="00E07A12"/>
    <w:rsid w:val="00E07B6A"/>
    <w:rsid w:val="00E07C83"/>
    <w:rsid w:val="00E07D28"/>
    <w:rsid w:val="00E101FC"/>
    <w:rsid w:val="00E10650"/>
    <w:rsid w:val="00E106BD"/>
    <w:rsid w:val="00E106C9"/>
    <w:rsid w:val="00E106D4"/>
    <w:rsid w:val="00E10867"/>
    <w:rsid w:val="00E108F8"/>
    <w:rsid w:val="00E109CE"/>
    <w:rsid w:val="00E10A90"/>
    <w:rsid w:val="00E11530"/>
    <w:rsid w:val="00E117D3"/>
    <w:rsid w:val="00E11821"/>
    <w:rsid w:val="00E119D1"/>
    <w:rsid w:val="00E11AFA"/>
    <w:rsid w:val="00E11E15"/>
    <w:rsid w:val="00E11E4D"/>
    <w:rsid w:val="00E11F6B"/>
    <w:rsid w:val="00E12107"/>
    <w:rsid w:val="00E123E2"/>
    <w:rsid w:val="00E12DE6"/>
    <w:rsid w:val="00E13100"/>
    <w:rsid w:val="00E13298"/>
    <w:rsid w:val="00E139BD"/>
    <w:rsid w:val="00E13F6F"/>
    <w:rsid w:val="00E14007"/>
    <w:rsid w:val="00E1462A"/>
    <w:rsid w:val="00E14925"/>
    <w:rsid w:val="00E14A40"/>
    <w:rsid w:val="00E14D8F"/>
    <w:rsid w:val="00E151B3"/>
    <w:rsid w:val="00E15412"/>
    <w:rsid w:val="00E15524"/>
    <w:rsid w:val="00E1562E"/>
    <w:rsid w:val="00E156E8"/>
    <w:rsid w:val="00E157CB"/>
    <w:rsid w:val="00E15D2B"/>
    <w:rsid w:val="00E15D7E"/>
    <w:rsid w:val="00E15E40"/>
    <w:rsid w:val="00E15EB0"/>
    <w:rsid w:val="00E161D6"/>
    <w:rsid w:val="00E16282"/>
    <w:rsid w:val="00E163C7"/>
    <w:rsid w:val="00E1663C"/>
    <w:rsid w:val="00E16B47"/>
    <w:rsid w:val="00E1728C"/>
    <w:rsid w:val="00E172A8"/>
    <w:rsid w:val="00E173B0"/>
    <w:rsid w:val="00E173C5"/>
    <w:rsid w:val="00E1766B"/>
    <w:rsid w:val="00E17A7A"/>
    <w:rsid w:val="00E17A87"/>
    <w:rsid w:val="00E17D33"/>
    <w:rsid w:val="00E17EF3"/>
    <w:rsid w:val="00E20120"/>
    <w:rsid w:val="00E204E7"/>
    <w:rsid w:val="00E20BC1"/>
    <w:rsid w:val="00E21112"/>
    <w:rsid w:val="00E213A5"/>
    <w:rsid w:val="00E21630"/>
    <w:rsid w:val="00E218B0"/>
    <w:rsid w:val="00E21945"/>
    <w:rsid w:val="00E21CF7"/>
    <w:rsid w:val="00E21DF2"/>
    <w:rsid w:val="00E21EB0"/>
    <w:rsid w:val="00E22133"/>
    <w:rsid w:val="00E221FD"/>
    <w:rsid w:val="00E22575"/>
    <w:rsid w:val="00E2277F"/>
    <w:rsid w:val="00E227AC"/>
    <w:rsid w:val="00E229D6"/>
    <w:rsid w:val="00E22CDC"/>
    <w:rsid w:val="00E22E70"/>
    <w:rsid w:val="00E23179"/>
    <w:rsid w:val="00E23198"/>
    <w:rsid w:val="00E235F5"/>
    <w:rsid w:val="00E23AFD"/>
    <w:rsid w:val="00E23B12"/>
    <w:rsid w:val="00E23BC8"/>
    <w:rsid w:val="00E23BF7"/>
    <w:rsid w:val="00E23F80"/>
    <w:rsid w:val="00E2433A"/>
    <w:rsid w:val="00E243C4"/>
    <w:rsid w:val="00E2442A"/>
    <w:rsid w:val="00E245E4"/>
    <w:rsid w:val="00E2483D"/>
    <w:rsid w:val="00E2497B"/>
    <w:rsid w:val="00E24EF6"/>
    <w:rsid w:val="00E252CC"/>
    <w:rsid w:val="00E2596F"/>
    <w:rsid w:val="00E259C3"/>
    <w:rsid w:val="00E259DA"/>
    <w:rsid w:val="00E25AD1"/>
    <w:rsid w:val="00E25FE9"/>
    <w:rsid w:val="00E26602"/>
    <w:rsid w:val="00E2669C"/>
    <w:rsid w:val="00E266EE"/>
    <w:rsid w:val="00E26849"/>
    <w:rsid w:val="00E26B0C"/>
    <w:rsid w:val="00E26C7F"/>
    <w:rsid w:val="00E26CDD"/>
    <w:rsid w:val="00E26D31"/>
    <w:rsid w:val="00E26FF5"/>
    <w:rsid w:val="00E2747C"/>
    <w:rsid w:val="00E27E45"/>
    <w:rsid w:val="00E30011"/>
    <w:rsid w:val="00E30020"/>
    <w:rsid w:val="00E302DC"/>
    <w:rsid w:val="00E305ED"/>
    <w:rsid w:val="00E307F9"/>
    <w:rsid w:val="00E30873"/>
    <w:rsid w:val="00E309FE"/>
    <w:rsid w:val="00E30C34"/>
    <w:rsid w:val="00E30C4E"/>
    <w:rsid w:val="00E30E15"/>
    <w:rsid w:val="00E30E20"/>
    <w:rsid w:val="00E30E4F"/>
    <w:rsid w:val="00E311C3"/>
    <w:rsid w:val="00E315D8"/>
    <w:rsid w:val="00E31805"/>
    <w:rsid w:val="00E31AB5"/>
    <w:rsid w:val="00E31C40"/>
    <w:rsid w:val="00E31ED5"/>
    <w:rsid w:val="00E3220B"/>
    <w:rsid w:val="00E3240F"/>
    <w:rsid w:val="00E32497"/>
    <w:rsid w:val="00E3254E"/>
    <w:rsid w:val="00E32644"/>
    <w:rsid w:val="00E326DB"/>
    <w:rsid w:val="00E3316A"/>
    <w:rsid w:val="00E3342A"/>
    <w:rsid w:val="00E3362C"/>
    <w:rsid w:val="00E33B4D"/>
    <w:rsid w:val="00E33D15"/>
    <w:rsid w:val="00E33DF9"/>
    <w:rsid w:val="00E33F50"/>
    <w:rsid w:val="00E340DD"/>
    <w:rsid w:val="00E34195"/>
    <w:rsid w:val="00E3419D"/>
    <w:rsid w:val="00E341D2"/>
    <w:rsid w:val="00E341FB"/>
    <w:rsid w:val="00E34522"/>
    <w:rsid w:val="00E3467C"/>
    <w:rsid w:val="00E34A2D"/>
    <w:rsid w:val="00E34E22"/>
    <w:rsid w:val="00E34F17"/>
    <w:rsid w:val="00E35016"/>
    <w:rsid w:val="00E351D7"/>
    <w:rsid w:val="00E3528B"/>
    <w:rsid w:val="00E35412"/>
    <w:rsid w:val="00E354E4"/>
    <w:rsid w:val="00E35967"/>
    <w:rsid w:val="00E35A4D"/>
    <w:rsid w:val="00E3604E"/>
    <w:rsid w:val="00E3619A"/>
    <w:rsid w:val="00E36A6D"/>
    <w:rsid w:val="00E36AC8"/>
    <w:rsid w:val="00E36DEA"/>
    <w:rsid w:val="00E3725F"/>
    <w:rsid w:val="00E37476"/>
    <w:rsid w:val="00E3766E"/>
    <w:rsid w:val="00E37696"/>
    <w:rsid w:val="00E377F3"/>
    <w:rsid w:val="00E378BB"/>
    <w:rsid w:val="00E37F9A"/>
    <w:rsid w:val="00E37FD7"/>
    <w:rsid w:val="00E37FE6"/>
    <w:rsid w:val="00E401F7"/>
    <w:rsid w:val="00E402E1"/>
    <w:rsid w:val="00E4043A"/>
    <w:rsid w:val="00E40603"/>
    <w:rsid w:val="00E40839"/>
    <w:rsid w:val="00E40956"/>
    <w:rsid w:val="00E40B94"/>
    <w:rsid w:val="00E40BB7"/>
    <w:rsid w:val="00E40E82"/>
    <w:rsid w:val="00E411F2"/>
    <w:rsid w:val="00E415C8"/>
    <w:rsid w:val="00E419C0"/>
    <w:rsid w:val="00E41BC8"/>
    <w:rsid w:val="00E41BE6"/>
    <w:rsid w:val="00E41E9D"/>
    <w:rsid w:val="00E42138"/>
    <w:rsid w:val="00E421D4"/>
    <w:rsid w:val="00E425B4"/>
    <w:rsid w:val="00E42896"/>
    <w:rsid w:val="00E42A23"/>
    <w:rsid w:val="00E42B5B"/>
    <w:rsid w:val="00E42C7B"/>
    <w:rsid w:val="00E42F1D"/>
    <w:rsid w:val="00E430BE"/>
    <w:rsid w:val="00E435DB"/>
    <w:rsid w:val="00E43974"/>
    <w:rsid w:val="00E4398F"/>
    <w:rsid w:val="00E43DFD"/>
    <w:rsid w:val="00E440A1"/>
    <w:rsid w:val="00E440C2"/>
    <w:rsid w:val="00E4423F"/>
    <w:rsid w:val="00E44428"/>
    <w:rsid w:val="00E448A5"/>
    <w:rsid w:val="00E44B27"/>
    <w:rsid w:val="00E44DA8"/>
    <w:rsid w:val="00E44F9D"/>
    <w:rsid w:val="00E4513F"/>
    <w:rsid w:val="00E451FB"/>
    <w:rsid w:val="00E45469"/>
    <w:rsid w:val="00E45C41"/>
    <w:rsid w:val="00E46072"/>
    <w:rsid w:val="00E460EA"/>
    <w:rsid w:val="00E4638A"/>
    <w:rsid w:val="00E4644F"/>
    <w:rsid w:val="00E4666C"/>
    <w:rsid w:val="00E46698"/>
    <w:rsid w:val="00E467E4"/>
    <w:rsid w:val="00E4691E"/>
    <w:rsid w:val="00E46D24"/>
    <w:rsid w:val="00E46D96"/>
    <w:rsid w:val="00E46F27"/>
    <w:rsid w:val="00E46F2C"/>
    <w:rsid w:val="00E47201"/>
    <w:rsid w:val="00E475B6"/>
    <w:rsid w:val="00E475EF"/>
    <w:rsid w:val="00E4761E"/>
    <w:rsid w:val="00E476D4"/>
    <w:rsid w:val="00E47D2F"/>
    <w:rsid w:val="00E47E9C"/>
    <w:rsid w:val="00E50669"/>
    <w:rsid w:val="00E50811"/>
    <w:rsid w:val="00E508A2"/>
    <w:rsid w:val="00E50AA0"/>
    <w:rsid w:val="00E50E27"/>
    <w:rsid w:val="00E50F9A"/>
    <w:rsid w:val="00E51010"/>
    <w:rsid w:val="00E5102D"/>
    <w:rsid w:val="00E51074"/>
    <w:rsid w:val="00E51222"/>
    <w:rsid w:val="00E5123E"/>
    <w:rsid w:val="00E51343"/>
    <w:rsid w:val="00E5156E"/>
    <w:rsid w:val="00E51733"/>
    <w:rsid w:val="00E5188A"/>
    <w:rsid w:val="00E518F1"/>
    <w:rsid w:val="00E521EE"/>
    <w:rsid w:val="00E523AD"/>
    <w:rsid w:val="00E524E9"/>
    <w:rsid w:val="00E52C8E"/>
    <w:rsid w:val="00E52EEF"/>
    <w:rsid w:val="00E53257"/>
    <w:rsid w:val="00E5340F"/>
    <w:rsid w:val="00E53670"/>
    <w:rsid w:val="00E53680"/>
    <w:rsid w:val="00E53728"/>
    <w:rsid w:val="00E53935"/>
    <w:rsid w:val="00E53AD2"/>
    <w:rsid w:val="00E53CB4"/>
    <w:rsid w:val="00E53FAE"/>
    <w:rsid w:val="00E54239"/>
    <w:rsid w:val="00E54378"/>
    <w:rsid w:val="00E54463"/>
    <w:rsid w:val="00E5479B"/>
    <w:rsid w:val="00E5489A"/>
    <w:rsid w:val="00E54AF1"/>
    <w:rsid w:val="00E54B7A"/>
    <w:rsid w:val="00E54C31"/>
    <w:rsid w:val="00E54DDC"/>
    <w:rsid w:val="00E5561F"/>
    <w:rsid w:val="00E55C76"/>
    <w:rsid w:val="00E55CF1"/>
    <w:rsid w:val="00E55F1A"/>
    <w:rsid w:val="00E55F72"/>
    <w:rsid w:val="00E55F91"/>
    <w:rsid w:val="00E56334"/>
    <w:rsid w:val="00E564DE"/>
    <w:rsid w:val="00E5650F"/>
    <w:rsid w:val="00E56C12"/>
    <w:rsid w:val="00E56FDA"/>
    <w:rsid w:val="00E57360"/>
    <w:rsid w:val="00E57856"/>
    <w:rsid w:val="00E57BE3"/>
    <w:rsid w:val="00E57CA5"/>
    <w:rsid w:val="00E57FAD"/>
    <w:rsid w:val="00E600F1"/>
    <w:rsid w:val="00E6025D"/>
    <w:rsid w:val="00E60309"/>
    <w:rsid w:val="00E603D6"/>
    <w:rsid w:val="00E60790"/>
    <w:rsid w:val="00E609C8"/>
    <w:rsid w:val="00E60A2E"/>
    <w:rsid w:val="00E60A96"/>
    <w:rsid w:val="00E6118D"/>
    <w:rsid w:val="00E611C0"/>
    <w:rsid w:val="00E617C6"/>
    <w:rsid w:val="00E61835"/>
    <w:rsid w:val="00E61A1C"/>
    <w:rsid w:val="00E61F67"/>
    <w:rsid w:val="00E620AE"/>
    <w:rsid w:val="00E620CC"/>
    <w:rsid w:val="00E620FA"/>
    <w:rsid w:val="00E62540"/>
    <w:rsid w:val="00E6279B"/>
    <w:rsid w:val="00E62C33"/>
    <w:rsid w:val="00E63010"/>
    <w:rsid w:val="00E6336A"/>
    <w:rsid w:val="00E633F5"/>
    <w:rsid w:val="00E63670"/>
    <w:rsid w:val="00E636B9"/>
    <w:rsid w:val="00E63760"/>
    <w:rsid w:val="00E637C7"/>
    <w:rsid w:val="00E637D9"/>
    <w:rsid w:val="00E63947"/>
    <w:rsid w:val="00E639F8"/>
    <w:rsid w:val="00E63AD4"/>
    <w:rsid w:val="00E63C0F"/>
    <w:rsid w:val="00E63DEB"/>
    <w:rsid w:val="00E63F41"/>
    <w:rsid w:val="00E63F79"/>
    <w:rsid w:val="00E640B4"/>
    <w:rsid w:val="00E643AA"/>
    <w:rsid w:val="00E648C1"/>
    <w:rsid w:val="00E64C03"/>
    <w:rsid w:val="00E64F6E"/>
    <w:rsid w:val="00E657D1"/>
    <w:rsid w:val="00E659DD"/>
    <w:rsid w:val="00E65A7B"/>
    <w:rsid w:val="00E65C15"/>
    <w:rsid w:val="00E65DBF"/>
    <w:rsid w:val="00E660E5"/>
    <w:rsid w:val="00E661F1"/>
    <w:rsid w:val="00E664D8"/>
    <w:rsid w:val="00E665D1"/>
    <w:rsid w:val="00E66CF7"/>
    <w:rsid w:val="00E6737A"/>
    <w:rsid w:val="00E6759B"/>
    <w:rsid w:val="00E675D5"/>
    <w:rsid w:val="00E67C11"/>
    <w:rsid w:val="00E67E23"/>
    <w:rsid w:val="00E67EAF"/>
    <w:rsid w:val="00E67FCB"/>
    <w:rsid w:val="00E70012"/>
    <w:rsid w:val="00E7047E"/>
    <w:rsid w:val="00E70A88"/>
    <w:rsid w:val="00E70B6D"/>
    <w:rsid w:val="00E70D03"/>
    <w:rsid w:val="00E70E44"/>
    <w:rsid w:val="00E70F7F"/>
    <w:rsid w:val="00E70FF1"/>
    <w:rsid w:val="00E71236"/>
    <w:rsid w:val="00E715B6"/>
    <w:rsid w:val="00E71943"/>
    <w:rsid w:val="00E71CCA"/>
    <w:rsid w:val="00E71EEE"/>
    <w:rsid w:val="00E72806"/>
    <w:rsid w:val="00E72864"/>
    <w:rsid w:val="00E72959"/>
    <w:rsid w:val="00E72A3C"/>
    <w:rsid w:val="00E72B3B"/>
    <w:rsid w:val="00E72CA7"/>
    <w:rsid w:val="00E72DA9"/>
    <w:rsid w:val="00E72E2B"/>
    <w:rsid w:val="00E740D5"/>
    <w:rsid w:val="00E7448C"/>
    <w:rsid w:val="00E7456C"/>
    <w:rsid w:val="00E74760"/>
    <w:rsid w:val="00E74865"/>
    <w:rsid w:val="00E74986"/>
    <w:rsid w:val="00E74C1B"/>
    <w:rsid w:val="00E75577"/>
    <w:rsid w:val="00E755E9"/>
    <w:rsid w:val="00E7573E"/>
    <w:rsid w:val="00E75CC9"/>
    <w:rsid w:val="00E75CD4"/>
    <w:rsid w:val="00E75FD3"/>
    <w:rsid w:val="00E760DE"/>
    <w:rsid w:val="00E761ED"/>
    <w:rsid w:val="00E76321"/>
    <w:rsid w:val="00E7639C"/>
    <w:rsid w:val="00E766C5"/>
    <w:rsid w:val="00E76899"/>
    <w:rsid w:val="00E76B19"/>
    <w:rsid w:val="00E76C2A"/>
    <w:rsid w:val="00E7716C"/>
    <w:rsid w:val="00E77285"/>
    <w:rsid w:val="00E77594"/>
    <w:rsid w:val="00E777C7"/>
    <w:rsid w:val="00E77915"/>
    <w:rsid w:val="00E77C2A"/>
    <w:rsid w:val="00E77F05"/>
    <w:rsid w:val="00E77F5D"/>
    <w:rsid w:val="00E80300"/>
    <w:rsid w:val="00E80671"/>
    <w:rsid w:val="00E80B28"/>
    <w:rsid w:val="00E812CD"/>
    <w:rsid w:val="00E815B6"/>
    <w:rsid w:val="00E815F0"/>
    <w:rsid w:val="00E816C2"/>
    <w:rsid w:val="00E8185C"/>
    <w:rsid w:val="00E81871"/>
    <w:rsid w:val="00E8199E"/>
    <w:rsid w:val="00E81B66"/>
    <w:rsid w:val="00E81F78"/>
    <w:rsid w:val="00E8218C"/>
    <w:rsid w:val="00E8226A"/>
    <w:rsid w:val="00E822C6"/>
    <w:rsid w:val="00E823CD"/>
    <w:rsid w:val="00E8256D"/>
    <w:rsid w:val="00E825E6"/>
    <w:rsid w:val="00E827D5"/>
    <w:rsid w:val="00E82864"/>
    <w:rsid w:val="00E82BE2"/>
    <w:rsid w:val="00E82DD8"/>
    <w:rsid w:val="00E82E4A"/>
    <w:rsid w:val="00E82EE5"/>
    <w:rsid w:val="00E82F84"/>
    <w:rsid w:val="00E831FF"/>
    <w:rsid w:val="00E83200"/>
    <w:rsid w:val="00E833E9"/>
    <w:rsid w:val="00E8353B"/>
    <w:rsid w:val="00E83810"/>
    <w:rsid w:val="00E83A07"/>
    <w:rsid w:val="00E8415A"/>
    <w:rsid w:val="00E841C9"/>
    <w:rsid w:val="00E841D6"/>
    <w:rsid w:val="00E84214"/>
    <w:rsid w:val="00E84593"/>
    <w:rsid w:val="00E8479C"/>
    <w:rsid w:val="00E85199"/>
    <w:rsid w:val="00E85261"/>
    <w:rsid w:val="00E85360"/>
    <w:rsid w:val="00E85551"/>
    <w:rsid w:val="00E8559D"/>
    <w:rsid w:val="00E85B9E"/>
    <w:rsid w:val="00E86286"/>
    <w:rsid w:val="00E865A0"/>
    <w:rsid w:val="00E865E2"/>
    <w:rsid w:val="00E86808"/>
    <w:rsid w:val="00E86D4A"/>
    <w:rsid w:val="00E86F4B"/>
    <w:rsid w:val="00E86FEC"/>
    <w:rsid w:val="00E87117"/>
    <w:rsid w:val="00E8735A"/>
    <w:rsid w:val="00E87487"/>
    <w:rsid w:val="00E87532"/>
    <w:rsid w:val="00E87548"/>
    <w:rsid w:val="00E87A94"/>
    <w:rsid w:val="00E87DE2"/>
    <w:rsid w:val="00E87E9D"/>
    <w:rsid w:val="00E87EA0"/>
    <w:rsid w:val="00E902A0"/>
    <w:rsid w:val="00E90613"/>
    <w:rsid w:val="00E90840"/>
    <w:rsid w:val="00E90A23"/>
    <w:rsid w:val="00E90C6F"/>
    <w:rsid w:val="00E90E29"/>
    <w:rsid w:val="00E910A4"/>
    <w:rsid w:val="00E910BB"/>
    <w:rsid w:val="00E911B0"/>
    <w:rsid w:val="00E916CC"/>
    <w:rsid w:val="00E91965"/>
    <w:rsid w:val="00E91A57"/>
    <w:rsid w:val="00E91C87"/>
    <w:rsid w:val="00E91D41"/>
    <w:rsid w:val="00E91E8D"/>
    <w:rsid w:val="00E923A4"/>
    <w:rsid w:val="00E924FA"/>
    <w:rsid w:val="00E929FF"/>
    <w:rsid w:val="00E92E0A"/>
    <w:rsid w:val="00E9324A"/>
    <w:rsid w:val="00E93410"/>
    <w:rsid w:val="00E9343A"/>
    <w:rsid w:val="00E937BC"/>
    <w:rsid w:val="00E93AC5"/>
    <w:rsid w:val="00E93B78"/>
    <w:rsid w:val="00E93C73"/>
    <w:rsid w:val="00E93F89"/>
    <w:rsid w:val="00E9446F"/>
    <w:rsid w:val="00E946EA"/>
    <w:rsid w:val="00E94804"/>
    <w:rsid w:val="00E949CA"/>
    <w:rsid w:val="00E94ADA"/>
    <w:rsid w:val="00E94C02"/>
    <w:rsid w:val="00E94C0E"/>
    <w:rsid w:val="00E94DEB"/>
    <w:rsid w:val="00E94E1F"/>
    <w:rsid w:val="00E94F60"/>
    <w:rsid w:val="00E95675"/>
    <w:rsid w:val="00E957E3"/>
    <w:rsid w:val="00E958F0"/>
    <w:rsid w:val="00E95FD2"/>
    <w:rsid w:val="00E9602E"/>
    <w:rsid w:val="00E960DC"/>
    <w:rsid w:val="00E962E3"/>
    <w:rsid w:val="00E964BF"/>
    <w:rsid w:val="00E9662A"/>
    <w:rsid w:val="00E9680E"/>
    <w:rsid w:val="00E96C08"/>
    <w:rsid w:val="00E96CE5"/>
    <w:rsid w:val="00E96E67"/>
    <w:rsid w:val="00E96ECF"/>
    <w:rsid w:val="00E974AC"/>
    <w:rsid w:val="00E97607"/>
    <w:rsid w:val="00E977B7"/>
    <w:rsid w:val="00E979E2"/>
    <w:rsid w:val="00E97A38"/>
    <w:rsid w:val="00E97F18"/>
    <w:rsid w:val="00EA0062"/>
    <w:rsid w:val="00EA02D6"/>
    <w:rsid w:val="00EA058F"/>
    <w:rsid w:val="00EA0638"/>
    <w:rsid w:val="00EA0BEF"/>
    <w:rsid w:val="00EA0C59"/>
    <w:rsid w:val="00EA0E5D"/>
    <w:rsid w:val="00EA13C7"/>
    <w:rsid w:val="00EA14BB"/>
    <w:rsid w:val="00EA1530"/>
    <w:rsid w:val="00EA1605"/>
    <w:rsid w:val="00EA17E5"/>
    <w:rsid w:val="00EA19C4"/>
    <w:rsid w:val="00EA1F47"/>
    <w:rsid w:val="00EA213F"/>
    <w:rsid w:val="00EA216A"/>
    <w:rsid w:val="00EA21AE"/>
    <w:rsid w:val="00EA22B8"/>
    <w:rsid w:val="00EA2824"/>
    <w:rsid w:val="00EA290D"/>
    <w:rsid w:val="00EA2B8F"/>
    <w:rsid w:val="00EA309D"/>
    <w:rsid w:val="00EA3459"/>
    <w:rsid w:val="00EA364D"/>
    <w:rsid w:val="00EA3749"/>
    <w:rsid w:val="00EA3798"/>
    <w:rsid w:val="00EA383E"/>
    <w:rsid w:val="00EA3B8E"/>
    <w:rsid w:val="00EA41EA"/>
    <w:rsid w:val="00EA4432"/>
    <w:rsid w:val="00EA4596"/>
    <w:rsid w:val="00EA4636"/>
    <w:rsid w:val="00EA479C"/>
    <w:rsid w:val="00EA479D"/>
    <w:rsid w:val="00EA4873"/>
    <w:rsid w:val="00EA4AD6"/>
    <w:rsid w:val="00EA4B03"/>
    <w:rsid w:val="00EA4B3A"/>
    <w:rsid w:val="00EA4C78"/>
    <w:rsid w:val="00EA4EF5"/>
    <w:rsid w:val="00EA5368"/>
    <w:rsid w:val="00EA588D"/>
    <w:rsid w:val="00EA58B9"/>
    <w:rsid w:val="00EA5EB6"/>
    <w:rsid w:val="00EA5EB7"/>
    <w:rsid w:val="00EA5F2A"/>
    <w:rsid w:val="00EA6107"/>
    <w:rsid w:val="00EA6282"/>
    <w:rsid w:val="00EA643B"/>
    <w:rsid w:val="00EA6798"/>
    <w:rsid w:val="00EA6821"/>
    <w:rsid w:val="00EA6940"/>
    <w:rsid w:val="00EA6AFC"/>
    <w:rsid w:val="00EA6C13"/>
    <w:rsid w:val="00EA6E60"/>
    <w:rsid w:val="00EA6E63"/>
    <w:rsid w:val="00EA747C"/>
    <w:rsid w:val="00EA757E"/>
    <w:rsid w:val="00EA766A"/>
    <w:rsid w:val="00EA7ACB"/>
    <w:rsid w:val="00EA7B99"/>
    <w:rsid w:val="00EA7C0B"/>
    <w:rsid w:val="00EA7C5B"/>
    <w:rsid w:val="00EA7D5A"/>
    <w:rsid w:val="00EA7E46"/>
    <w:rsid w:val="00EA7FA3"/>
    <w:rsid w:val="00EB004E"/>
    <w:rsid w:val="00EB01B4"/>
    <w:rsid w:val="00EB0359"/>
    <w:rsid w:val="00EB04FB"/>
    <w:rsid w:val="00EB0801"/>
    <w:rsid w:val="00EB08F6"/>
    <w:rsid w:val="00EB090A"/>
    <w:rsid w:val="00EB0B51"/>
    <w:rsid w:val="00EB0C46"/>
    <w:rsid w:val="00EB0DF8"/>
    <w:rsid w:val="00EB0F91"/>
    <w:rsid w:val="00EB0FD6"/>
    <w:rsid w:val="00EB153E"/>
    <w:rsid w:val="00EB1567"/>
    <w:rsid w:val="00EB163E"/>
    <w:rsid w:val="00EB1820"/>
    <w:rsid w:val="00EB18ED"/>
    <w:rsid w:val="00EB1E42"/>
    <w:rsid w:val="00EB1EA8"/>
    <w:rsid w:val="00EB1F84"/>
    <w:rsid w:val="00EB214D"/>
    <w:rsid w:val="00EB2365"/>
    <w:rsid w:val="00EB261F"/>
    <w:rsid w:val="00EB2638"/>
    <w:rsid w:val="00EB28F5"/>
    <w:rsid w:val="00EB2CC1"/>
    <w:rsid w:val="00EB2EAE"/>
    <w:rsid w:val="00EB2EBD"/>
    <w:rsid w:val="00EB2F8D"/>
    <w:rsid w:val="00EB3533"/>
    <w:rsid w:val="00EB360F"/>
    <w:rsid w:val="00EB3A31"/>
    <w:rsid w:val="00EB3EA5"/>
    <w:rsid w:val="00EB436E"/>
    <w:rsid w:val="00EB43BD"/>
    <w:rsid w:val="00EB45A0"/>
    <w:rsid w:val="00EB4E16"/>
    <w:rsid w:val="00EB50EE"/>
    <w:rsid w:val="00EB528F"/>
    <w:rsid w:val="00EB52CE"/>
    <w:rsid w:val="00EB5600"/>
    <w:rsid w:val="00EB5604"/>
    <w:rsid w:val="00EB5A5D"/>
    <w:rsid w:val="00EB5ADC"/>
    <w:rsid w:val="00EB5D9D"/>
    <w:rsid w:val="00EB61E3"/>
    <w:rsid w:val="00EB65DE"/>
    <w:rsid w:val="00EB6ADB"/>
    <w:rsid w:val="00EB7246"/>
    <w:rsid w:val="00EB7650"/>
    <w:rsid w:val="00EB766B"/>
    <w:rsid w:val="00EB76D1"/>
    <w:rsid w:val="00EB771F"/>
    <w:rsid w:val="00EB7853"/>
    <w:rsid w:val="00EB7961"/>
    <w:rsid w:val="00EB7A3D"/>
    <w:rsid w:val="00EB7C87"/>
    <w:rsid w:val="00EB7E7D"/>
    <w:rsid w:val="00EB7F27"/>
    <w:rsid w:val="00EC07AE"/>
    <w:rsid w:val="00EC0CB7"/>
    <w:rsid w:val="00EC0DA8"/>
    <w:rsid w:val="00EC0F29"/>
    <w:rsid w:val="00EC112A"/>
    <w:rsid w:val="00EC11EE"/>
    <w:rsid w:val="00EC13DC"/>
    <w:rsid w:val="00EC15E0"/>
    <w:rsid w:val="00EC166E"/>
    <w:rsid w:val="00EC1845"/>
    <w:rsid w:val="00EC1BEC"/>
    <w:rsid w:val="00EC1D0C"/>
    <w:rsid w:val="00EC1EAC"/>
    <w:rsid w:val="00EC1F40"/>
    <w:rsid w:val="00EC1F9D"/>
    <w:rsid w:val="00EC2150"/>
    <w:rsid w:val="00EC2375"/>
    <w:rsid w:val="00EC270F"/>
    <w:rsid w:val="00EC2749"/>
    <w:rsid w:val="00EC2CA0"/>
    <w:rsid w:val="00EC2CAB"/>
    <w:rsid w:val="00EC31C9"/>
    <w:rsid w:val="00EC350B"/>
    <w:rsid w:val="00EC3660"/>
    <w:rsid w:val="00EC3C99"/>
    <w:rsid w:val="00EC3DF4"/>
    <w:rsid w:val="00EC42C6"/>
    <w:rsid w:val="00EC4758"/>
    <w:rsid w:val="00EC497D"/>
    <w:rsid w:val="00EC4B14"/>
    <w:rsid w:val="00EC4BDC"/>
    <w:rsid w:val="00EC4BE3"/>
    <w:rsid w:val="00EC4C7B"/>
    <w:rsid w:val="00EC4CD1"/>
    <w:rsid w:val="00EC4EB9"/>
    <w:rsid w:val="00EC5008"/>
    <w:rsid w:val="00EC5278"/>
    <w:rsid w:val="00EC54A3"/>
    <w:rsid w:val="00EC54E1"/>
    <w:rsid w:val="00EC56F8"/>
    <w:rsid w:val="00EC5C7C"/>
    <w:rsid w:val="00EC617A"/>
    <w:rsid w:val="00EC6419"/>
    <w:rsid w:val="00EC649D"/>
    <w:rsid w:val="00EC64C1"/>
    <w:rsid w:val="00EC6838"/>
    <w:rsid w:val="00EC6A46"/>
    <w:rsid w:val="00EC6B13"/>
    <w:rsid w:val="00EC6E18"/>
    <w:rsid w:val="00EC6EAD"/>
    <w:rsid w:val="00EC729A"/>
    <w:rsid w:val="00EC7397"/>
    <w:rsid w:val="00EC73EB"/>
    <w:rsid w:val="00EC78C4"/>
    <w:rsid w:val="00EC7915"/>
    <w:rsid w:val="00EC7942"/>
    <w:rsid w:val="00EC7A9A"/>
    <w:rsid w:val="00ED0029"/>
    <w:rsid w:val="00ED0437"/>
    <w:rsid w:val="00ED062C"/>
    <w:rsid w:val="00ED08CF"/>
    <w:rsid w:val="00ED0A74"/>
    <w:rsid w:val="00ED0C60"/>
    <w:rsid w:val="00ED0EFD"/>
    <w:rsid w:val="00ED1016"/>
    <w:rsid w:val="00ED102F"/>
    <w:rsid w:val="00ED1420"/>
    <w:rsid w:val="00ED14C6"/>
    <w:rsid w:val="00ED15CA"/>
    <w:rsid w:val="00ED1718"/>
    <w:rsid w:val="00ED177D"/>
    <w:rsid w:val="00ED1C4D"/>
    <w:rsid w:val="00ED212C"/>
    <w:rsid w:val="00ED2376"/>
    <w:rsid w:val="00ED29C7"/>
    <w:rsid w:val="00ED2B2F"/>
    <w:rsid w:val="00ED2C74"/>
    <w:rsid w:val="00ED324C"/>
    <w:rsid w:val="00ED3868"/>
    <w:rsid w:val="00ED39FC"/>
    <w:rsid w:val="00ED3BBA"/>
    <w:rsid w:val="00ED3C80"/>
    <w:rsid w:val="00ED3DEC"/>
    <w:rsid w:val="00ED3E62"/>
    <w:rsid w:val="00ED3E92"/>
    <w:rsid w:val="00ED4020"/>
    <w:rsid w:val="00ED4247"/>
    <w:rsid w:val="00ED42FF"/>
    <w:rsid w:val="00ED4574"/>
    <w:rsid w:val="00ED46B1"/>
    <w:rsid w:val="00ED4BB6"/>
    <w:rsid w:val="00ED4D77"/>
    <w:rsid w:val="00ED512D"/>
    <w:rsid w:val="00ED5205"/>
    <w:rsid w:val="00ED5393"/>
    <w:rsid w:val="00ED5DAD"/>
    <w:rsid w:val="00ED5F81"/>
    <w:rsid w:val="00ED6012"/>
    <w:rsid w:val="00ED63ED"/>
    <w:rsid w:val="00ED6A12"/>
    <w:rsid w:val="00ED6ABF"/>
    <w:rsid w:val="00ED7006"/>
    <w:rsid w:val="00ED7242"/>
    <w:rsid w:val="00ED7438"/>
    <w:rsid w:val="00ED75F5"/>
    <w:rsid w:val="00ED7804"/>
    <w:rsid w:val="00ED7805"/>
    <w:rsid w:val="00ED7B0D"/>
    <w:rsid w:val="00ED7BB8"/>
    <w:rsid w:val="00EE00CC"/>
    <w:rsid w:val="00EE05CD"/>
    <w:rsid w:val="00EE07D2"/>
    <w:rsid w:val="00EE0CC5"/>
    <w:rsid w:val="00EE0D9C"/>
    <w:rsid w:val="00EE1109"/>
    <w:rsid w:val="00EE128A"/>
    <w:rsid w:val="00EE14B4"/>
    <w:rsid w:val="00EE17C9"/>
    <w:rsid w:val="00EE1921"/>
    <w:rsid w:val="00EE1973"/>
    <w:rsid w:val="00EE19C4"/>
    <w:rsid w:val="00EE1B43"/>
    <w:rsid w:val="00EE1F56"/>
    <w:rsid w:val="00EE2425"/>
    <w:rsid w:val="00EE28DE"/>
    <w:rsid w:val="00EE28E4"/>
    <w:rsid w:val="00EE2AD4"/>
    <w:rsid w:val="00EE3187"/>
    <w:rsid w:val="00EE35B1"/>
    <w:rsid w:val="00EE399A"/>
    <w:rsid w:val="00EE3C0B"/>
    <w:rsid w:val="00EE3C7F"/>
    <w:rsid w:val="00EE3C91"/>
    <w:rsid w:val="00EE3D3D"/>
    <w:rsid w:val="00EE3DB3"/>
    <w:rsid w:val="00EE3DE1"/>
    <w:rsid w:val="00EE40C4"/>
    <w:rsid w:val="00EE4781"/>
    <w:rsid w:val="00EE4853"/>
    <w:rsid w:val="00EE4896"/>
    <w:rsid w:val="00EE4E2A"/>
    <w:rsid w:val="00EE4FBF"/>
    <w:rsid w:val="00EE5243"/>
    <w:rsid w:val="00EE56AB"/>
    <w:rsid w:val="00EE57C8"/>
    <w:rsid w:val="00EE587D"/>
    <w:rsid w:val="00EE5A20"/>
    <w:rsid w:val="00EE5C12"/>
    <w:rsid w:val="00EE5C35"/>
    <w:rsid w:val="00EE5EF9"/>
    <w:rsid w:val="00EE5F1A"/>
    <w:rsid w:val="00EE5F75"/>
    <w:rsid w:val="00EE5F9E"/>
    <w:rsid w:val="00EE614F"/>
    <w:rsid w:val="00EE619A"/>
    <w:rsid w:val="00EE61DD"/>
    <w:rsid w:val="00EE6280"/>
    <w:rsid w:val="00EE63B4"/>
    <w:rsid w:val="00EE64B3"/>
    <w:rsid w:val="00EE6EF1"/>
    <w:rsid w:val="00EE7395"/>
    <w:rsid w:val="00EE73C5"/>
    <w:rsid w:val="00EE7818"/>
    <w:rsid w:val="00EE7898"/>
    <w:rsid w:val="00EE7C00"/>
    <w:rsid w:val="00EE7F90"/>
    <w:rsid w:val="00EF0289"/>
    <w:rsid w:val="00EF0522"/>
    <w:rsid w:val="00EF0721"/>
    <w:rsid w:val="00EF090A"/>
    <w:rsid w:val="00EF0C59"/>
    <w:rsid w:val="00EF0FFA"/>
    <w:rsid w:val="00EF12BF"/>
    <w:rsid w:val="00EF12D7"/>
    <w:rsid w:val="00EF12F7"/>
    <w:rsid w:val="00EF1747"/>
    <w:rsid w:val="00EF1DEB"/>
    <w:rsid w:val="00EF1E90"/>
    <w:rsid w:val="00EF1F6C"/>
    <w:rsid w:val="00EF23C1"/>
    <w:rsid w:val="00EF2834"/>
    <w:rsid w:val="00EF2941"/>
    <w:rsid w:val="00EF2A17"/>
    <w:rsid w:val="00EF2A72"/>
    <w:rsid w:val="00EF2A8B"/>
    <w:rsid w:val="00EF2FF7"/>
    <w:rsid w:val="00EF3016"/>
    <w:rsid w:val="00EF330C"/>
    <w:rsid w:val="00EF3420"/>
    <w:rsid w:val="00EF3807"/>
    <w:rsid w:val="00EF385F"/>
    <w:rsid w:val="00EF3DF8"/>
    <w:rsid w:val="00EF3F61"/>
    <w:rsid w:val="00EF4184"/>
    <w:rsid w:val="00EF4569"/>
    <w:rsid w:val="00EF45F5"/>
    <w:rsid w:val="00EF4797"/>
    <w:rsid w:val="00EF49EB"/>
    <w:rsid w:val="00EF4A36"/>
    <w:rsid w:val="00EF4C1B"/>
    <w:rsid w:val="00EF4D0F"/>
    <w:rsid w:val="00EF4F63"/>
    <w:rsid w:val="00EF5144"/>
    <w:rsid w:val="00EF56B3"/>
    <w:rsid w:val="00EF59D0"/>
    <w:rsid w:val="00EF5A7D"/>
    <w:rsid w:val="00EF62EA"/>
    <w:rsid w:val="00EF6764"/>
    <w:rsid w:val="00EF67E5"/>
    <w:rsid w:val="00EF6943"/>
    <w:rsid w:val="00EF6CA2"/>
    <w:rsid w:val="00EF6E6A"/>
    <w:rsid w:val="00EF707B"/>
    <w:rsid w:val="00EF7A4C"/>
    <w:rsid w:val="00EF7B26"/>
    <w:rsid w:val="00EF7CAD"/>
    <w:rsid w:val="00EF7DF3"/>
    <w:rsid w:val="00F0082D"/>
    <w:rsid w:val="00F00B91"/>
    <w:rsid w:val="00F00D9B"/>
    <w:rsid w:val="00F00DE5"/>
    <w:rsid w:val="00F00E5A"/>
    <w:rsid w:val="00F01257"/>
    <w:rsid w:val="00F02011"/>
    <w:rsid w:val="00F02019"/>
    <w:rsid w:val="00F02483"/>
    <w:rsid w:val="00F02812"/>
    <w:rsid w:val="00F02986"/>
    <w:rsid w:val="00F029F8"/>
    <w:rsid w:val="00F02A46"/>
    <w:rsid w:val="00F02AAA"/>
    <w:rsid w:val="00F02D3F"/>
    <w:rsid w:val="00F02E9F"/>
    <w:rsid w:val="00F03146"/>
    <w:rsid w:val="00F0342B"/>
    <w:rsid w:val="00F03638"/>
    <w:rsid w:val="00F03B44"/>
    <w:rsid w:val="00F03D1A"/>
    <w:rsid w:val="00F03EE9"/>
    <w:rsid w:val="00F04044"/>
    <w:rsid w:val="00F04049"/>
    <w:rsid w:val="00F04369"/>
    <w:rsid w:val="00F04762"/>
    <w:rsid w:val="00F04BA3"/>
    <w:rsid w:val="00F04C71"/>
    <w:rsid w:val="00F04CCD"/>
    <w:rsid w:val="00F054AC"/>
    <w:rsid w:val="00F05655"/>
    <w:rsid w:val="00F05C69"/>
    <w:rsid w:val="00F05CB3"/>
    <w:rsid w:val="00F05D10"/>
    <w:rsid w:val="00F061BF"/>
    <w:rsid w:val="00F0637B"/>
    <w:rsid w:val="00F06434"/>
    <w:rsid w:val="00F064B5"/>
    <w:rsid w:val="00F06776"/>
    <w:rsid w:val="00F069D7"/>
    <w:rsid w:val="00F06A51"/>
    <w:rsid w:val="00F06C9C"/>
    <w:rsid w:val="00F06DDA"/>
    <w:rsid w:val="00F06E00"/>
    <w:rsid w:val="00F06E1A"/>
    <w:rsid w:val="00F06F40"/>
    <w:rsid w:val="00F070EB"/>
    <w:rsid w:val="00F07164"/>
    <w:rsid w:val="00F07275"/>
    <w:rsid w:val="00F0753F"/>
    <w:rsid w:val="00F07546"/>
    <w:rsid w:val="00F0755B"/>
    <w:rsid w:val="00F07979"/>
    <w:rsid w:val="00F07DE5"/>
    <w:rsid w:val="00F1077D"/>
    <w:rsid w:val="00F10C21"/>
    <w:rsid w:val="00F10C76"/>
    <w:rsid w:val="00F10D31"/>
    <w:rsid w:val="00F10D93"/>
    <w:rsid w:val="00F10ECE"/>
    <w:rsid w:val="00F1122F"/>
    <w:rsid w:val="00F1125B"/>
    <w:rsid w:val="00F112B7"/>
    <w:rsid w:val="00F1172E"/>
    <w:rsid w:val="00F11AAA"/>
    <w:rsid w:val="00F11B7B"/>
    <w:rsid w:val="00F11C24"/>
    <w:rsid w:val="00F11D2E"/>
    <w:rsid w:val="00F11FB3"/>
    <w:rsid w:val="00F12403"/>
    <w:rsid w:val="00F12596"/>
    <w:rsid w:val="00F125DA"/>
    <w:rsid w:val="00F128F8"/>
    <w:rsid w:val="00F1295B"/>
    <w:rsid w:val="00F12A7B"/>
    <w:rsid w:val="00F12B33"/>
    <w:rsid w:val="00F12BA9"/>
    <w:rsid w:val="00F12D3B"/>
    <w:rsid w:val="00F1348F"/>
    <w:rsid w:val="00F13731"/>
    <w:rsid w:val="00F137A5"/>
    <w:rsid w:val="00F13880"/>
    <w:rsid w:val="00F13B5B"/>
    <w:rsid w:val="00F13B94"/>
    <w:rsid w:val="00F13C10"/>
    <w:rsid w:val="00F13FF0"/>
    <w:rsid w:val="00F14223"/>
    <w:rsid w:val="00F142D3"/>
    <w:rsid w:val="00F1439F"/>
    <w:rsid w:val="00F14502"/>
    <w:rsid w:val="00F14599"/>
    <w:rsid w:val="00F14674"/>
    <w:rsid w:val="00F146DE"/>
    <w:rsid w:val="00F148D9"/>
    <w:rsid w:val="00F14A7F"/>
    <w:rsid w:val="00F14BA4"/>
    <w:rsid w:val="00F14DC8"/>
    <w:rsid w:val="00F15196"/>
    <w:rsid w:val="00F153C9"/>
    <w:rsid w:val="00F155EF"/>
    <w:rsid w:val="00F156E0"/>
    <w:rsid w:val="00F159C9"/>
    <w:rsid w:val="00F15BD6"/>
    <w:rsid w:val="00F15E04"/>
    <w:rsid w:val="00F15EA1"/>
    <w:rsid w:val="00F1604E"/>
    <w:rsid w:val="00F1637F"/>
    <w:rsid w:val="00F16506"/>
    <w:rsid w:val="00F165B5"/>
    <w:rsid w:val="00F16680"/>
    <w:rsid w:val="00F169BF"/>
    <w:rsid w:val="00F16CAF"/>
    <w:rsid w:val="00F16CE8"/>
    <w:rsid w:val="00F16F59"/>
    <w:rsid w:val="00F1714C"/>
    <w:rsid w:val="00F17297"/>
    <w:rsid w:val="00F173CD"/>
    <w:rsid w:val="00F17502"/>
    <w:rsid w:val="00F17616"/>
    <w:rsid w:val="00F176C6"/>
    <w:rsid w:val="00F178AD"/>
    <w:rsid w:val="00F178D7"/>
    <w:rsid w:val="00F178DE"/>
    <w:rsid w:val="00F178FB"/>
    <w:rsid w:val="00F179A0"/>
    <w:rsid w:val="00F17AF4"/>
    <w:rsid w:val="00F17BCA"/>
    <w:rsid w:val="00F17D97"/>
    <w:rsid w:val="00F17DC4"/>
    <w:rsid w:val="00F20214"/>
    <w:rsid w:val="00F20631"/>
    <w:rsid w:val="00F2083D"/>
    <w:rsid w:val="00F208D9"/>
    <w:rsid w:val="00F20B1E"/>
    <w:rsid w:val="00F20DDB"/>
    <w:rsid w:val="00F20EB4"/>
    <w:rsid w:val="00F21038"/>
    <w:rsid w:val="00F21177"/>
    <w:rsid w:val="00F21261"/>
    <w:rsid w:val="00F212CD"/>
    <w:rsid w:val="00F21379"/>
    <w:rsid w:val="00F218A7"/>
    <w:rsid w:val="00F21BD3"/>
    <w:rsid w:val="00F21C48"/>
    <w:rsid w:val="00F21C61"/>
    <w:rsid w:val="00F21EA3"/>
    <w:rsid w:val="00F21F78"/>
    <w:rsid w:val="00F21FF8"/>
    <w:rsid w:val="00F220E9"/>
    <w:rsid w:val="00F22A2C"/>
    <w:rsid w:val="00F22A98"/>
    <w:rsid w:val="00F22E59"/>
    <w:rsid w:val="00F22E72"/>
    <w:rsid w:val="00F22F08"/>
    <w:rsid w:val="00F22F60"/>
    <w:rsid w:val="00F233BB"/>
    <w:rsid w:val="00F233C8"/>
    <w:rsid w:val="00F23658"/>
    <w:rsid w:val="00F2374D"/>
    <w:rsid w:val="00F23F70"/>
    <w:rsid w:val="00F2404C"/>
    <w:rsid w:val="00F240E9"/>
    <w:rsid w:val="00F241A9"/>
    <w:rsid w:val="00F241AE"/>
    <w:rsid w:val="00F242A5"/>
    <w:rsid w:val="00F24311"/>
    <w:rsid w:val="00F2458D"/>
    <w:rsid w:val="00F24A8E"/>
    <w:rsid w:val="00F24BCA"/>
    <w:rsid w:val="00F24CA9"/>
    <w:rsid w:val="00F25135"/>
    <w:rsid w:val="00F253C6"/>
    <w:rsid w:val="00F253E7"/>
    <w:rsid w:val="00F2549F"/>
    <w:rsid w:val="00F25946"/>
    <w:rsid w:val="00F25C2F"/>
    <w:rsid w:val="00F25F5A"/>
    <w:rsid w:val="00F2650C"/>
    <w:rsid w:val="00F265F1"/>
    <w:rsid w:val="00F26649"/>
    <w:rsid w:val="00F267F0"/>
    <w:rsid w:val="00F26956"/>
    <w:rsid w:val="00F26BAB"/>
    <w:rsid w:val="00F26D68"/>
    <w:rsid w:val="00F27018"/>
    <w:rsid w:val="00F2736E"/>
    <w:rsid w:val="00F2739E"/>
    <w:rsid w:val="00F27638"/>
    <w:rsid w:val="00F27669"/>
    <w:rsid w:val="00F27814"/>
    <w:rsid w:val="00F27819"/>
    <w:rsid w:val="00F27D17"/>
    <w:rsid w:val="00F27FAD"/>
    <w:rsid w:val="00F302EA"/>
    <w:rsid w:val="00F304DC"/>
    <w:rsid w:val="00F30827"/>
    <w:rsid w:val="00F30C76"/>
    <w:rsid w:val="00F30DE3"/>
    <w:rsid w:val="00F30F2F"/>
    <w:rsid w:val="00F3123E"/>
    <w:rsid w:val="00F31549"/>
    <w:rsid w:val="00F31562"/>
    <w:rsid w:val="00F3178F"/>
    <w:rsid w:val="00F319CF"/>
    <w:rsid w:val="00F31AD5"/>
    <w:rsid w:val="00F31BEA"/>
    <w:rsid w:val="00F31BFC"/>
    <w:rsid w:val="00F32378"/>
    <w:rsid w:val="00F32392"/>
    <w:rsid w:val="00F327CB"/>
    <w:rsid w:val="00F328CB"/>
    <w:rsid w:val="00F32A70"/>
    <w:rsid w:val="00F33169"/>
    <w:rsid w:val="00F335CB"/>
    <w:rsid w:val="00F3365C"/>
    <w:rsid w:val="00F33808"/>
    <w:rsid w:val="00F33957"/>
    <w:rsid w:val="00F3399E"/>
    <w:rsid w:val="00F33E39"/>
    <w:rsid w:val="00F34213"/>
    <w:rsid w:val="00F342E7"/>
    <w:rsid w:val="00F343AD"/>
    <w:rsid w:val="00F343B5"/>
    <w:rsid w:val="00F34754"/>
    <w:rsid w:val="00F347A1"/>
    <w:rsid w:val="00F34922"/>
    <w:rsid w:val="00F34EB5"/>
    <w:rsid w:val="00F34FD9"/>
    <w:rsid w:val="00F353A4"/>
    <w:rsid w:val="00F353E3"/>
    <w:rsid w:val="00F35517"/>
    <w:rsid w:val="00F35669"/>
    <w:rsid w:val="00F358D2"/>
    <w:rsid w:val="00F359DE"/>
    <w:rsid w:val="00F35AE7"/>
    <w:rsid w:val="00F35B3B"/>
    <w:rsid w:val="00F361F1"/>
    <w:rsid w:val="00F363F2"/>
    <w:rsid w:val="00F36418"/>
    <w:rsid w:val="00F365B4"/>
    <w:rsid w:val="00F365B6"/>
    <w:rsid w:val="00F368BB"/>
    <w:rsid w:val="00F3693B"/>
    <w:rsid w:val="00F36C86"/>
    <w:rsid w:val="00F36CA6"/>
    <w:rsid w:val="00F36E14"/>
    <w:rsid w:val="00F37033"/>
    <w:rsid w:val="00F371A1"/>
    <w:rsid w:val="00F3723C"/>
    <w:rsid w:val="00F37407"/>
    <w:rsid w:val="00F37457"/>
    <w:rsid w:val="00F3763F"/>
    <w:rsid w:val="00F376D5"/>
    <w:rsid w:val="00F37B64"/>
    <w:rsid w:val="00F37BC9"/>
    <w:rsid w:val="00F37DE4"/>
    <w:rsid w:val="00F37FCC"/>
    <w:rsid w:val="00F4001D"/>
    <w:rsid w:val="00F40254"/>
    <w:rsid w:val="00F40378"/>
    <w:rsid w:val="00F403AA"/>
    <w:rsid w:val="00F405BE"/>
    <w:rsid w:val="00F40660"/>
    <w:rsid w:val="00F40682"/>
    <w:rsid w:val="00F40835"/>
    <w:rsid w:val="00F40887"/>
    <w:rsid w:val="00F409E5"/>
    <w:rsid w:val="00F415FF"/>
    <w:rsid w:val="00F416CF"/>
    <w:rsid w:val="00F41BDF"/>
    <w:rsid w:val="00F41C77"/>
    <w:rsid w:val="00F41F10"/>
    <w:rsid w:val="00F4204B"/>
    <w:rsid w:val="00F42885"/>
    <w:rsid w:val="00F42AE8"/>
    <w:rsid w:val="00F42B88"/>
    <w:rsid w:val="00F42C92"/>
    <w:rsid w:val="00F42DC1"/>
    <w:rsid w:val="00F42F37"/>
    <w:rsid w:val="00F42FDB"/>
    <w:rsid w:val="00F430F8"/>
    <w:rsid w:val="00F432FF"/>
    <w:rsid w:val="00F43389"/>
    <w:rsid w:val="00F43511"/>
    <w:rsid w:val="00F4392B"/>
    <w:rsid w:val="00F43E1C"/>
    <w:rsid w:val="00F44066"/>
    <w:rsid w:val="00F440EE"/>
    <w:rsid w:val="00F44410"/>
    <w:rsid w:val="00F4447C"/>
    <w:rsid w:val="00F44749"/>
    <w:rsid w:val="00F44A27"/>
    <w:rsid w:val="00F44AF6"/>
    <w:rsid w:val="00F44BDB"/>
    <w:rsid w:val="00F44D50"/>
    <w:rsid w:val="00F44DA7"/>
    <w:rsid w:val="00F45111"/>
    <w:rsid w:val="00F4555D"/>
    <w:rsid w:val="00F45914"/>
    <w:rsid w:val="00F45A1F"/>
    <w:rsid w:val="00F45C1B"/>
    <w:rsid w:val="00F45C8F"/>
    <w:rsid w:val="00F45CB9"/>
    <w:rsid w:val="00F45F62"/>
    <w:rsid w:val="00F4616B"/>
    <w:rsid w:val="00F462C6"/>
    <w:rsid w:val="00F46309"/>
    <w:rsid w:val="00F46587"/>
    <w:rsid w:val="00F4678F"/>
    <w:rsid w:val="00F469F6"/>
    <w:rsid w:val="00F46ECA"/>
    <w:rsid w:val="00F470F9"/>
    <w:rsid w:val="00F472B7"/>
    <w:rsid w:val="00F47306"/>
    <w:rsid w:val="00F4741E"/>
    <w:rsid w:val="00F4749C"/>
    <w:rsid w:val="00F47601"/>
    <w:rsid w:val="00F4766A"/>
    <w:rsid w:val="00F4774F"/>
    <w:rsid w:val="00F47794"/>
    <w:rsid w:val="00F47860"/>
    <w:rsid w:val="00F47947"/>
    <w:rsid w:val="00F4798A"/>
    <w:rsid w:val="00F47A6E"/>
    <w:rsid w:val="00F47B74"/>
    <w:rsid w:val="00F47BC0"/>
    <w:rsid w:val="00F47DB1"/>
    <w:rsid w:val="00F47E36"/>
    <w:rsid w:val="00F47EF4"/>
    <w:rsid w:val="00F5016F"/>
    <w:rsid w:val="00F504E8"/>
    <w:rsid w:val="00F506B2"/>
    <w:rsid w:val="00F50926"/>
    <w:rsid w:val="00F50D2A"/>
    <w:rsid w:val="00F50F6B"/>
    <w:rsid w:val="00F5142D"/>
    <w:rsid w:val="00F5156E"/>
    <w:rsid w:val="00F51606"/>
    <w:rsid w:val="00F519C9"/>
    <w:rsid w:val="00F519D9"/>
    <w:rsid w:val="00F51A08"/>
    <w:rsid w:val="00F51EA5"/>
    <w:rsid w:val="00F5236F"/>
    <w:rsid w:val="00F524A0"/>
    <w:rsid w:val="00F524A1"/>
    <w:rsid w:val="00F52507"/>
    <w:rsid w:val="00F52580"/>
    <w:rsid w:val="00F528B3"/>
    <w:rsid w:val="00F52A35"/>
    <w:rsid w:val="00F52AA0"/>
    <w:rsid w:val="00F52D45"/>
    <w:rsid w:val="00F52DFF"/>
    <w:rsid w:val="00F53805"/>
    <w:rsid w:val="00F53882"/>
    <w:rsid w:val="00F538AE"/>
    <w:rsid w:val="00F540F7"/>
    <w:rsid w:val="00F54373"/>
    <w:rsid w:val="00F547AF"/>
    <w:rsid w:val="00F54844"/>
    <w:rsid w:val="00F554BF"/>
    <w:rsid w:val="00F5564C"/>
    <w:rsid w:val="00F556F7"/>
    <w:rsid w:val="00F55954"/>
    <w:rsid w:val="00F55D29"/>
    <w:rsid w:val="00F55E26"/>
    <w:rsid w:val="00F561E5"/>
    <w:rsid w:val="00F56814"/>
    <w:rsid w:val="00F56A3E"/>
    <w:rsid w:val="00F56A71"/>
    <w:rsid w:val="00F56A91"/>
    <w:rsid w:val="00F56A99"/>
    <w:rsid w:val="00F56C3F"/>
    <w:rsid w:val="00F56C6E"/>
    <w:rsid w:val="00F56D6D"/>
    <w:rsid w:val="00F56E26"/>
    <w:rsid w:val="00F56EA4"/>
    <w:rsid w:val="00F56EE3"/>
    <w:rsid w:val="00F5705F"/>
    <w:rsid w:val="00F572EE"/>
    <w:rsid w:val="00F5738C"/>
    <w:rsid w:val="00F573D5"/>
    <w:rsid w:val="00F57423"/>
    <w:rsid w:val="00F57768"/>
    <w:rsid w:val="00F5776D"/>
    <w:rsid w:val="00F5796B"/>
    <w:rsid w:val="00F57C73"/>
    <w:rsid w:val="00F57CED"/>
    <w:rsid w:val="00F601B6"/>
    <w:rsid w:val="00F60374"/>
    <w:rsid w:val="00F6038E"/>
    <w:rsid w:val="00F6056D"/>
    <w:rsid w:val="00F605DF"/>
    <w:rsid w:val="00F60AEF"/>
    <w:rsid w:val="00F60FFF"/>
    <w:rsid w:val="00F6114E"/>
    <w:rsid w:val="00F612D0"/>
    <w:rsid w:val="00F61436"/>
    <w:rsid w:val="00F61661"/>
    <w:rsid w:val="00F61738"/>
    <w:rsid w:val="00F619D2"/>
    <w:rsid w:val="00F61A7A"/>
    <w:rsid w:val="00F61A7C"/>
    <w:rsid w:val="00F61AEA"/>
    <w:rsid w:val="00F61E52"/>
    <w:rsid w:val="00F626C0"/>
    <w:rsid w:val="00F62882"/>
    <w:rsid w:val="00F62B84"/>
    <w:rsid w:val="00F62D0D"/>
    <w:rsid w:val="00F62FC9"/>
    <w:rsid w:val="00F6307E"/>
    <w:rsid w:val="00F632B7"/>
    <w:rsid w:val="00F635E1"/>
    <w:rsid w:val="00F63632"/>
    <w:rsid w:val="00F63647"/>
    <w:rsid w:val="00F63CEF"/>
    <w:rsid w:val="00F63F4D"/>
    <w:rsid w:val="00F63FAE"/>
    <w:rsid w:val="00F64028"/>
    <w:rsid w:val="00F6433D"/>
    <w:rsid w:val="00F645CE"/>
    <w:rsid w:val="00F6481A"/>
    <w:rsid w:val="00F648D7"/>
    <w:rsid w:val="00F6493A"/>
    <w:rsid w:val="00F64A36"/>
    <w:rsid w:val="00F64A78"/>
    <w:rsid w:val="00F64B19"/>
    <w:rsid w:val="00F64F39"/>
    <w:rsid w:val="00F65450"/>
    <w:rsid w:val="00F655C1"/>
    <w:rsid w:val="00F657D2"/>
    <w:rsid w:val="00F65B28"/>
    <w:rsid w:val="00F65D51"/>
    <w:rsid w:val="00F65EBD"/>
    <w:rsid w:val="00F65F18"/>
    <w:rsid w:val="00F65F9D"/>
    <w:rsid w:val="00F65FE9"/>
    <w:rsid w:val="00F66079"/>
    <w:rsid w:val="00F668C9"/>
    <w:rsid w:val="00F66953"/>
    <w:rsid w:val="00F66C05"/>
    <w:rsid w:val="00F66E96"/>
    <w:rsid w:val="00F66ECD"/>
    <w:rsid w:val="00F66EF8"/>
    <w:rsid w:val="00F67025"/>
    <w:rsid w:val="00F671C1"/>
    <w:rsid w:val="00F67409"/>
    <w:rsid w:val="00F674D3"/>
    <w:rsid w:val="00F6785D"/>
    <w:rsid w:val="00F679A9"/>
    <w:rsid w:val="00F679B0"/>
    <w:rsid w:val="00F67A7F"/>
    <w:rsid w:val="00F67BEE"/>
    <w:rsid w:val="00F67E5B"/>
    <w:rsid w:val="00F67F8F"/>
    <w:rsid w:val="00F701B5"/>
    <w:rsid w:val="00F70215"/>
    <w:rsid w:val="00F7026F"/>
    <w:rsid w:val="00F7046D"/>
    <w:rsid w:val="00F708B4"/>
    <w:rsid w:val="00F70AF5"/>
    <w:rsid w:val="00F70C7C"/>
    <w:rsid w:val="00F70DF2"/>
    <w:rsid w:val="00F71193"/>
    <w:rsid w:val="00F7164B"/>
    <w:rsid w:val="00F71BFC"/>
    <w:rsid w:val="00F71C3A"/>
    <w:rsid w:val="00F71C79"/>
    <w:rsid w:val="00F71FC5"/>
    <w:rsid w:val="00F72171"/>
    <w:rsid w:val="00F72229"/>
    <w:rsid w:val="00F722BD"/>
    <w:rsid w:val="00F727FD"/>
    <w:rsid w:val="00F729BF"/>
    <w:rsid w:val="00F73056"/>
    <w:rsid w:val="00F7314E"/>
    <w:rsid w:val="00F736F5"/>
    <w:rsid w:val="00F7381B"/>
    <w:rsid w:val="00F738AC"/>
    <w:rsid w:val="00F73D82"/>
    <w:rsid w:val="00F73E79"/>
    <w:rsid w:val="00F74101"/>
    <w:rsid w:val="00F74111"/>
    <w:rsid w:val="00F74418"/>
    <w:rsid w:val="00F74419"/>
    <w:rsid w:val="00F744BC"/>
    <w:rsid w:val="00F74566"/>
    <w:rsid w:val="00F74863"/>
    <w:rsid w:val="00F748C1"/>
    <w:rsid w:val="00F74A8F"/>
    <w:rsid w:val="00F74B06"/>
    <w:rsid w:val="00F74B4F"/>
    <w:rsid w:val="00F74B51"/>
    <w:rsid w:val="00F751C4"/>
    <w:rsid w:val="00F75289"/>
    <w:rsid w:val="00F752EB"/>
    <w:rsid w:val="00F7543F"/>
    <w:rsid w:val="00F75497"/>
    <w:rsid w:val="00F75735"/>
    <w:rsid w:val="00F75A1A"/>
    <w:rsid w:val="00F75F71"/>
    <w:rsid w:val="00F7635E"/>
    <w:rsid w:val="00F7652B"/>
    <w:rsid w:val="00F7666C"/>
    <w:rsid w:val="00F769B6"/>
    <w:rsid w:val="00F76AA3"/>
    <w:rsid w:val="00F76B50"/>
    <w:rsid w:val="00F76B79"/>
    <w:rsid w:val="00F76CFB"/>
    <w:rsid w:val="00F76DD1"/>
    <w:rsid w:val="00F76E01"/>
    <w:rsid w:val="00F771D8"/>
    <w:rsid w:val="00F772B5"/>
    <w:rsid w:val="00F77421"/>
    <w:rsid w:val="00F77681"/>
    <w:rsid w:val="00F77B1A"/>
    <w:rsid w:val="00F77BC3"/>
    <w:rsid w:val="00F77E75"/>
    <w:rsid w:val="00F77EA8"/>
    <w:rsid w:val="00F80073"/>
    <w:rsid w:val="00F80223"/>
    <w:rsid w:val="00F80273"/>
    <w:rsid w:val="00F807B2"/>
    <w:rsid w:val="00F808DC"/>
    <w:rsid w:val="00F80CD4"/>
    <w:rsid w:val="00F80E15"/>
    <w:rsid w:val="00F80E9C"/>
    <w:rsid w:val="00F80EB0"/>
    <w:rsid w:val="00F80FD1"/>
    <w:rsid w:val="00F80FE5"/>
    <w:rsid w:val="00F81216"/>
    <w:rsid w:val="00F812F2"/>
    <w:rsid w:val="00F81365"/>
    <w:rsid w:val="00F813B7"/>
    <w:rsid w:val="00F81408"/>
    <w:rsid w:val="00F81517"/>
    <w:rsid w:val="00F81BE4"/>
    <w:rsid w:val="00F82097"/>
    <w:rsid w:val="00F8249F"/>
    <w:rsid w:val="00F8254E"/>
    <w:rsid w:val="00F82BC4"/>
    <w:rsid w:val="00F82D39"/>
    <w:rsid w:val="00F82D54"/>
    <w:rsid w:val="00F83106"/>
    <w:rsid w:val="00F8331E"/>
    <w:rsid w:val="00F834D6"/>
    <w:rsid w:val="00F835FF"/>
    <w:rsid w:val="00F83A78"/>
    <w:rsid w:val="00F83B0B"/>
    <w:rsid w:val="00F83E7E"/>
    <w:rsid w:val="00F842AE"/>
    <w:rsid w:val="00F843FB"/>
    <w:rsid w:val="00F84443"/>
    <w:rsid w:val="00F8481B"/>
    <w:rsid w:val="00F84B18"/>
    <w:rsid w:val="00F84B79"/>
    <w:rsid w:val="00F84C15"/>
    <w:rsid w:val="00F84D92"/>
    <w:rsid w:val="00F84EB6"/>
    <w:rsid w:val="00F84F8E"/>
    <w:rsid w:val="00F850B0"/>
    <w:rsid w:val="00F850E9"/>
    <w:rsid w:val="00F851C0"/>
    <w:rsid w:val="00F85572"/>
    <w:rsid w:val="00F85826"/>
    <w:rsid w:val="00F85B33"/>
    <w:rsid w:val="00F864B2"/>
    <w:rsid w:val="00F866E6"/>
    <w:rsid w:val="00F86754"/>
    <w:rsid w:val="00F86BA5"/>
    <w:rsid w:val="00F86C99"/>
    <w:rsid w:val="00F86F17"/>
    <w:rsid w:val="00F8769B"/>
    <w:rsid w:val="00F876C8"/>
    <w:rsid w:val="00F879D4"/>
    <w:rsid w:val="00F87A21"/>
    <w:rsid w:val="00F87A53"/>
    <w:rsid w:val="00F90324"/>
    <w:rsid w:val="00F9036B"/>
    <w:rsid w:val="00F906CC"/>
    <w:rsid w:val="00F90BFE"/>
    <w:rsid w:val="00F90E43"/>
    <w:rsid w:val="00F9105C"/>
    <w:rsid w:val="00F9119B"/>
    <w:rsid w:val="00F9127D"/>
    <w:rsid w:val="00F913F8"/>
    <w:rsid w:val="00F91437"/>
    <w:rsid w:val="00F91582"/>
    <w:rsid w:val="00F91630"/>
    <w:rsid w:val="00F91813"/>
    <w:rsid w:val="00F91839"/>
    <w:rsid w:val="00F9189E"/>
    <w:rsid w:val="00F919E9"/>
    <w:rsid w:val="00F91AEA"/>
    <w:rsid w:val="00F91FAB"/>
    <w:rsid w:val="00F920AF"/>
    <w:rsid w:val="00F9220F"/>
    <w:rsid w:val="00F927AB"/>
    <w:rsid w:val="00F927C6"/>
    <w:rsid w:val="00F92B0E"/>
    <w:rsid w:val="00F92E0F"/>
    <w:rsid w:val="00F93125"/>
    <w:rsid w:val="00F93148"/>
    <w:rsid w:val="00F93159"/>
    <w:rsid w:val="00F931BC"/>
    <w:rsid w:val="00F931F1"/>
    <w:rsid w:val="00F9331B"/>
    <w:rsid w:val="00F93BC2"/>
    <w:rsid w:val="00F93CA0"/>
    <w:rsid w:val="00F93D98"/>
    <w:rsid w:val="00F93E0B"/>
    <w:rsid w:val="00F94C71"/>
    <w:rsid w:val="00F94DFA"/>
    <w:rsid w:val="00F95204"/>
    <w:rsid w:val="00F95223"/>
    <w:rsid w:val="00F9525A"/>
    <w:rsid w:val="00F95292"/>
    <w:rsid w:val="00F9557E"/>
    <w:rsid w:val="00F95655"/>
    <w:rsid w:val="00F95859"/>
    <w:rsid w:val="00F95874"/>
    <w:rsid w:val="00F95F8B"/>
    <w:rsid w:val="00F960DA"/>
    <w:rsid w:val="00F961AC"/>
    <w:rsid w:val="00F96651"/>
    <w:rsid w:val="00F96853"/>
    <w:rsid w:val="00F96A7F"/>
    <w:rsid w:val="00F96D66"/>
    <w:rsid w:val="00F96D76"/>
    <w:rsid w:val="00F97189"/>
    <w:rsid w:val="00F9741F"/>
    <w:rsid w:val="00F976E4"/>
    <w:rsid w:val="00F97714"/>
    <w:rsid w:val="00F977D3"/>
    <w:rsid w:val="00F97B4E"/>
    <w:rsid w:val="00F97F2E"/>
    <w:rsid w:val="00F97F4C"/>
    <w:rsid w:val="00FA0078"/>
    <w:rsid w:val="00FA0311"/>
    <w:rsid w:val="00FA0601"/>
    <w:rsid w:val="00FA0673"/>
    <w:rsid w:val="00FA068F"/>
    <w:rsid w:val="00FA0B14"/>
    <w:rsid w:val="00FA0D61"/>
    <w:rsid w:val="00FA10A0"/>
    <w:rsid w:val="00FA128A"/>
    <w:rsid w:val="00FA13E5"/>
    <w:rsid w:val="00FA154C"/>
    <w:rsid w:val="00FA1698"/>
    <w:rsid w:val="00FA16AE"/>
    <w:rsid w:val="00FA16DA"/>
    <w:rsid w:val="00FA17D7"/>
    <w:rsid w:val="00FA17EC"/>
    <w:rsid w:val="00FA18D6"/>
    <w:rsid w:val="00FA1C6A"/>
    <w:rsid w:val="00FA1DBB"/>
    <w:rsid w:val="00FA23C7"/>
    <w:rsid w:val="00FA2413"/>
    <w:rsid w:val="00FA27DB"/>
    <w:rsid w:val="00FA2858"/>
    <w:rsid w:val="00FA294B"/>
    <w:rsid w:val="00FA2AC1"/>
    <w:rsid w:val="00FA2C0B"/>
    <w:rsid w:val="00FA2ED5"/>
    <w:rsid w:val="00FA3261"/>
    <w:rsid w:val="00FA341D"/>
    <w:rsid w:val="00FA3459"/>
    <w:rsid w:val="00FA34AC"/>
    <w:rsid w:val="00FA38BF"/>
    <w:rsid w:val="00FA3C8B"/>
    <w:rsid w:val="00FA420D"/>
    <w:rsid w:val="00FA4597"/>
    <w:rsid w:val="00FA46BB"/>
    <w:rsid w:val="00FA4942"/>
    <w:rsid w:val="00FA4CD8"/>
    <w:rsid w:val="00FA4D1A"/>
    <w:rsid w:val="00FA4D74"/>
    <w:rsid w:val="00FA4D84"/>
    <w:rsid w:val="00FA4E61"/>
    <w:rsid w:val="00FA50BD"/>
    <w:rsid w:val="00FA544F"/>
    <w:rsid w:val="00FA5713"/>
    <w:rsid w:val="00FA5839"/>
    <w:rsid w:val="00FA5A37"/>
    <w:rsid w:val="00FA5A9E"/>
    <w:rsid w:val="00FA5C80"/>
    <w:rsid w:val="00FA5F1D"/>
    <w:rsid w:val="00FA608C"/>
    <w:rsid w:val="00FA651A"/>
    <w:rsid w:val="00FA6965"/>
    <w:rsid w:val="00FA69BF"/>
    <w:rsid w:val="00FA6C47"/>
    <w:rsid w:val="00FA6E17"/>
    <w:rsid w:val="00FA702E"/>
    <w:rsid w:val="00FA7060"/>
    <w:rsid w:val="00FA71F3"/>
    <w:rsid w:val="00FA745E"/>
    <w:rsid w:val="00FA76C5"/>
    <w:rsid w:val="00FA79D9"/>
    <w:rsid w:val="00FA7A1C"/>
    <w:rsid w:val="00FA7C62"/>
    <w:rsid w:val="00FA7CA3"/>
    <w:rsid w:val="00FA7CE3"/>
    <w:rsid w:val="00FA7E6A"/>
    <w:rsid w:val="00FA7EFC"/>
    <w:rsid w:val="00FA7FEE"/>
    <w:rsid w:val="00FB0124"/>
    <w:rsid w:val="00FB03AB"/>
    <w:rsid w:val="00FB0620"/>
    <w:rsid w:val="00FB0729"/>
    <w:rsid w:val="00FB082C"/>
    <w:rsid w:val="00FB09A6"/>
    <w:rsid w:val="00FB0A30"/>
    <w:rsid w:val="00FB0D40"/>
    <w:rsid w:val="00FB0D6A"/>
    <w:rsid w:val="00FB10A6"/>
    <w:rsid w:val="00FB1211"/>
    <w:rsid w:val="00FB1391"/>
    <w:rsid w:val="00FB14C9"/>
    <w:rsid w:val="00FB15CF"/>
    <w:rsid w:val="00FB179A"/>
    <w:rsid w:val="00FB1AE7"/>
    <w:rsid w:val="00FB1C7C"/>
    <w:rsid w:val="00FB1D69"/>
    <w:rsid w:val="00FB1EEE"/>
    <w:rsid w:val="00FB1F1D"/>
    <w:rsid w:val="00FB25E6"/>
    <w:rsid w:val="00FB278B"/>
    <w:rsid w:val="00FB2928"/>
    <w:rsid w:val="00FB29F1"/>
    <w:rsid w:val="00FB3252"/>
    <w:rsid w:val="00FB347B"/>
    <w:rsid w:val="00FB3807"/>
    <w:rsid w:val="00FB390E"/>
    <w:rsid w:val="00FB3A8B"/>
    <w:rsid w:val="00FB3AAD"/>
    <w:rsid w:val="00FB3ADB"/>
    <w:rsid w:val="00FB3BF9"/>
    <w:rsid w:val="00FB3D33"/>
    <w:rsid w:val="00FB3E58"/>
    <w:rsid w:val="00FB3F9D"/>
    <w:rsid w:val="00FB4223"/>
    <w:rsid w:val="00FB444B"/>
    <w:rsid w:val="00FB46D4"/>
    <w:rsid w:val="00FB48AD"/>
    <w:rsid w:val="00FB4C01"/>
    <w:rsid w:val="00FB4F6E"/>
    <w:rsid w:val="00FB4FD5"/>
    <w:rsid w:val="00FB5106"/>
    <w:rsid w:val="00FB5273"/>
    <w:rsid w:val="00FB5513"/>
    <w:rsid w:val="00FB5672"/>
    <w:rsid w:val="00FB581F"/>
    <w:rsid w:val="00FB5F97"/>
    <w:rsid w:val="00FB6297"/>
    <w:rsid w:val="00FB695D"/>
    <w:rsid w:val="00FB6CB1"/>
    <w:rsid w:val="00FB6FC5"/>
    <w:rsid w:val="00FB72DB"/>
    <w:rsid w:val="00FB7438"/>
    <w:rsid w:val="00FB7481"/>
    <w:rsid w:val="00FB76F6"/>
    <w:rsid w:val="00FB7745"/>
    <w:rsid w:val="00FB7D94"/>
    <w:rsid w:val="00FB7E6E"/>
    <w:rsid w:val="00FB7ED0"/>
    <w:rsid w:val="00FB7F45"/>
    <w:rsid w:val="00FC00C0"/>
    <w:rsid w:val="00FC00FC"/>
    <w:rsid w:val="00FC0472"/>
    <w:rsid w:val="00FC06CD"/>
    <w:rsid w:val="00FC0719"/>
    <w:rsid w:val="00FC0A89"/>
    <w:rsid w:val="00FC0DFE"/>
    <w:rsid w:val="00FC0F87"/>
    <w:rsid w:val="00FC1C5F"/>
    <w:rsid w:val="00FC1D52"/>
    <w:rsid w:val="00FC1D54"/>
    <w:rsid w:val="00FC1E42"/>
    <w:rsid w:val="00FC20F3"/>
    <w:rsid w:val="00FC245A"/>
    <w:rsid w:val="00FC2561"/>
    <w:rsid w:val="00FC2612"/>
    <w:rsid w:val="00FC2786"/>
    <w:rsid w:val="00FC29E4"/>
    <w:rsid w:val="00FC2D56"/>
    <w:rsid w:val="00FC2DBC"/>
    <w:rsid w:val="00FC2E8A"/>
    <w:rsid w:val="00FC2EA6"/>
    <w:rsid w:val="00FC3341"/>
    <w:rsid w:val="00FC358A"/>
    <w:rsid w:val="00FC379E"/>
    <w:rsid w:val="00FC38A1"/>
    <w:rsid w:val="00FC3C5E"/>
    <w:rsid w:val="00FC3F6A"/>
    <w:rsid w:val="00FC3FD7"/>
    <w:rsid w:val="00FC418C"/>
    <w:rsid w:val="00FC490A"/>
    <w:rsid w:val="00FC4A81"/>
    <w:rsid w:val="00FC4C9E"/>
    <w:rsid w:val="00FC51F7"/>
    <w:rsid w:val="00FC5296"/>
    <w:rsid w:val="00FC555C"/>
    <w:rsid w:val="00FC58D6"/>
    <w:rsid w:val="00FC58EB"/>
    <w:rsid w:val="00FC5C85"/>
    <w:rsid w:val="00FC5F95"/>
    <w:rsid w:val="00FC6025"/>
    <w:rsid w:val="00FC60F4"/>
    <w:rsid w:val="00FC62FC"/>
    <w:rsid w:val="00FC634F"/>
    <w:rsid w:val="00FC66F9"/>
    <w:rsid w:val="00FC6AD6"/>
    <w:rsid w:val="00FC6BD5"/>
    <w:rsid w:val="00FC6C8E"/>
    <w:rsid w:val="00FC6C9A"/>
    <w:rsid w:val="00FC6FE4"/>
    <w:rsid w:val="00FC7358"/>
    <w:rsid w:val="00FC7442"/>
    <w:rsid w:val="00FC7535"/>
    <w:rsid w:val="00FC7816"/>
    <w:rsid w:val="00FC795D"/>
    <w:rsid w:val="00FC79BC"/>
    <w:rsid w:val="00FC7B7D"/>
    <w:rsid w:val="00FD0082"/>
    <w:rsid w:val="00FD0126"/>
    <w:rsid w:val="00FD016C"/>
    <w:rsid w:val="00FD0172"/>
    <w:rsid w:val="00FD06CB"/>
    <w:rsid w:val="00FD0794"/>
    <w:rsid w:val="00FD08DF"/>
    <w:rsid w:val="00FD08ED"/>
    <w:rsid w:val="00FD0AD0"/>
    <w:rsid w:val="00FD0AF4"/>
    <w:rsid w:val="00FD0BDC"/>
    <w:rsid w:val="00FD0E51"/>
    <w:rsid w:val="00FD0E77"/>
    <w:rsid w:val="00FD126F"/>
    <w:rsid w:val="00FD1328"/>
    <w:rsid w:val="00FD17E4"/>
    <w:rsid w:val="00FD1A27"/>
    <w:rsid w:val="00FD1B93"/>
    <w:rsid w:val="00FD1CFE"/>
    <w:rsid w:val="00FD2042"/>
    <w:rsid w:val="00FD2781"/>
    <w:rsid w:val="00FD2AED"/>
    <w:rsid w:val="00FD2B64"/>
    <w:rsid w:val="00FD2BA8"/>
    <w:rsid w:val="00FD312D"/>
    <w:rsid w:val="00FD340A"/>
    <w:rsid w:val="00FD3A5B"/>
    <w:rsid w:val="00FD3AF9"/>
    <w:rsid w:val="00FD3C87"/>
    <w:rsid w:val="00FD3CE6"/>
    <w:rsid w:val="00FD3F92"/>
    <w:rsid w:val="00FD40BD"/>
    <w:rsid w:val="00FD45BD"/>
    <w:rsid w:val="00FD465F"/>
    <w:rsid w:val="00FD46D8"/>
    <w:rsid w:val="00FD4C13"/>
    <w:rsid w:val="00FD4E5F"/>
    <w:rsid w:val="00FD4EEF"/>
    <w:rsid w:val="00FD5172"/>
    <w:rsid w:val="00FD54A1"/>
    <w:rsid w:val="00FD5726"/>
    <w:rsid w:val="00FD5970"/>
    <w:rsid w:val="00FD5D63"/>
    <w:rsid w:val="00FD6978"/>
    <w:rsid w:val="00FD699F"/>
    <w:rsid w:val="00FD69BE"/>
    <w:rsid w:val="00FD69C4"/>
    <w:rsid w:val="00FD6C4F"/>
    <w:rsid w:val="00FD6C86"/>
    <w:rsid w:val="00FD7104"/>
    <w:rsid w:val="00FD72E2"/>
    <w:rsid w:val="00FD7353"/>
    <w:rsid w:val="00FD7409"/>
    <w:rsid w:val="00FD75D9"/>
    <w:rsid w:val="00FD77B4"/>
    <w:rsid w:val="00FD77D7"/>
    <w:rsid w:val="00FD781D"/>
    <w:rsid w:val="00FD788D"/>
    <w:rsid w:val="00FD7AC1"/>
    <w:rsid w:val="00FD7D5B"/>
    <w:rsid w:val="00FD7E56"/>
    <w:rsid w:val="00FD7EC9"/>
    <w:rsid w:val="00FE016E"/>
    <w:rsid w:val="00FE01C4"/>
    <w:rsid w:val="00FE04F3"/>
    <w:rsid w:val="00FE06EF"/>
    <w:rsid w:val="00FE0B97"/>
    <w:rsid w:val="00FE0BFB"/>
    <w:rsid w:val="00FE0D05"/>
    <w:rsid w:val="00FE0FF4"/>
    <w:rsid w:val="00FE1007"/>
    <w:rsid w:val="00FE1082"/>
    <w:rsid w:val="00FE13D2"/>
    <w:rsid w:val="00FE15A8"/>
    <w:rsid w:val="00FE1678"/>
    <w:rsid w:val="00FE17E2"/>
    <w:rsid w:val="00FE1D7B"/>
    <w:rsid w:val="00FE20CD"/>
    <w:rsid w:val="00FE2230"/>
    <w:rsid w:val="00FE238E"/>
    <w:rsid w:val="00FE2553"/>
    <w:rsid w:val="00FE2599"/>
    <w:rsid w:val="00FE25DD"/>
    <w:rsid w:val="00FE27A3"/>
    <w:rsid w:val="00FE28F3"/>
    <w:rsid w:val="00FE2956"/>
    <w:rsid w:val="00FE2CD4"/>
    <w:rsid w:val="00FE2ED2"/>
    <w:rsid w:val="00FE2FCC"/>
    <w:rsid w:val="00FE303F"/>
    <w:rsid w:val="00FE30AA"/>
    <w:rsid w:val="00FE3578"/>
    <w:rsid w:val="00FE39C2"/>
    <w:rsid w:val="00FE3A41"/>
    <w:rsid w:val="00FE4104"/>
    <w:rsid w:val="00FE419B"/>
    <w:rsid w:val="00FE4849"/>
    <w:rsid w:val="00FE56E8"/>
    <w:rsid w:val="00FE5821"/>
    <w:rsid w:val="00FE5FD1"/>
    <w:rsid w:val="00FE5FD3"/>
    <w:rsid w:val="00FE61BD"/>
    <w:rsid w:val="00FE6298"/>
    <w:rsid w:val="00FE6377"/>
    <w:rsid w:val="00FE64D0"/>
    <w:rsid w:val="00FE662B"/>
    <w:rsid w:val="00FE69CC"/>
    <w:rsid w:val="00FE69D9"/>
    <w:rsid w:val="00FE6F63"/>
    <w:rsid w:val="00FE7138"/>
    <w:rsid w:val="00FE726E"/>
    <w:rsid w:val="00FE748F"/>
    <w:rsid w:val="00FE74E9"/>
    <w:rsid w:val="00FE7624"/>
    <w:rsid w:val="00FE79CB"/>
    <w:rsid w:val="00FE7B2B"/>
    <w:rsid w:val="00FE7B8F"/>
    <w:rsid w:val="00FE7BE0"/>
    <w:rsid w:val="00FE7FEC"/>
    <w:rsid w:val="00FF00A8"/>
    <w:rsid w:val="00FF0143"/>
    <w:rsid w:val="00FF0344"/>
    <w:rsid w:val="00FF0365"/>
    <w:rsid w:val="00FF0541"/>
    <w:rsid w:val="00FF0A0E"/>
    <w:rsid w:val="00FF0B27"/>
    <w:rsid w:val="00FF0C56"/>
    <w:rsid w:val="00FF0F42"/>
    <w:rsid w:val="00FF10A1"/>
    <w:rsid w:val="00FF10A8"/>
    <w:rsid w:val="00FF17B5"/>
    <w:rsid w:val="00FF19D7"/>
    <w:rsid w:val="00FF1F2B"/>
    <w:rsid w:val="00FF1FA5"/>
    <w:rsid w:val="00FF215F"/>
    <w:rsid w:val="00FF2178"/>
    <w:rsid w:val="00FF2303"/>
    <w:rsid w:val="00FF26B5"/>
    <w:rsid w:val="00FF26FD"/>
    <w:rsid w:val="00FF2861"/>
    <w:rsid w:val="00FF28A8"/>
    <w:rsid w:val="00FF2C9B"/>
    <w:rsid w:val="00FF2F9C"/>
    <w:rsid w:val="00FF2FA4"/>
    <w:rsid w:val="00FF3669"/>
    <w:rsid w:val="00FF3746"/>
    <w:rsid w:val="00FF374E"/>
    <w:rsid w:val="00FF3963"/>
    <w:rsid w:val="00FF3A33"/>
    <w:rsid w:val="00FF3A3E"/>
    <w:rsid w:val="00FF3D3D"/>
    <w:rsid w:val="00FF3F5A"/>
    <w:rsid w:val="00FF3FC1"/>
    <w:rsid w:val="00FF48FD"/>
    <w:rsid w:val="00FF4A9D"/>
    <w:rsid w:val="00FF4AEA"/>
    <w:rsid w:val="00FF4CD4"/>
    <w:rsid w:val="00FF51A8"/>
    <w:rsid w:val="00FF52B0"/>
    <w:rsid w:val="00FF5B00"/>
    <w:rsid w:val="00FF5F66"/>
    <w:rsid w:val="00FF5FBE"/>
    <w:rsid w:val="00FF605F"/>
    <w:rsid w:val="00FF692D"/>
    <w:rsid w:val="00FF6939"/>
    <w:rsid w:val="00FF6B52"/>
    <w:rsid w:val="00FF6BA3"/>
    <w:rsid w:val="00FF6FAB"/>
    <w:rsid w:val="00FF7018"/>
    <w:rsid w:val="00FF70DD"/>
    <w:rsid w:val="00FF7261"/>
    <w:rsid w:val="00FF74A5"/>
    <w:rsid w:val="00FF7654"/>
    <w:rsid w:val="00FF77C1"/>
    <w:rsid w:val="00FF79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4A7F6C6"/>
  <w15:docId w15:val="{3C14EA0C-ECCE-4DD2-8B1A-53A8F5AD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59"/>
    <w:pPr>
      <w:widowControl w:val="0"/>
      <w:spacing w:line="264" w:lineRule="auto"/>
    </w:pPr>
    <w:rPr>
      <w:sz w:val="24"/>
      <w:szCs w:val="24"/>
    </w:rPr>
  </w:style>
  <w:style w:type="paragraph" w:styleId="Ttulo1">
    <w:name w:val="heading 1"/>
    <w:basedOn w:val="Normal"/>
    <w:next w:val="Corpodetexto"/>
    <w:link w:val="Ttulo1Char"/>
    <w:uiPriority w:val="99"/>
    <w:qFormat/>
    <w:rsid w:val="00E5561F"/>
    <w:pPr>
      <w:keepNext/>
      <w:keepLines/>
      <w:spacing w:after="120" w:line="400" w:lineRule="exact"/>
      <w:outlineLvl w:val="0"/>
    </w:pPr>
    <w:rPr>
      <w:rFonts w:ascii="Arial" w:hAnsi="Arial"/>
      <w:bCs/>
      <w:color w:val="00011F"/>
      <w:sz w:val="40"/>
      <w:szCs w:val="28"/>
    </w:rPr>
  </w:style>
  <w:style w:type="paragraph" w:styleId="Ttulo2">
    <w:name w:val="heading 2"/>
    <w:basedOn w:val="Normal"/>
    <w:next w:val="Corpodetexto"/>
    <w:link w:val="Ttulo2Char"/>
    <w:uiPriority w:val="99"/>
    <w:qFormat/>
    <w:rsid w:val="00E5561F"/>
    <w:pPr>
      <w:keepNext/>
      <w:keepLines/>
      <w:spacing w:after="60" w:line="360" w:lineRule="exact"/>
      <w:outlineLvl w:val="1"/>
    </w:pPr>
    <w:rPr>
      <w:rFonts w:ascii="Arial" w:hAnsi="Arial"/>
      <w:bCs/>
      <w:color w:val="A2978A"/>
      <w:sz w:val="36"/>
      <w:szCs w:val="26"/>
    </w:rPr>
  </w:style>
  <w:style w:type="paragraph" w:styleId="Ttulo3">
    <w:name w:val="heading 3"/>
    <w:basedOn w:val="Normal"/>
    <w:next w:val="Corpodetexto"/>
    <w:link w:val="Ttulo3Char"/>
    <w:uiPriority w:val="99"/>
    <w:qFormat/>
    <w:rsid w:val="00E5561F"/>
    <w:pPr>
      <w:keepNext/>
      <w:keepLines/>
      <w:spacing w:after="60" w:line="280" w:lineRule="exact"/>
      <w:outlineLvl w:val="2"/>
    </w:pPr>
    <w:rPr>
      <w:rFonts w:ascii="Arial" w:hAnsi="Arial"/>
      <w:bCs/>
      <w:color w:val="00011F"/>
      <w:sz w:val="28"/>
    </w:rPr>
  </w:style>
  <w:style w:type="paragraph" w:styleId="Ttulo4">
    <w:name w:val="heading 4"/>
    <w:basedOn w:val="Normal"/>
    <w:next w:val="Corpodetexto"/>
    <w:link w:val="Ttulo4Char"/>
    <w:uiPriority w:val="99"/>
    <w:qFormat/>
    <w:rsid w:val="00E5561F"/>
    <w:pPr>
      <w:keepNext/>
      <w:keepLines/>
      <w:spacing w:after="60" w:line="240" w:lineRule="exact"/>
      <w:outlineLvl w:val="3"/>
    </w:pPr>
    <w:rPr>
      <w:rFonts w:ascii="Arial" w:hAnsi="Arial"/>
      <w:bCs/>
      <w:iCs/>
      <w:color w:val="A2978A"/>
    </w:rPr>
  </w:style>
  <w:style w:type="paragraph" w:styleId="Ttulo5">
    <w:name w:val="heading 5"/>
    <w:basedOn w:val="Normal"/>
    <w:next w:val="Corpodetexto"/>
    <w:link w:val="Ttulo5Char"/>
    <w:uiPriority w:val="99"/>
    <w:qFormat/>
    <w:rsid w:val="00E5561F"/>
    <w:pPr>
      <w:keepNext/>
      <w:keepLines/>
      <w:spacing w:after="60" w:line="210" w:lineRule="exact"/>
      <w:outlineLvl w:val="4"/>
    </w:pPr>
    <w:rPr>
      <w:rFonts w:ascii="Arial" w:hAnsi="Arial"/>
      <w:color w:val="00011F"/>
    </w:rPr>
  </w:style>
  <w:style w:type="paragraph" w:styleId="Ttulo6">
    <w:name w:val="heading 6"/>
    <w:basedOn w:val="Normal"/>
    <w:next w:val="Corpodetexto"/>
    <w:link w:val="Ttulo6Char"/>
    <w:uiPriority w:val="99"/>
    <w:qFormat/>
    <w:rsid w:val="00E5561F"/>
    <w:pPr>
      <w:keepNext/>
      <w:keepLines/>
      <w:spacing w:after="60"/>
      <w:outlineLvl w:val="5"/>
    </w:pPr>
    <w:rPr>
      <w:rFonts w:ascii="Arial" w:hAnsi="Arial"/>
      <w:iCs/>
    </w:rPr>
  </w:style>
  <w:style w:type="paragraph" w:styleId="Ttulo7">
    <w:name w:val="heading 7"/>
    <w:basedOn w:val="Normal"/>
    <w:next w:val="Corpodetexto"/>
    <w:link w:val="Ttulo7Char"/>
    <w:uiPriority w:val="99"/>
    <w:qFormat/>
    <w:rsid w:val="00E5561F"/>
    <w:pPr>
      <w:keepNext/>
      <w:keepLines/>
      <w:spacing w:after="60"/>
      <w:outlineLvl w:val="6"/>
    </w:pPr>
    <w:rPr>
      <w:rFonts w:ascii="Arial" w:hAnsi="Arial"/>
      <w:iCs/>
    </w:rPr>
  </w:style>
  <w:style w:type="paragraph" w:styleId="Ttulo8">
    <w:name w:val="heading 8"/>
    <w:basedOn w:val="Normal"/>
    <w:next w:val="Corpodetexto"/>
    <w:link w:val="Ttulo8Char"/>
    <w:uiPriority w:val="99"/>
    <w:qFormat/>
    <w:rsid w:val="00E5561F"/>
    <w:pPr>
      <w:keepNext/>
      <w:keepLines/>
      <w:spacing w:after="60"/>
      <w:outlineLvl w:val="7"/>
    </w:pPr>
    <w:rPr>
      <w:rFonts w:ascii="Arial" w:hAnsi="Arial"/>
      <w:szCs w:val="20"/>
    </w:rPr>
  </w:style>
  <w:style w:type="paragraph" w:styleId="Ttulo9">
    <w:name w:val="heading 9"/>
    <w:basedOn w:val="Normal"/>
    <w:next w:val="Corpodetexto"/>
    <w:link w:val="Ttulo9Char"/>
    <w:uiPriority w:val="99"/>
    <w:qFormat/>
    <w:rsid w:val="00E5561F"/>
    <w:pPr>
      <w:keepNext/>
      <w:keepLines/>
      <w:spacing w:after="60"/>
      <w:outlineLvl w:val="8"/>
    </w:pPr>
    <w:rPr>
      <w:rFonts w:ascii="Arial" w:hAnsi="Arial"/>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5561F"/>
    <w:rPr>
      <w:rFonts w:ascii="Arial" w:hAnsi="Arial" w:cs="Times New Roman"/>
      <w:color w:val="00011F"/>
      <w:sz w:val="28"/>
      <w:lang w:val="pt-BR" w:eastAsia="pt-BR"/>
    </w:rPr>
  </w:style>
  <w:style w:type="character" w:customStyle="1" w:styleId="Ttulo2Char">
    <w:name w:val="Título 2 Char"/>
    <w:basedOn w:val="Fontepargpadro"/>
    <w:link w:val="Ttulo2"/>
    <w:uiPriority w:val="99"/>
    <w:locked/>
    <w:rsid w:val="00E5561F"/>
    <w:rPr>
      <w:rFonts w:ascii="Arial" w:hAnsi="Arial" w:cs="Times New Roman"/>
      <w:color w:val="A2978A"/>
      <w:sz w:val="26"/>
      <w:lang w:val="pt-BR" w:eastAsia="pt-BR"/>
    </w:rPr>
  </w:style>
  <w:style w:type="character" w:customStyle="1" w:styleId="Ttulo3Char">
    <w:name w:val="Título 3 Char"/>
    <w:basedOn w:val="Fontepargpadro"/>
    <w:link w:val="Ttulo3"/>
    <w:uiPriority w:val="99"/>
    <w:locked/>
    <w:rsid w:val="00E5561F"/>
    <w:rPr>
      <w:rFonts w:ascii="Arial" w:hAnsi="Arial" w:cs="Times New Roman"/>
      <w:color w:val="00011F"/>
      <w:sz w:val="24"/>
      <w:lang w:val="pt-BR" w:eastAsia="pt-BR"/>
    </w:rPr>
  </w:style>
  <w:style w:type="character" w:customStyle="1" w:styleId="Ttulo4Char">
    <w:name w:val="Título 4 Char"/>
    <w:basedOn w:val="Fontepargpadro"/>
    <w:link w:val="Ttulo4"/>
    <w:uiPriority w:val="99"/>
    <w:locked/>
    <w:rsid w:val="00E5561F"/>
    <w:rPr>
      <w:rFonts w:ascii="Arial" w:hAnsi="Arial" w:cs="Times New Roman"/>
      <w:color w:val="A2978A"/>
      <w:sz w:val="24"/>
      <w:lang w:val="pt-BR" w:eastAsia="pt-BR"/>
    </w:rPr>
  </w:style>
  <w:style w:type="character" w:customStyle="1" w:styleId="Ttulo5Char">
    <w:name w:val="Título 5 Char"/>
    <w:basedOn w:val="Fontepargpadro"/>
    <w:link w:val="Ttulo5"/>
    <w:uiPriority w:val="99"/>
    <w:semiHidden/>
    <w:locked/>
    <w:rsid w:val="00E5561F"/>
    <w:rPr>
      <w:rFonts w:ascii="Arial" w:hAnsi="Arial" w:cs="Times New Roman"/>
      <w:color w:val="00011F"/>
      <w:sz w:val="24"/>
      <w:lang w:val="pt-BR" w:eastAsia="pt-BR"/>
    </w:rPr>
  </w:style>
  <w:style w:type="character" w:customStyle="1" w:styleId="Ttulo6Char">
    <w:name w:val="Título 6 Char"/>
    <w:basedOn w:val="Fontepargpadro"/>
    <w:link w:val="Ttulo6"/>
    <w:uiPriority w:val="99"/>
    <w:semiHidden/>
    <w:locked/>
    <w:rsid w:val="00E5561F"/>
    <w:rPr>
      <w:rFonts w:ascii="Arial" w:hAnsi="Arial" w:cs="Times New Roman"/>
      <w:sz w:val="24"/>
      <w:lang w:val="pt-BR" w:eastAsia="pt-BR"/>
    </w:rPr>
  </w:style>
  <w:style w:type="character" w:customStyle="1" w:styleId="Ttulo7Char">
    <w:name w:val="Título 7 Char"/>
    <w:basedOn w:val="Fontepargpadro"/>
    <w:link w:val="Ttulo7"/>
    <w:uiPriority w:val="99"/>
    <w:semiHidden/>
    <w:locked/>
    <w:rsid w:val="00E5561F"/>
    <w:rPr>
      <w:rFonts w:ascii="Arial" w:hAnsi="Arial" w:cs="Times New Roman"/>
      <w:sz w:val="24"/>
      <w:lang w:val="pt-BR" w:eastAsia="pt-BR"/>
    </w:rPr>
  </w:style>
  <w:style w:type="character" w:customStyle="1" w:styleId="Ttulo8Char">
    <w:name w:val="Título 8 Char"/>
    <w:basedOn w:val="Fontepargpadro"/>
    <w:link w:val="Ttulo8"/>
    <w:uiPriority w:val="99"/>
    <w:semiHidden/>
    <w:locked/>
    <w:rsid w:val="00E5561F"/>
    <w:rPr>
      <w:rFonts w:ascii="Arial" w:hAnsi="Arial" w:cs="Times New Roman"/>
      <w:sz w:val="24"/>
      <w:lang w:val="pt-BR" w:eastAsia="pt-BR"/>
    </w:rPr>
  </w:style>
  <w:style w:type="character" w:customStyle="1" w:styleId="Ttulo9Char">
    <w:name w:val="Título 9 Char"/>
    <w:basedOn w:val="Fontepargpadro"/>
    <w:link w:val="Ttulo9"/>
    <w:uiPriority w:val="99"/>
    <w:semiHidden/>
    <w:locked/>
    <w:rsid w:val="00E5561F"/>
    <w:rPr>
      <w:rFonts w:ascii="Arial" w:hAnsi="Arial" w:cs="Times New Roman"/>
      <w:sz w:val="24"/>
      <w:lang w:val="pt-BR" w:eastAsia="pt-BR"/>
    </w:rPr>
  </w:style>
  <w:style w:type="paragraph" w:styleId="Corpodetexto">
    <w:name w:val="Body Text"/>
    <w:basedOn w:val="Normal"/>
    <w:link w:val="CorpodetextoChar"/>
    <w:uiPriority w:val="99"/>
    <w:rsid w:val="00E5561F"/>
  </w:style>
  <w:style w:type="character" w:customStyle="1" w:styleId="CorpodetextoChar">
    <w:name w:val="Corpo de texto Char"/>
    <w:basedOn w:val="Fontepargpadro"/>
    <w:link w:val="Corpodetexto"/>
    <w:uiPriority w:val="99"/>
    <w:locked/>
    <w:rsid w:val="00E5561F"/>
    <w:rPr>
      <w:rFonts w:cs="Times New Roman"/>
      <w:sz w:val="24"/>
      <w:lang w:val="pt-BR" w:eastAsia="pt-BR"/>
    </w:rPr>
  </w:style>
  <w:style w:type="paragraph" w:customStyle="1" w:styleId="CabealhodoSumrio1">
    <w:name w:val="Cabeçalho do Sumário1"/>
    <w:basedOn w:val="Ttulo1"/>
    <w:next w:val="Corpodetexto"/>
    <w:uiPriority w:val="99"/>
    <w:rsid w:val="00E5561F"/>
    <w:pPr>
      <w:spacing w:before="480" w:after="0" w:line="276" w:lineRule="auto"/>
      <w:outlineLvl w:val="9"/>
    </w:pPr>
  </w:style>
  <w:style w:type="paragraph" w:styleId="Ttulo">
    <w:name w:val="Title"/>
    <w:basedOn w:val="Normal"/>
    <w:next w:val="Subttulo"/>
    <w:link w:val="TtuloChar"/>
    <w:uiPriority w:val="99"/>
    <w:qFormat/>
    <w:rsid w:val="00E5561F"/>
    <w:pPr>
      <w:pageBreakBefore/>
    </w:pPr>
    <w:rPr>
      <w:rFonts w:ascii="Arial" w:hAnsi="Arial"/>
      <w:color w:val="00011F"/>
      <w:spacing w:val="5"/>
      <w:kern w:val="28"/>
      <w:sz w:val="72"/>
      <w:szCs w:val="52"/>
    </w:rPr>
  </w:style>
  <w:style w:type="character" w:customStyle="1" w:styleId="TtuloChar">
    <w:name w:val="Título Char"/>
    <w:basedOn w:val="Fontepargpadro"/>
    <w:link w:val="Ttulo"/>
    <w:uiPriority w:val="99"/>
    <w:locked/>
    <w:rsid w:val="00E5561F"/>
    <w:rPr>
      <w:rFonts w:ascii="Arial" w:hAnsi="Arial" w:cs="Times New Roman"/>
      <w:color w:val="00011F"/>
      <w:spacing w:val="5"/>
      <w:kern w:val="28"/>
      <w:sz w:val="52"/>
      <w:lang w:val="pt-BR" w:eastAsia="pt-BR"/>
    </w:rPr>
  </w:style>
  <w:style w:type="paragraph" w:styleId="Subttulo">
    <w:name w:val="Subtitle"/>
    <w:basedOn w:val="Normal"/>
    <w:next w:val="Corpodetexto"/>
    <w:link w:val="SubttuloChar"/>
    <w:uiPriority w:val="99"/>
    <w:qFormat/>
    <w:rsid w:val="00E5561F"/>
    <w:pPr>
      <w:numPr>
        <w:ilvl w:val="1"/>
      </w:numPr>
    </w:pPr>
    <w:rPr>
      <w:rFonts w:ascii="Arial" w:hAnsi="Arial"/>
      <w:iCs/>
      <w:color w:val="A2978A"/>
      <w:sz w:val="36"/>
    </w:rPr>
  </w:style>
  <w:style w:type="character" w:customStyle="1" w:styleId="SubttuloChar">
    <w:name w:val="Subtítulo Char"/>
    <w:basedOn w:val="Fontepargpadro"/>
    <w:link w:val="Subttulo"/>
    <w:uiPriority w:val="99"/>
    <w:locked/>
    <w:rsid w:val="00E5561F"/>
    <w:rPr>
      <w:rFonts w:ascii="Arial" w:hAnsi="Arial" w:cs="Times New Roman"/>
      <w:color w:val="A2978A"/>
      <w:sz w:val="24"/>
      <w:lang w:val="pt-BR" w:eastAsia="pt-BR"/>
    </w:rPr>
  </w:style>
  <w:style w:type="paragraph" w:styleId="Legenda">
    <w:name w:val="caption"/>
    <w:basedOn w:val="Normal"/>
    <w:next w:val="Normal"/>
    <w:uiPriority w:val="99"/>
    <w:qFormat/>
    <w:rsid w:val="00E5561F"/>
    <w:rPr>
      <w:b/>
      <w:bCs/>
      <w:sz w:val="18"/>
      <w:szCs w:val="18"/>
    </w:rPr>
  </w:style>
  <w:style w:type="paragraph" w:styleId="Textoembloco">
    <w:name w:val="Block Text"/>
    <w:basedOn w:val="Normal"/>
    <w:uiPriority w:val="99"/>
    <w:rsid w:val="00E5561F"/>
    <w:pPr>
      <w:pBdr>
        <w:top w:val="single" w:sz="2" w:space="10" w:color="auto"/>
        <w:left w:val="single" w:sz="2" w:space="10" w:color="auto"/>
        <w:bottom w:val="single" w:sz="2" w:space="10" w:color="auto"/>
        <w:right w:val="single" w:sz="2" w:space="10" w:color="auto"/>
      </w:pBdr>
      <w:ind w:left="1152" w:right="1152"/>
    </w:pPr>
    <w:rPr>
      <w:i/>
      <w:iCs/>
      <w:sz w:val="22"/>
      <w:szCs w:val="22"/>
    </w:rPr>
  </w:style>
  <w:style w:type="character" w:customStyle="1" w:styleId="nfaseIntensa1">
    <w:name w:val="Ênfase Intensa1"/>
    <w:uiPriority w:val="99"/>
    <w:rsid w:val="00E5561F"/>
    <w:rPr>
      <w:b/>
      <w:i/>
      <w:color w:val="auto"/>
      <w:u w:val="none"/>
    </w:rPr>
  </w:style>
  <w:style w:type="paragraph" w:customStyle="1" w:styleId="CitaoIntensa1">
    <w:name w:val="Citação Intensa1"/>
    <w:basedOn w:val="Normal"/>
    <w:next w:val="Normal"/>
    <w:link w:val="IntenseQuoteChar"/>
    <w:uiPriority w:val="99"/>
    <w:rsid w:val="00E5561F"/>
    <w:pPr>
      <w:pBdr>
        <w:bottom w:val="single" w:sz="4" w:space="4" w:color="auto"/>
      </w:pBdr>
      <w:ind w:left="936" w:right="936"/>
    </w:pPr>
    <w:rPr>
      <w:b/>
      <w:i/>
      <w:sz w:val="22"/>
      <w:szCs w:val="20"/>
    </w:rPr>
  </w:style>
  <w:style w:type="character" w:customStyle="1" w:styleId="IntenseQuoteChar">
    <w:name w:val="Intense Quote Char"/>
    <w:link w:val="CitaoIntensa1"/>
    <w:uiPriority w:val="99"/>
    <w:semiHidden/>
    <w:locked/>
    <w:rsid w:val="00E5561F"/>
    <w:rPr>
      <w:b/>
      <w:i/>
      <w:sz w:val="22"/>
      <w:lang w:val="pt-BR" w:eastAsia="pt-BR"/>
    </w:rPr>
  </w:style>
  <w:style w:type="character" w:customStyle="1" w:styleId="RefernciaIntensa1">
    <w:name w:val="Referência Intensa1"/>
    <w:uiPriority w:val="99"/>
    <w:rsid w:val="00E5561F"/>
    <w:rPr>
      <w:b/>
      <w:smallCaps/>
      <w:color w:val="auto"/>
      <w:spacing w:val="5"/>
      <w:u w:val="none"/>
    </w:rPr>
  </w:style>
  <w:style w:type="character" w:customStyle="1" w:styleId="nfaseSutil1">
    <w:name w:val="Ênfase Sutil1"/>
    <w:uiPriority w:val="99"/>
    <w:rsid w:val="00E5561F"/>
    <w:rPr>
      <w:i/>
      <w:color w:val="auto"/>
      <w:u w:val="none"/>
    </w:rPr>
  </w:style>
  <w:style w:type="character" w:customStyle="1" w:styleId="RefernciaSutil1">
    <w:name w:val="Referência Sutil1"/>
    <w:uiPriority w:val="99"/>
    <w:rsid w:val="00E5561F"/>
    <w:rPr>
      <w:smallCaps/>
      <w:color w:val="auto"/>
      <w:u w:val="single"/>
    </w:rPr>
  </w:style>
  <w:style w:type="paragraph" w:styleId="Commarcadores">
    <w:name w:val="List Bullet"/>
    <w:basedOn w:val="Normal"/>
    <w:uiPriority w:val="99"/>
    <w:rsid w:val="00E5561F"/>
    <w:pPr>
      <w:numPr>
        <w:numId w:val="2"/>
      </w:numPr>
    </w:pPr>
  </w:style>
  <w:style w:type="paragraph" w:styleId="Commarcadores2">
    <w:name w:val="List Bullet 2"/>
    <w:basedOn w:val="Normal"/>
    <w:uiPriority w:val="99"/>
    <w:rsid w:val="00E5561F"/>
    <w:pPr>
      <w:numPr>
        <w:ilvl w:val="1"/>
        <w:numId w:val="2"/>
      </w:numPr>
    </w:pPr>
  </w:style>
  <w:style w:type="paragraph" w:styleId="Commarcadores3">
    <w:name w:val="List Bullet 3"/>
    <w:basedOn w:val="Normal"/>
    <w:uiPriority w:val="99"/>
    <w:rsid w:val="00E5561F"/>
    <w:pPr>
      <w:numPr>
        <w:ilvl w:val="2"/>
        <w:numId w:val="2"/>
      </w:numPr>
    </w:pPr>
  </w:style>
  <w:style w:type="table" w:styleId="Tabelacomgrade">
    <w:name w:val="Table Grid"/>
    <w:basedOn w:val="Tabelanormal"/>
    <w:rsid w:val="00E5561F"/>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99"/>
    <w:qFormat/>
    <w:rsid w:val="00E5561F"/>
    <w:rPr>
      <w:rFonts w:cs="Times New Roman"/>
      <w:b/>
    </w:rPr>
  </w:style>
  <w:style w:type="paragraph" w:styleId="Numerada">
    <w:name w:val="List Number"/>
    <w:basedOn w:val="Normal"/>
    <w:uiPriority w:val="99"/>
    <w:rsid w:val="00E5561F"/>
    <w:pPr>
      <w:numPr>
        <w:numId w:val="3"/>
      </w:numPr>
    </w:pPr>
  </w:style>
  <w:style w:type="paragraph" w:customStyle="1" w:styleId="BodySingle">
    <w:name w:val="Body Single"/>
    <w:basedOn w:val="Corpodetexto"/>
    <w:link w:val="BodySingleChar"/>
    <w:uiPriority w:val="99"/>
    <w:rsid w:val="00E5561F"/>
  </w:style>
  <w:style w:type="character" w:customStyle="1" w:styleId="BodySingleChar">
    <w:name w:val="Body Single Char"/>
    <w:basedOn w:val="CorpodetextoChar"/>
    <w:link w:val="BodySingle"/>
    <w:uiPriority w:val="99"/>
    <w:locked/>
    <w:rsid w:val="00E5561F"/>
    <w:rPr>
      <w:rFonts w:cs="Times New Roman"/>
      <w:sz w:val="24"/>
      <w:szCs w:val="24"/>
      <w:lang w:val="pt-BR" w:eastAsia="pt-BR" w:bidi="ar-SA"/>
    </w:rPr>
  </w:style>
  <w:style w:type="paragraph" w:customStyle="1" w:styleId="PargrafodaLista1">
    <w:name w:val="Parágrafo da Lista1"/>
    <w:basedOn w:val="Normal"/>
    <w:uiPriority w:val="99"/>
    <w:rsid w:val="00E5561F"/>
    <w:pPr>
      <w:ind w:left="720"/>
      <w:contextualSpacing/>
    </w:pPr>
  </w:style>
  <w:style w:type="paragraph" w:styleId="Cabealho">
    <w:name w:val="header"/>
    <w:basedOn w:val="Normal"/>
    <w:link w:val="CabealhoChar"/>
    <w:uiPriority w:val="99"/>
    <w:rsid w:val="00E5561F"/>
    <w:pPr>
      <w:tabs>
        <w:tab w:val="center" w:pos="4513"/>
        <w:tab w:val="right" w:pos="9026"/>
      </w:tabs>
      <w:spacing w:line="240" w:lineRule="auto"/>
    </w:pPr>
  </w:style>
  <w:style w:type="character" w:customStyle="1" w:styleId="CabealhoChar">
    <w:name w:val="Cabeçalho Char"/>
    <w:basedOn w:val="Fontepargpadro"/>
    <w:link w:val="Cabealho"/>
    <w:uiPriority w:val="99"/>
    <w:semiHidden/>
    <w:locked/>
    <w:rsid w:val="00E5561F"/>
    <w:rPr>
      <w:rFonts w:cs="Times New Roman"/>
      <w:sz w:val="24"/>
      <w:lang w:val="pt-BR" w:eastAsia="pt-BR"/>
    </w:rPr>
  </w:style>
  <w:style w:type="paragraph" w:styleId="Rodap">
    <w:name w:val="footer"/>
    <w:basedOn w:val="Normal"/>
    <w:link w:val="RodapChar"/>
    <w:uiPriority w:val="99"/>
    <w:rsid w:val="00E5561F"/>
    <w:pPr>
      <w:tabs>
        <w:tab w:val="center" w:pos="4513"/>
        <w:tab w:val="right" w:pos="9026"/>
      </w:tabs>
      <w:spacing w:line="240" w:lineRule="auto"/>
    </w:pPr>
  </w:style>
  <w:style w:type="character" w:customStyle="1" w:styleId="RodapChar">
    <w:name w:val="Rodapé Char"/>
    <w:basedOn w:val="Fontepargpadro"/>
    <w:link w:val="Rodap"/>
    <w:uiPriority w:val="99"/>
    <w:locked/>
    <w:rsid w:val="00E5561F"/>
    <w:rPr>
      <w:rFonts w:cs="Times New Roman"/>
      <w:sz w:val="24"/>
      <w:lang w:val="pt-BR" w:eastAsia="pt-BR"/>
    </w:rPr>
  </w:style>
  <w:style w:type="table" w:customStyle="1" w:styleId="LightShading-Accent21">
    <w:name w:val="Light Shading - Accent 21"/>
    <w:uiPriority w:val="99"/>
    <w:rsid w:val="00E5561F"/>
    <w:rPr>
      <w:rFonts w:ascii="Arial" w:hAnsi="Arial"/>
      <w:color w:val="83756D"/>
      <w:sz w:val="20"/>
      <w:szCs w:val="20"/>
    </w:rPr>
    <w:tblPr>
      <w:tblStyleRowBandSize w:val="1"/>
      <w:tblStyleColBandSize w:val="1"/>
      <w:tblInd w:w="0" w:type="dxa"/>
      <w:tblBorders>
        <w:top w:val="single" w:sz="8" w:space="0" w:color="AA9F98"/>
        <w:bottom w:val="single" w:sz="8" w:space="0" w:color="AA9F98"/>
      </w:tblBorders>
      <w:tblCellMar>
        <w:top w:w="0" w:type="dxa"/>
        <w:left w:w="108" w:type="dxa"/>
        <w:bottom w:w="0" w:type="dxa"/>
        <w:right w:w="108" w:type="dxa"/>
      </w:tblCellMar>
    </w:tblPr>
  </w:style>
  <w:style w:type="table" w:customStyle="1" w:styleId="MediumShading1-Accent41">
    <w:name w:val="Medium Shading 1 - Accent 41"/>
    <w:uiPriority w:val="99"/>
    <w:rsid w:val="00E5561F"/>
    <w:rPr>
      <w:rFonts w:ascii="Arial" w:hAnsi="Arial"/>
      <w:sz w:val="20"/>
      <w:szCs w:val="20"/>
    </w:rPr>
    <w:tblPr>
      <w:tblStyleRowBandSize w:val="1"/>
      <w:tblStyleColBandSize w:val="1"/>
      <w:tblInd w:w="0" w:type="dxa"/>
      <w:tblBorders>
        <w:top w:val="single" w:sz="8" w:space="0" w:color="E5E2E0"/>
        <w:left w:val="single" w:sz="8" w:space="0" w:color="E5E2E0"/>
        <w:bottom w:val="single" w:sz="8" w:space="0" w:color="E5E2E0"/>
        <w:right w:val="single" w:sz="8" w:space="0" w:color="E5E2E0"/>
        <w:insideH w:val="single" w:sz="8" w:space="0" w:color="E5E2E0"/>
      </w:tblBorders>
      <w:tblCellMar>
        <w:top w:w="0" w:type="dxa"/>
        <w:left w:w="108" w:type="dxa"/>
        <w:bottom w:w="0" w:type="dxa"/>
        <w:right w:w="108" w:type="dxa"/>
      </w:tblCellMar>
    </w:tblPr>
  </w:style>
  <w:style w:type="table" w:customStyle="1" w:styleId="MediumShading11">
    <w:name w:val="Medium Shading 11"/>
    <w:uiPriority w:val="99"/>
    <w:rsid w:val="00E5561F"/>
    <w:rPr>
      <w:rFonts w:ascii="Arial" w:hAnsi="Arial"/>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E5561F"/>
    <w:rPr>
      <w:rFonts w:ascii="Arial" w:hAnsi="Arial"/>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style>
  <w:style w:type="table" w:customStyle="1" w:styleId="LightList1">
    <w:name w:val="Light List1"/>
    <w:uiPriority w:val="99"/>
    <w:rsid w:val="00E5561F"/>
    <w:rPr>
      <w:rFonts w:ascii="Arial" w:hAnsi="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E5561F"/>
    <w:rPr>
      <w:rFonts w:ascii="Arial" w:hAnsi="Arial"/>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style>
  <w:style w:type="paragraph" w:customStyle="1" w:styleId="SectionHeading">
    <w:name w:val="Section Heading"/>
    <w:basedOn w:val="Ttulo1"/>
    <w:next w:val="Corpodetexto"/>
    <w:uiPriority w:val="99"/>
    <w:rsid w:val="00E5561F"/>
    <w:pPr>
      <w:pageBreakBefore/>
      <w:framePr w:w="10478" w:wrap="notBeside" w:vAnchor="page" w:hAnchor="margin" w:y="1135"/>
      <w:spacing w:line="720" w:lineRule="exact"/>
    </w:pPr>
    <w:rPr>
      <w:sz w:val="72"/>
    </w:rPr>
  </w:style>
  <w:style w:type="paragraph" w:customStyle="1" w:styleId="Logo">
    <w:name w:val="Logo"/>
    <w:basedOn w:val="Normal"/>
    <w:next w:val="Corpodetexto"/>
    <w:uiPriority w:val="99"/>
    <w:rsid w:val="00E5561F"/>
    <w:pPr>
      <w:spacing w:line="204" w:lineRule="auto"/>
      <w:jc w:val="right"/>
    </w:pPr>
    <w:rPr>
      <w:rFonts w:ascii="PwC_Logo" w:hAnsi="PwC_Logo"/>
      <w:color w:val="00011F"/>
      <w:sz w:val="48"/>
      <w:szCs w:val="48"/>
    </w:rPr>
  </w:style>
  <w:style w:type="paragraph" w:styleId="Numerada2">
    <w:name w:val="List Number 2"/>
    <w:basedOn w:val="Normal"/>
    <w:uiPriority w:val="99"/>
    <w:rsid w:val="00E5561F"/>
    <w:pPr>
      <w:numPr>
        <w:ilvl w:val="1"/>
        <w:numId w:val="3"/>
      </w:numPr>
    </w:pPr>
  </w:style>
  <w:style w:type="paragraph" w:styleId="Numerada3">
    <w:name w:val="List Number 3"/>
    <w:basedOn w:val="Normal"/>
    <w:uiPriority w:val="99"/>
    <w:rsid w:val="00E5561F"/>
    <w:pPr>
      <w:numPr>
        <w:ilvl w:val="2"/>
        <w:numId w:val="3"/>
      </w:numPr>
    </w:pPr>
  </w:style>
  <w:style w:type="table" w:customStyle="1" w:styleId="PwCTable1">
    <w:name w:val="PwC Table 1"/>
    <w:uiPriority w:val="99"/>
    <w:rsid w:val="00E5561F"/>
    <w:rPr>
      <w:rFonts w:ascii="Arial" w:hAnsi="Arial"/>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style>
  <w:style w:type="paragraph" w:styleId="Commarcadores4">
    <w:name w:val="List Bullet 4"/>
    <w:basedOn w:val="Normal"/>
    <w:uiPriority w:val="99"/>
    <w:semiHidden/>
    <w:rsid w:val="00E5561F"/>
    <w:pPr>
      <w:numPr>
        <w:ilvl w:val="3"/>
        <w:numId w:val="2"/>
      </w:numPr>
    </w:pPr>
  </w:style>
  <w:style w:type="paragraph" w:styleId="Listadecontinuao">
    <w:name w:val="List Continue"/>
    <w:basedOn w:val="Normal"/>
    <w:uiPriority w:val="99"/>
    <w:rsid w:val="00E5561F"/>
    <w:pPr>
      <w:ind w:left="397"/>
    </w:pPr>
  </w:style>
  <w:style w:type="paragraph" w:styleId="Listadecontinuao2">
    <w:name w:val="List Continue 2"/>
    <w:basedOn w:val="Normal"/>
    <w:uiPriority w:val="99"/>
    <w:rsid w:val="00E5561F"/>
    <w:pPr>
      <w:ind w:left="794"/>
    </w:pPr>
  </w:style>
  <w:style w:type="paragraph" w:styleId="Lista3">
    <w:name w:val="List 3"/>
    <w:basedOn w:val="Normal"/>
    <w:uiPriority w:val="99"/>
    <w:rsid w:val="00E5561F"/>
    <w:pPr>
      <w:ind w:left="1191" w:hanging="397"/>
    </w:pPr>
  </w:style>
  <w:style w:type="paragraph" w:styleId="Lista4">
    <w:name w:val="List 4"/>
    <w:basedOn w:val="Normal"/>
    <w:uiPriority w:val="99"/>
    <w:semiHidden/>
    <w:rsid w:val="00E5561F"/>
    <w:pPr>
      <w:ind w:left="1588" w:hanging="397"/>
    </w:pPr>
  </w:style>
  <w:style w:type="paragraph" w:styleId="Lista5">
    <w:name w:val="List 5"/>
    <w:basedOn w:val="Normal"/>
    <w:uiPriority w:val="99"/>
    <w:semiHidden/>
    <w:rsid w:val="00E5561F"/>
    <w:pPr>
      <w:ind w:left="1985" w:hanging="397"/>
    </w:pPr>
  </w:style>
  <w:style w:type="paragraph" w:styleId="Listadecontinuao3">
    <w:name w:val="List Continue 3"/>
    <w:basedOn w:val="Normal"/>
    <w:uiPriority w:val="99"/>
    <w:rsid w:val="00E5561F"/>
    <w:pPr>
      <w:ind w:left="1191"/>
    </w:pPr>
  </w:style>
  <w:style w:type="paragraph" w:styleId="Listadecontinuao4">
    <w:name w:val="List Continue 4"/>
    <w:basedOn w:val="Normal"/>
    <w:uiPriority w:val="99"/>
    <w:semiHidden/>
    <w:rsid w:val="00E5561F"/>
    <w:pPr>
      <w:ind w:left="1588"/>
    </w:pPr>
  </w:style>
  <w:style w:type="paragraph" w:styleId="Listadecontinuao5">
    <w:name w:val="List Continue 5"/>
    <w:basedOn w:val="Normal"/>
    <w:uiPriority w:val="99"/>
    <w:semiHidden/>
    <w:rsid w:val="00E5561F"/>
    <w:pPr>
      <w:ind w:left="1985"/>
    </w:pPr>
  </w:style>
  <w:style w:type="paragraph" w:styleId="Numerada4">
    <w:name w:val="List Number 4"/>
    <w:basedOn w:val="Normal"/>
    <w:uiPriority w:val="99"/>
    <w:semiHidden/>
    <w:rsid w:val="00E5561F"/>
    <w:pPr>
      <w:numPr>
        <w:ilvl w:val="3"/>
        <w:numId w:val="3"/>
      </w:numPr>
    </w:pPr>
  </w:style>
  <w:style w:type="paragraph" w:styleId="Numerada5">
    <w:name w:val="List Number 5"/>
    <w:basedOn w:val="Normal"/>
    <w:uiPriority w:val="99"/>
    <w:semiHidden/>
    <w:rsid w:val="00E5561F"/>
    <w:pPr>
      <w:numPr>
        <w:ilvl w:val="4"/>
        <w:numId w:val="3"/>
      </w:numPr>
    </w:pPr>
  </w:style>
  <w:style w:type="paragraph" w:styleId="Commarcadores5">
    <w:name w:val="List Bullet 5"/>
    <w:basedOn w:val="Normal"/>
    <w:uiPriority w:val="99"/>
    <w:semiHidden/>
    <w:rsid w:val="00E5561F"/>
    <w:pPr>
      <w:numPr>
        <w:ilvl w:val="4"/>
        <w:numId w:val="2"/>
      </w:numPr>
    </w:pPr>
  </w:style>
  <w:style w:type="paragraph" w:styleId="Lista2">
    <w:name w:val="List 2"/>
    <w:basedOn w:val="Normal"/>
    <w:uiPriority w:val="99"/>
    <w:rsid w:val="00E5561F"/>
    <w:pPr>
      <w:ind w:left="794" w:hanging="397"/>
    </w:pPr>
  </w:style>
  <w:style w:type="paragraph" w:styleId="Lista">
    <w:name w:val="List"/>
    <w:basedOn w:val="Normal"/>
    <w:uiPriority w:val="99"/>
    <w:rsid w:val="00E5561F"/>
    <w:pPr>
      <w:ind w:left="397" w:hanging="397"/>
    </w:pPr>
  </w:style>
  <w:style w:type="character" w:styleId="Nmerodepgina">
    <w:name w:val="page number"/>
    <w:basedOn w:val="Fontepargpadro"/>
    <w:uiPriority w:val="99"/>
    <w:rsid w:val="00E5561F"/>
    <w:rPr>
      <w:rFonts w:cs="Times New Roman"/>
    </w:rPr>
  </w:style>
  <w:style w:type="paragraph" w:styleId="TextosemFormatao">
    <w:name w:val="Plain Text"/>
    <w:basedOn w:val="Normal"/>
    <w:link w:val="TextosemFormataoChar"/>
    <w:uiPriority w:val="99"/>
    <w:rsid w:val="00E5561F"/>
    <w:pPr>
      <w:widowControl/>
      <w:spacing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5561F"/>
    <w:rPr>
      <w:rFonts w:ascii="Courier New" w:hAnsi="Courier New" w:cs="Times New Roman"/>
      <w:lang w:val="pt-BR" w:eastAsia="pt-BR"/>
    </w:rPr>
  </w:style>
  <w:style w:type="paragraph" w:styleId="Recuodecorpodetexto">
    <w:name w:val="Body Text Indent"/>
    <w:basedOn w:val="Normal"/>
    <w:link w:val="RecuodecorpodetextoChar"/>
    <w:uiPriority w:val="99"/>
    <w:rsid w:val="00E5561F"/>
    <w:pPr>
      <w:spacing w:after="120"/>
      <w:ind w:left="283"/>
    </w:pPr>
  </w:style>
  <w:style w:type="character" w:customStyle="1" w:styleId="RecuodecorpodetextoChar">
    <w:name w:val="Recuo de corpo de texto Char"/>
    <w:basedOn w:val="Fontepargpadro"/>
    <w:link w:val="Recuodecorpodetexto"/>
    <w:uiPriority w:val="99"/>
    <w:semiHidden/>
    <w:locked/>
    <w:rsid w:val="00E5561F"/>
    <w:rPr>
      <w:rFonts w:cs="Times New Roman"/>
      <w:sz w:val="24"/>
      <w:lang w:val="pt-BR" w:eastAsia="pt-BR"/>
    </w:rPr>
  </w:style>
  <w:style w:type="paragraph" w:customStyle="1" w:styleId="CharChar1CharCharCharCharCharCharCharCharCharCharCharCharChar">
    <w:name w:val="Char Char1 Char Char Char Char Char Char Char Char Char Char Char Char Char"/>
    <w:basedOn w:val="Normal"/>
    <w:uiPriority w:val="99"/>
    <w:rsid w:val="00E5561F"/>
    <w:pPr>
      <w:widowControl/>
      <w:spacing w:after="160" w:line="240" w:lineRule="exact"/>
    </w:pPr>
    <w:rPr>
      <w:rFonts w:ascii="Verdana" w:eastAsia="SimSun" w:hAnsi="Verdana"/>
      <w:sz w:val="20"/>
      <w:szCs w:val="20"/>
      <w:lang w:val="en-US" w:eastAsia="en-US"/>
    </w:rPr>
  </w:style>
  <w:style w:type="paragraph" w:styleId="Corpodetexto2">
    <w:name w:val="Body Text 2"/>
    <w:basedOn w:val="Normal"/>
    <w:link w:val="Corpodetexto2Char"/>
    <w:uiPriority w:val="99"/>
    <w:rsid w:val="00E5561F"/>
    <w:pPr>
      <w:widowControl/>
      <w:spacing w:before="120" w:after="120" w:line="240" w:lineRule="auto"/>
      <w:ind w:firstLine="1440"/>
      <w:jc w:val="both"/>
    </w:pPr>
    <w:rPr>
      <w:rFonts w:ascii="Arial MT" w:hAnsi="Arial MT"/>
      <w:sz w:val="23"/>
      <w:szCs w:val="20"/>
    </w:rPr>
  </w:style>
  <w:style w:type="character" w:customStyle="1" w:styleId="Corpodetexto2Char">
    <w:name w:val="Corpo de texto 2 Char"/>
    <w:basedOn w:val="Fontepargpadro"/>
    <w:link w:val="Corpodetexto2"/>
    <w:uiPriority w:val="99"/>
    <w:locked/>
    <w:rsid w:val="00E5561F"/>
    <w:rPr>
      <w:rFonts w:ascii="Arial MT" w:hAnsi="Arial MT" w:cs="Times New Roman"/>
      <w:sz w:val="23"/>
      <w:lang w:val="pt-BR" w:eastAsia="pt-BR"/>
    </w:rPr>
  </w:style>
  <w:style w:type="paragraph" w:customStyle="1" w:styleId="LinhaTabela">
    <w:name w:val="Linha Tabela"/>
    <w:uiPriority w:val="99"/>
    <w:rsid w:val="00E5561F"/>
    <w:rPr>
      <w:rFonts w:ascii="Arial MT" w:hAnsi="Arial MT"/>
      <w:sz w:val="23"/>
      <w:szCs w:val="20"/>
    </w:rPr>
  </w:style>
  <w:style w:type="paragraph" w:styleId="Corpodetexto3">
    <w:name w:val="Body Text 3"/>
    <w:basedOn w:val="Normal"/>
    <w:link w:val="Corpodetexto3Char"/>
    <w:uiPriority w:val="99"/>
    <w:rsid w:val="00E5561F"/>
    <w:pPr>
      <w:widowControl/>
      <w:spacing w:line="240" w:lineRule="auto"/>
      <w:jc w:val="both"/>
    </w:pPr>
    <w:rPr>
      <w:rFonts w:ascii="Arial" w:hAnsi="Arial"/>
      <w:i/>
      <w:szCs w:val="20"/>
    </w:rPr>
  </w:style>
  <w:style w:type="character" w:customStyle="1" w:styleId="Corpodetexto3Char">
    <w:name w:val="Corpo de texto 3 Char"/>
    <w:basedOn w:val="Fontepargpadro"/>
    <w:link w:val="Corpodetexto3"/>
    <w:uiPriority w:val="99"/>
    <w:locked/>
    <w:rsid w:val="00E5561F"/>
    <w:rPr>
      <w:rFonts w:ascii="Arial" w:hAnsi="Arial" w:cs="Times New Roman"/>
      <w:i/>
      <w:sz w:val="24"/>
      <w:lang w:val="pt-BR" w:eastAsia="pt-BR"/>
    </w:rPr>
  </w:style>
  <w:style w:type="paragraph" w:styleId="Recuodecorpodetexto2">
    <w:name w:val="Body Text Indent 2"/>
    <w:basedOn w:val="Normal"/>
    <w:link w:val="Recuodecorpodetexto2Char"/>
    <w:uiPriority w:val="99"/>
    <w:rsid w:val="00E5561F"/>
    <w:pPr>
      <w:widowControl/>
      <w:tabs>
        <w:tab w:val="left" w:pos="284"/>
      </w:tabs>
      <w:spacing w:line="240" w:lineRule="auto"/>
      <w:ind w:left="284" w:hanging="284"/>
      <w:jc w:val="both"/>
    </w:pPr>
    <w:rPr>
      <w:rFonts w:ascii="Arial" w:hAnsi="Arial"/>
      <w:szCs w:val="20"/>
    </w:rPr>
  </w:style>
  <w:style w:type="character" w:customStyle="1" w:styleId="Recuodecorpodetexto2Char">
    <w:name w:val="Recuo de corpo de texto 2 Char"/>
    <w:basedOn w:val="Fontepargpadro"/>
    <w:link w:val="Recuodecorpodetexto2"/>
    <w:uiPriority w:val="99"/>
    <w:locked/>
    <w:rsid w:val="00E5561F"/>
    <w:rPr>
      <w:rFonts w:ascii="Arial" w:hAnsi="Arial" w:cs="Times New Roman"/>
      <w:sz w:val="24"/>
      <w:lang w:val="pt-BR" w:eastAsia="pt-BR"/>
    </w:rPr>
  </w:style>
  <w:style w:type="paragraph" w:styleId="MapadoDocumento">
    <w:name w:val="Document Map"/>
    <w:basedOn w:val="Normal"/>
    <w:link w:val="MapadoDocumentoChar"/>
    <w:uiPriority w:val="99"/>
    <w:semiHidden/>
    <w:rsid w:val="00E5561F"/>
    <w:pPr>
      <w:widowControl/>
      <w:shd w:val="clear" w:color="auto" w:fill="000080"/>
      <w:spacing w:after="240" w:line="240" w:lineRule="auto"/>
      <w:jc w:val="both"/>
    </w:pPr>
    <w:rPr>
      <w:rFonts w:ascii="Tahoma" w:hAnsi="Tahoma"/>
      <w:sz w:val="22"/>
      <w:szCs w:val="20"/>
    </w:rPr>
  </w:style>
  <w:style w:type="character" w:customStyle="1" w:styleId="MapadoDocumentoChar">
    <w:name w:val="Mapa do Documento Char"/>
    <w:basedOn w:val="Fontepargpadro"/>
    <w:link w:val="MapadoDocumento"/>
    <w:uiPriority w:val="99"/>
    <w:semiHidden/>
    <w:locked/>
    <w:rsid w:val="00E5561F"/>
    <w:rPr>
      <w:rFonts w:ascii="Tahoma" w:hAnsi="Tahoma" w:cs="Times New Roman"/>
      <w:sz w:val="22"/>
      <w:lang w:val="pt-BR" w:eastAsia="pt-BR"/>
    </w:rPr>
  </w:style>
  <w:style w:type="paragraph" w:styleId="Recuodecorpodetexto3">
    <w:name w:val="Body Text Indent 3"/>
    <w:basedOn w:val="Normal"/>
    <w:link w:val="Recuodecorpodetexto3Char"/>
    <w:uiPriority w:val="99"/>
    <w:rsid w:val="00E5561F"/>
    <w:pPr>
      <w:widowControl/>
      <w:spacing w:line="240" w:lineRule="auto"/>
      <w:ind w:left="426"/>
      <w:jc w:val="both"/>
    </w:pPr>
    <w:rPr>
      <w:rFonts w:ascii="Arial" w:hAnsi="Arial"/>
      <w:szCs w:val="20"/>
    </w:rPr>
  </w:style>
  <w:style w:type="character" w:customStyle="1" w:styleId="Recuodecorpodetexto3Char">
    <w:name w:val="Recuo de corpo de texto 3 Char"/>
    <w:basedOn w:val="Fontepargpadro"/>
    <w:link w:val="Recuodecorpodetexto3"/>
    <w:uiPriority w:val="99"/>
    <w:locked/>
    <w:rsid w:val="00E5561F"/>
    <w:rPr>
      <w:rFonts w:ascii="Arial" w:hAnsi="Arial" w:cs="Times New Roman"/>
      <w:sz w:val="24"/>
      <w:lang w:val="pt-BR" w:eastAsia="pt-BR"/>
    </w:rPr>
  </w:style>
  <w:style w:type="paragraph" w:styleId="NormalWeb">
    <w:name w:val="Normal (Web)"/>
    <w:basedOn w:val="Normal"/>
    <w:link w:val="NormalWebChar"/>
    <w:uiPriority w:val="99"/>
    <w:rsid w:val="00E5561F"/>
    <w:pPr>
      <w:widowControl/>
      <w:spacing w:before="100" w:beforeAutospacing="1" w:after="100" w:afterAutospacing="1" w:line="240" w:lineRule="auto"/>
    </w:pPr>
    <w:rPr>
      <w:szCs w:val="20"/>
    </w:rPr>
  </w:style>
  <w:style w:type="paragraph" w:customStyle="1" w:styleId="texto2">
    <w:name w:val="texto2"/>
    <w:basedOn w:val="Normal"/>
    <w:uiPriority w:val="99"/>
    <w:rsid w:val="00E5561F"/>
    <w:pPr>
      <w:widowControl/>
      <w:spacing w:before="100" w:beforeAutospacing="1" w:after="100" w:afterAutospacing="1" w:line="240" w:lineRule="auto"/>
    </w:pPr>
  </w:style>
  <w:style w:type="paragraph" w:customStyle="1" w:styleId="CharCharCharCharCharChar">
    <w:name w:val="Char Char Char Char Char Char"/>
    <w:basedOn w:val="Normal"/>
    <w:uiPriority w:val="99"/>
    <w:rsid w:val="00E5561F"/>
    <w:pPr>
      <w:widowControl/>
      <w:spacing w:after="160" w:line="240" w:lineRule="exact"/>
    </w:pPr>
    <w:rPr>
      <w:rFonts w:ascii="Verdana" w:hAnsi="Verdana"/>
      <w:sz w:val="20"/>
      <w:szCs w:val="20"/>
      <w:lang w:val="en-US" w:eastAsia="en-US"/>
    </w:rPr>
  </w:style>
  <w:style w:type="character" w:customStyle="1" w:styleId="luisfh">
    <w:name w:val="luisfh"/>
    <w:uiPriority w:val="99"/>
    <w:semiHidden/>
    <w:rsid w:val="00E5561F"/>
    <w:rPr>
      <w:rFonts w:ascii="Arial" w:hAnsi="Arial"/>
      <w:color w:val="000080"/>
      <w:sz w:val="20"/>
    </w:rPr>
  </w:style>
  <w:style w:type="paragraph" w:customStyle="1" w:styleId="BodyText21">
    <w:name w:val="Body Text 21"/>
    <w:basedOn w:val="Normal"/>
    <w:uiPriority w:val="99"/>
    <w:rsid w:val="00E5561F"/>
    <w:pPr>
      <w:widowControl/>
      <w:spacing w:line="240" w:lineRule="auto"/>
    </w:pPr>
    <w:rPr>
      <w:szCs w:val="20"/>
    </w:rPr>
  </w:style>
  <w:style w:type="paragraph" w:customStyle="1" w:styleId="default">
    <w:name w:val="default"/>
    <w:basedOn w:val="Normal"/>
    <w:rsid w:val="00E5561F"/>
    <w:pPr>
      <w:widowControl/>
      <w:autoSpaceDE w:val="0"/>
      <w:autoSpaceDN w:val="0"/>
      <w:spacing w:line="240" w:lineRule="auto"/>
    </w:pPr>
    <w:rPr>
      <w:color w:val="000000"/>
    </w:rPr>
  </w:style>
  <w:style w:type="paragraph" w:customStyle="1" w:styleId="Texto">
    <w:name w:val="Texto"/>
    <w:basedOn w:val="Normal"/>
    <w:uiPriority w:val="99"/>
    <w:rsid w:val="00E5561F"/>
    <w:pPr>
      <w:spacing w:line="240" w:lineRule="auto"/>
      <w:jc w:val="both"/>
    </w:pPr>
    <w:rPr>
      <w:rFonts w:ascii="Arial" w:hAnsi="Arial"/>
      <w:szCs w:val="20"/>
    </w:rPr>
  </w:style>
  <w:style w:type="table" w:customStyle="1" w:styleId="TableGrid1">
    <w:name w:val="Table Grid1"/>
    <w:uiPriority w:val="99"/>
    <w:rsid w:val="00E556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link w:val="Normal1Char"/>
    <w:uiPriority w:val="99"/>
    <w:rsid w:val="00E5561F"/>
    <w:pPr>
      <w:spacing w:after="240" w:line="228" w:lineRule="auto"/>
      <w:ind w:left="460"/>
      <w:jc w:val="both"/>
    </w:pPr>
    <w:rPr>
      <w:szCs w:val="20"/>
    </w:rPr>
  </w:style>
  <w:style w:type="paragraph" w:customStyle="1" w:styleId="CharCharChar">
    <w:name w:val="Char Char Char"/>
    <w:basedOn w:val="Normal"/>
    <w:uiPriority w:val="99"/>
    <w:rsid w:val="00E5561F"/>
    <w:pPr>
      <w:widowControl/>
      <w:spacing w:after="160" w:line="240" w:lineRule="exact"/>
    </w:pPr>
    <w:rPr>
      <w:szCs w:val="20"/>
    </w:rPr>
  </w:style>
  <w:style w:type="paragraph" w:styleId="Textodenotadefim">
    <w:name w:val="endnote text"/>
    <w:basedOn w:val="Normal"/>
    <w:link w:val="TextodenotadefimChar"/>
    <w:uiPriority w:val="99"/>
    <w:semiHidden/>
    <w:rsid w:val="00E5561F"/>
    <w:pPr>
      <w:spacing w:line="240" w:lineRule="auto"/>
    </w:pPr>
    <w:rPr>
      <w:szCs w:val="20"/>
      <w:lang w:eastAsia="en-US"/>
    </w:rPr>
  </w:style>
  <w:style w:type="character" w:customStyle="1" w:styleId="TextodenotadefimChar">
    <w:name w:val="Texto de nota de fim Char"/>
    <w:basedOn w:val="Fontepargpadro"/>
    <w:link w:val="Textodenotadefim"/>
    <w:uiPriority w:val="99"/>
    <w:semiHidden/>
    <w:locked/>
    <w:rsid w:val="00BB794B"/>
    <w:rPr>
      <w:rFonts w:cs="Times New Roman"/>
      <w:sz w:val="20"/>
      <w:szCs w:val="20"/>
    </w:rPr>
  </w:style>
  <w:style w:type="paragraph" w:styleId="Textodebalo">
    <w:name w:val="Balloon Text"/>
    <w:basedOn w:val="Normal"/>
    <w:link w:val="TextodebaloChar"/>
    <w:uiPriority w:val="99"/>
    <w:semiHidden/>
    <w:rsid w:val="00E5561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561F"/>
    <w:rPr>
      <w:rFonts w:ascii="Tahoma" w:hAnsi="Tahoma" w:cs="Times New Roman"/>
      <w:sz w:val="16"/>
      <w:lang w:val="pt-BR" w:eastAsia="pt-BR"/>
    </w:rPr>
  </w:style>
  <w:style w:type="character" w:customStyle="1" w:styleId="Normal1Char">
    <w:name w:val="Normal1 Char"/>
    <w:link w:val="Normal1"/>
    <w:uiPriority w:val="99"/>
    <w:locked/>
    <w:rsid w:val="00E5561F"/>
    <w:rPr>
      <w:sz w:val="24"/>
      <w:lang w:val="pt-BR" w:eastAsia="pt-BR"/>
    </w:rPr>
  </w:style>
  <w:style w:type="character" w:customStyle="1" w:styleId="NormalWebChar">
    <w:name w:val="Normal (Web) Char"/>
    <w:link w:val="NormalWeb"/>
    <w:uiPriority w:val="99"/>
    <w:locked/>
    <w:rsid w:val="00E5561F"/>
    <w:rPr>
      <w:sz w:val="24"/>
      <w:lang w:val="pt-BR" w:eastAsia="pt-BR"/>
    </w:rPr>
  </w:style>
  <w:style w:type="character" w:styleId="nfase">
    <w:name w:val="Emphasis"/>
    <w:basedOn w:val="Fontepargpadro"/>
    <w:uiPriority w:val="99"/>
    <w:qFormat/>
    <w:rsid w:val="00992335"/>
    <w:rPr>
      <w:rFonts w:cs="Times New Roman"/>
      <w:i/>
    </w:rPr>
  </w:style>
  <w:style w:type="paragraph" w:styleId="Textodenotaderodap">
    <w:name w:val="footnote text"/>
    <w:basedOn w:val="Normal"/>
    <w:link w:val="TextodenotaderodapChar"/>
    <w:uiPriority w:val="99"/>
    <w:rsid w:val="00D01680"/>
    <w:pPr>
      <w:widowControl/>
      <w:spacing w:line="240" w:lineRule="auto"/>
    </w:pPr>
    <w:rPr>
      <w:rFonts w:eastAsia="SimSun"/>
      <w:sz w:val="20"/>
      <w:szCs w:val="20"/>
      <w:lang w:val="en-GB" w:eastAsia="zh-CN"/>
    </w:rPr>
  </w:style>
  <w:style w:type="character" w:customStyle="1" w:styleId="TextodenotaderodapChar">
    <w:name w:val="Texto de nota de rodapé Char"/>
    <w:basedOn w:val="Fontepargpadro"/>
    <w:link w:val="Textodenotaderodap"/>
    <w:uiPriority w:val="99"/>
    <w:locked/>
    <w:rsid w:val="00D01680"/>
    <w:rPr>
      <w:rFonts w:eastAsia="SimSun" w:cs="Times New Roman"/>
      <w:lang w:val="en-GB" w:eastAsia="zh-CN"/>
    </w:rPr>
  </w:style>
  <w:style w:type="character" w:styleId="Refdenotaderodap">
    <w:name w:val="footnote reference"/>
    <w:basedOn w:val="Fontepargpadro"/>
    <w:uiPriority w:val="99"/>
    <w:rsid w:val="00D01680"/>
    <w:rPr>
      <w:rFonts w:cs="Times New Roman"/>
      <w:vertAlign w:val="superscript"/>
    </w:rPr>
  </w:style>
  <w:style w:type="character" w:styleId="Hyperlink">
    <w:name w:val="Hyperlink"/>
    <w:basedOn w:val="Fontepargpadro"/>
    <w:uiPriority w:val="99"/>
    <w:rsid w:val="00013CD1"/>
    <w:rPr>
      <w:rFonts w:cs="Times New Roman"/>
      <w:color w:val="0000FF"/>
      <w:u w:val="single"/>
    </w:rPr>
  </w:style>
  <w:style w:type="character" w:styleId="HiperlinkVisitado">
    <w:name w:val="FollowedHyperlink"/>
    <w:basedOn w:val="Fontepargpadro"/>
    <w:uiPriority w:val="99"/>
    <w:rsid w:val="00AB7CB8"/>
    <w:rPr>
      <w:rFonts w:cs="Times New Roman"/>
      <w:color w:val="800080"/>
      <w:u w:val="single"/>
    </w:rPr>
  </w:style>
  <w:style w:type="character" w:styleId="Refdecomentrio">
    <w:name w:val="annotation reference"/>
    <w:basedOn w:val="Fontepargpadro"/>
    <w:uiPriority w:val="99"/>
    <w:rsid w:val="0021215C"/>
    <w:rPr>
      <w:rFonts w:cs="Times New Roman"/>
      <w:sz w:val="16"/>
    </w:rPr>
  </w:style>
  <w:style w:type="paragraph" w:styleId="Textodecomentrio">
    <w:name w:val="annotation text"/>
    <w:basedOn w:val="Normal"/>
    <w:link w:val="TextodecomentrioChar"/>
    <w:uiPriority w:val="99"/>
    <w:rsid w:val="0021215C"/>
    <w:rPr>
      <w:sz w:val="20"/>
      <w:szCs w:val="20"/>
    </w:rPr>
  </w:style>
  <w:style w:type="character" w:customStyle="1" w:styleId="TextodecomentrioChar">
    <w:name w:val="Texto de comentário Char"/>
    <w:basedOn w:val="Fontepargpadro"/>
    <w:link w:val="Textodecomentrio"/>
    <w:uiPriority w:val="99"/>
    <w:locked/>
    <w:rsid w:val="0021215C"/>
    <w:rPr>
      <w:rFonts w:cs="Times New Roman"/>
    </w:rPr>
  </w:style>
  <w:style w:type="paragraph" w:styleId="Assuntodocomentrio">
    <w:name w:val="annotation subject"/>
    <w:basedOn w:val="Textodecomentrio"/>
    <w:next w:val="Textodecomentrio"/>
    <w:link w:val="AssuntodocomentrioChar"/>
    <w:uiPriority w:val="99"/>
    <w:rsid w:val="0021215C"/>
    <w:rPr>
      <w:b/>
      <w:bCs/>
    </w:rPr>
  </w:style>
  <w:style w:type="character" w:customStyle="1" w:styleId="AssuntodocomentrioChar">
    <w:name w:val="Assunto do comentário Char"/>
    <w:basedOn w:val="TextodecomentrioChar"/>
    <w:link w:val="Assuntodocomentrio"/>
    <w:uiPriority w:val="99"/>
    <w:locked/>
    <w:rsid w:val="0021215C"/>
    <w:rPr>
      <w:rFonts w:cs="Times New Roman"/>
      <w:b/>
    </w:rPr>
  </w:style>
  <w:style w:type="paragraph" w:customStyle="1" w:styleId="Marcador">
    <w:name w:val="Marcador"/>
    <w:basedOn w:val="Normal"/>
    <w:uiPriority w:val="99"/>
    <w:rsid w:val="00D3530D"/>
    <w:pPr>
      <w:numPr>
        <w:numId w:val="1"/>
      </w:numPr>
      <w:tabs>
        <w:tab w:val="clear" w:pos="360"/>
        <w:tab w:val="num" w:pos="720"/>
      </w:tabs>
      <w:spacing w:after="120" w:line="240" w:lineRule="auto"/>
      <w:ind w:left="720"/>
      <w:jc w:val="both"/>
    </w:pPr>
    <w:rPr>
      <w:rFonts w:ascii="Arial" w:hAnsi="Arial"/>
      <w:noProof/>
      <w:color w:val="00469D"/>
    </w:rPr>
  </w:style>
  <w:style w:type="paragraph" w:customStyle="1" w:styleId="textonovo">
    <w:name w:val="texto novo"/>
    <w:basedOn w:val="Normal"/>
    <w:uiPriority w:val="99"/>
    <w:rsid w:val="00D3530D"/>
    <w:pPr>
      <w:widowControl/>
      <w:spacing w:after="120" w:line="240" w:lineRule="auto"/>
      <w:jc w:val="both"/>
    </w:pPr>
    <w:rPr>
      <w:rFonts w:ascii="Arial" w:hAnsi="Arial" w:cs="Arial"/>
      <w:noProof/>
      <w:color w:val="00469D"/>
      <w:szCs w:val="20"/>
    </w:rPr>
  </w:style>
  <w:style w:type="character" w:customStyle="1" w:styleId="charchar4">
    <w:name w:val="charchar4"/>
    <w:uiPriority w:val="99"/>
    <w:rsid w:val="00627B82"/>
  </w:style>
  <w:style w:type="paragraph" w:styleId="PargrafodaLista">
    <w:name w:val="List Paragraph"/>
    <w:aliases w:val="Párrafo de lista numerado"/>
    <w:basedOn w:val="Normal"/>
    <w:link w:val="PargrafodaListaChar"/>
    <w:uiPriority w:val="34"/>
    <w:qFormat/>
    <w:rsid w:val="00077C3B"/>
    <w:pPr>
      <w:ind w:left="720"/>
      <w:contextualSpacing/>
    </w:pPr>
  </w:style>
  <w:style w:type="character" w:customStyle="1" w:styleId="normalwebchar0">
    <w:name w:val="normalwebchar"/>
    <w:uiPriority w:val="99"/>
    <w:rsid w:val="00213DBF"/>
  </w:style>
  <w:style w:type="numbering" w:customStyle="1" w:styleId="PwCListNumbers1">
    <w:name w:val="PwC List Numbers 1"/>
    <w:rsid w:val="00462D99"/>
    <w:pPr>
      <w:numPr>
        <w:numId w:val="3"/>
      </w:numPr>
    </w:pPr>
  </w:style>
  <w:style w:type="numbering" w:customStyle="1" w:styleId="EstiloCommarcadoresSymbolsmboloAzulesquerda063cm">
    <w:name w:val="Estilo Com marcadores Symbol (símbolo) Azul À esquerda:  063 cm..."/>
    <w:rsid w:val="00462D99"/>
    <w:pPr>
      <w:numPr>
        <w:numId w:val="6"/>
      </w:numPr>
    </w:pPr>
  </w:style>
  <w:style w:type="numbering" w:customStyle="1" w:styleId="PwCListBullets1">
    <w:name w:val="PwC List Bullets 1"/>
    <w:rsid w:val="00462D99"/>
    <w:pPr>
      <w:numPr>
        <w:numId w:val="2"/>
      </w:numPr>
    </w:pPr>
  </w:style>
  <w:style w:type="paragraph" w:customStyle="1" w:styleId="Default0">
    <w:name w:val="Default"/>
    <w:link w:val="DefaultChar"/>
    <w:rsid w:val="00F44410"/>
    <w:pPr>
      <w:autoSpaceDE w:val="0"/>
      <w:autoSpaceDN w:val="0"/>
      <w:adjustRightInd w:val="0"/>
    </w:pPr>
    <w:rPr>
      <w:rFonts w:eastAsiaTheme="minorHAnsi"/>
      <w:color w:val="000000"/>
      <w:sz w:val="24"/>
      <w:szCs w:val="24"/>
      <w:lang w:eastAsia="en-US"/>
    </w:rPr>
  </w:style>
  <w:style w:type="character" w:customStyle="1" w:styleId="DefaultChar">
    <w:name w:val="Default Char"/>
    <w:basedOn w:val="Fontepargpadro"/>
    <w:link w:val="Default0"/>
    <w:locked/>
    <w:rsid w:val="00F44410"/>
    <w:rPr>
      <w:rFonts w:eastAsiaTheme="minorHAnsi"/>
      <w:color w:val="000000"/>
      <w:sz w:val="24"/>
      <w:szCs w:val="24"/>
      <w:lang w:eastAsia="en-US"/>
    </w:rPr>
  </w:style>
  <w:style w:type="paragraph" w:customStyle="1" w:styleId="Bodycopy">
    <w:name w:val="Body copy"/>
    <w:rsid w:val="00472453"/>
    <w:pPr>
      <w:spacing w:before="20" w:line="210" w:lineRule="exact"/>
    </w:pPr>
    <w:rPr>
      <w:rFonts w:ascii="Arial" w:eastAsia="PMingLiU" w:hAnsi="Arial" w:cs="Arial"/>
      <w:color w:val="000000"/>
      <w:sz w:val="17"/>
      <w:szCs w:val="17"/>
      <w:lang w:val="en-US" w:eastAsia="en-US"/>
    </w:rPr>
  </w:style>
  <w:style w:type="paragraph" w:customStyle="1" w:styleId="FCD">
    <w:name w:val="FCD"/>
    <w:basedOn w:val="Normal"/>
    <w:uiPriority w:val="99"/>
    <w:rsid w:val="003F4719"/>
    <w:pPr>
      <w:widowControl/>
      <w:spacing w:line="312" w:lineRule="auto"/>
      <w:jc w:val="both"/>
    </w:pPr>
    <w:rPr>
      <w:rFonts w:eastAsia="Calibri"/>
      <w:lang w:eastAsia="en-US"/>
    </w:rPr>
  </w:style>
  <w:style w:type="paragraph" w:customStyle="1" w:styleId="PargrafodaLista2">
    <w:name w:val="Parágrafo da Lista2"/>
    <w:basedOn w:val="Normal"/>
    <w:rsid w:val="00A43451"/>
    <w:pPr>
      <w:ind w:left="720"/>
      <w:contextualSpacing/>
    </w:pPr>
  </w:style>
  <w:style w:type="character" w:customStyle="1" w:styleId="PargrafodaListaChar">
    <w:name w:val="Parágrafo da Lista Char"/>
    <w:aliases w:val="Párrafo de lista numerado Char"/>
    <w:link w:val="PargrafodaLista"/>
    <w:uiPriority w:val="34"/>
    <w:rsid w:val="000C0B17"/>
    <w:rPr>
      <w:sz w:val="24"/>
      <w:szCs w:val="24"/>
    </w:rPr>
  </w:style>
  <w:style w:type="paragraph" w:styleId="Reviso">
    <w:name w:val="Revision"/>
    <w:hidden/>
    <w:uiPriority w:val="99"/>
    <w:semiHidden/>
    <w:rsid w:val="000823E7"/>
    <w:rPr>
      <w:sz w:val="24"/>
      <w:szCs w:val="24"/>
    </w:rPr>
  </w:style>
  <w:style w:type="paragraph" w:customStyle="1" w:styleId="ListParagraph1">
    <w:name w:val="List Paragraph1"/>
    <w:basedOn w:val="Normal"/>
    <w:uiPriority w:val="99"/>
    <w:rsid w:val="001D3E9C"/>
    <w:pPr>
      <w:widowControl/>
      <w:spacing w:line="240" w:lineRule="auto"/>
      <w:ind w:left="720"/>
      <w:contextualSpacing/>
    </w:pPr>
  </w:style>
  <w:style w:type="paragraph" w:customStyle="1" w:styleId="xmsolistparagraph">
    <w:name w:val="x_msolistparagraph"/>
    <w:basedOn w:val="Normal"/>
    <w:rsid w:val="00307CCF"/>
    <w:pPr>
      <w:widowControl/>
      <w:spacing w:before="100" w:beforeAutospacing="1" w:after="100" w:afterAutospacing="1" w:line="240" w:lineRule="auto"/>
    </w:pPr>
  </w:style>
  <w:style w:type="paragraph" w:customStyle="1" w:styleId="xmsonormal">
    <w:name w:val="x_msonormal"/>
    <w:basedOn w:val="Normal"/>
    <w:rsid w:val="00307CCF"/>
    <w:pPr>
      <w:widowControl/>
      <w:spacing w:before="100" w:beforeAutospacing="1" w:after="100" w:afterAutospacing="1" w:line="240" w:lineRule="auto"/>
    </w:pPr>
  </w:style>
  <w:style w:type="paragraph" w:customStyle="1" w:styleId="DSLxStyle">
    <w:name w:val="DSLxStyle"/>
    <w:basedOn w:val="Normal"/>
    <w:link w:val="DSLxStyleChar"/>
    <w:rsid w:val="00C55DAA"/>
    <w:pPr>
      <w:jc w:val="right"/>
    </w:pPr>
    <w:rPr>
      <w:rFonts w:ascii="Arial" w:hAnsi="Arial"/>
      <w:color w:val="666666"/>
      <w:sz w:val="12"/>
    </w:rPr>
  </w:style>
  <w:style w:type="character" w:customStyle="1" w:styleId="DSLxStyleChar">
    <w:name w:val="DSLxStyle Char"/>
    <w:basedOn w:val="Fontepargpadro"/>
    <w:link w:val="DSLxStyle"/>
    <w:rsid w:val="00C55DAA"/>
    <w:rPr>
      <w:rFonts w:ascii="Arial" w:hAnsi="Arial"/>
      <w:color w:val="666666"/>
      <w:sz w:val="12"/>
      <w:szCs w:val="24"/>
    </w:rPr>
  </w:style>
  <w:style w:type="paragraph" w:customStyle="1" w:styleId="yiv6459758197msolistparagraph">
    <w:name w:val="yiv6459758197msolistparagraph"/>
    <w:basedOn w:val="Normal"/>
    <w:rsid w:val="00170932"/>
    <w:pPr>
      <w:widowControl/>
      <w:spacing w:before="100" w:beforeAutospacing="1" w:after="100" w:afterAutospacing="1" w:line="240" w:lineRule="auto"/>
    </w:pPr>
  </w:style>
  <w:style w:type="character" w:customStyle="1" w:styleId="yiv6459758197spelle">
    <w:name w:val="yiv6459758197spelle"/>
    <w:basedOn w:val="Fontepargpadro"/>
    <w:rsid w:val="001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592">
      <w:bodyDiv w:val="1"/>
      <w:marLeft w:val="0"/>
      <w:marRight w:val="0"/>
      <w:marTop w:val="0"/>
      <w:marBottom w:val="0"/>
      <w:divBdr>
        <w:top w:val="none" w:sz="0" w:space="0" w:color="auto"/>
        <w:left w:val="none" w:sz="0" w:space="0" w:color="auto"/>
        <w:bottom w:val="none" w:sz="0" w:space="0" w:color="auto"/>
        <w:right w:val="none" w:sz="0" w:space="0" w:color="auto"/>
      </w:divBdr>
    </w:div>
    <w:div w:id="6174684">
      <w:bodyDiv w:val="1"/>
      <w:marLeft w:val="0"/>
      <w:marRight w:val="0"/>
      <w:marTop w:val="0"/>
      <w:marBottom w:val="0"/>
      <w:divBdr>
        <w:top w:val="none" w:sz="0" w:space="0" w:color="auto"/>
        <w:left w:val="none" w:sz="0" w:space="0" w:color="auto"/>
        <w:bottom w:val="none" w:sz="0" w:space="0" w:color="auto"/>
        <w:right w:val="none" w:sz="0" w:space="0" w:color="auto"/>
      </w:divBdr>
    </w:div>
    <w:div w:id="19742918">
      <w:bodyDiv w:val="1"/>
      <w:marLeft w:val="0"/>
      <w:marRight w:val="0"/>
      <w:marTop w:val="0"/>
      <w:marBottom w:val="0"/>
      <w:divBdr>
        <w:top w:val="none" w:sz="0" w:space="0" w:color="auto"/>
        <w:left w:val="none" w:sz="0" w:space="0" w:color="auto"/>
        <w:bottom w:val="none" w:sz="0" w:space="0" w:color="auto"/>
        <w:right w:val="none" w:sz="0" w:space="0" w:color="auto"/>
      </w:divBdr>
    </w:div>
    <w:div w:id="31082804">
      <w:bodyDiv w:val="1"/>
      <w:marLeft w:val="0"/>
      <w:marRight w:val="0"/>
      <w:marTop w:val="0"/>
      <w:marBottom w:val="0"/>
      <w:divBdr>
        <w:top w:val="none" w:sz="0" w:space="0" w:color="auto"/>
        <w:left w:val="none" w:sz="0" w:space="0" w:color="auto"/>
        <w:bottom w:val="none" w:sz="0" w:space="0" w:color="auto"/>
        <w:right w:val="none" w:sz="0" w:space="0" w:color="auto"/>
      </w:divBdr>
    </w:div>
    <w:div w:id="33232441">
      <w:bodyDiv w:val="1"/>
      <w:marLeft w:val="0"/>
      <w:marRight w:val="0"/>
      <w:marTop w:val="0"/>
      <w:marBottom w:val="0"/>
      <w:divBdr>
        <w:top w:val="none" w:sz="0" w:space="0" w:color="auto"/>
        <w:left w:val="none" w:sz="0" w:space="0" w:color="auto"/>
        <w:bottom w:val="none" w:sz="0" w:space="0" w:color="auto"/>
        <w:right w:val="none" w:sz="0" w:space="0" w:color="auto"/>
      </w:divBdr>
    </w:div>
    <w:div w:id="33236610">
      <w:bodyDiv w:val="1"/>
      <w:marLeft w:val="0"/>
      <w:marRight w:val="0"/>
      <w:marTop w:val="0"/>
      <w:marBottom w:val="0"/>
      <w:divBdr>
        <w:top w:val="none" w:sz="0" w:space="0" w:color="auto"/>
        <w:left w:val="none" w:sz="0" w:space="0" w:color="auto"/>
        <w:bottom w:val="none" w:sz="0" w:space="0" w:color="auto"/>
        <w:right w:val="none" w:sz="0" w:space="0" w:color="auto"/>
      </w:divBdr>
    </w:div>
    <w:div w:id="42028587">
      <w:bodyDiv w:val="1"/>
      <w:marLeft w:val="0"/>
      <w:marRight w:val="0"/>
      <w:marTop w:val="0"/>
      <w:marBottom w:val="0"/>
      <w:divBdr>
        <w:top w:val="none" w:sz="0" w:space="0" w:color="auto"/>
        <w:left w:val="none" w:sz="0" w:space="0" w:color="auto"/>
        <w:bottom w:val="none" w:sz="0" w:space="0" w:color="auto"/>
        <w:right w:val="none" w:sz="0" w:space="0" w:color="auto"/>
      </w:divBdr>
    </w:div>
    <w:div w:id="52967345">
      <w:bodyDiv w:val="1"/>
      <w:marLeft w:val="0"/>
      <w:marRight w:val="0"/>
      <w:marTop w:val="0"/>
      <w:marBottom w:val="0"/>
      <w:divBdr>
        <w:top w:val="none" w:sz="0" w:space="0" w:color="auto"/>
        <w:left w:val="none" w:sz="0" w:space="0" w:color="auto"/>
        <w:bottom w:val="none" w:sz="0" w:space="0" w:color="auto"/>
        <w:right w:val="none" w:sz="0" w:space="0" w:color="auto"/>
      </w:divBdr>
    </w:div>
    <w:div w:id="73431247">
      <w:bodyDiv w:val="1"/>
      <w:marLeft w:val="0"/>
      <w:marRight w:val="0"/>
      <w:marTop w:val="0"/>
      <w:marBottom w:val="0"/>
      <w:divBdr>
        <w:top w:val="none" w:sz="0" w:space="0" w:color="auto"/>
        <w:left w:val="none" w:sz="0" w:space="0" w:color="auto"/>
        <w:bottom w:val="none" w:sz="0" w:space="0" w:color="auto"/>
        <w:right w:val="none" w:sz="0" w:space="0" w:color="auto"/>
      </w:divBdr>
    </w:div>
    <w:div w:id="74714361">
      <w:bodyDiv w:val="1"/>
      <w:marLeft w:val="0"/>
      <w:marRight w:val="0"/>
      <w:marTop w:val="0"/>
      <w:marBottom w:val="0"/>
      <w:divBdr>
        <w:top w:val="none" w:sz="0" w:space="0" w:color="auto"/>
        <w:left w:val="none" w:sz="0" w:space="0" w:color="auto"/>
        <w:bottom w:val="none" w:sz="0" w:space="0" w:color="auto"/>
        <w:right w:val="none" w:sz="0" w:space="0" w:color="auto"/>
      </w:divBdr>
    </w:div>
    <w:div w:id="75366895">
      <w:bodyDiv w:val="1"/>
      <w:marLeft w:val="0"/>
      <w:marRight w:val="0"/>
      <w:marTop w:val="0"/>
      <w:marBottom w:val="0"/>
      <w:divBdr>
        <w:top w:val="none" w:sz="0" w:space="0" w:color="auto"/>
        <w:left w:val="none" w:sz="0" w:space="0" w:color="auto"/>
        <w:bottom w:val="none" w:sz="0" w:space="0" w:color="auto"/>
        <w:right w:val="none" w:sz="0" w:space="0" w:color="auto"/>
      </w:divBdr>
    </w:div>
    <w:div w:id="83109880">
      <w:bodyDiv w:val="1"/>
      <w:marLeft w:val="0"/>
      <w:marRight w:val="0"/>
      <w:marTop w:val="0"/>
      <w:marBottom w:val="0"/>
      <w:divBdr>
        <w:top w:val="none" w:sz="0" w:space="0" w:color="auto"/>
        <w:left w:val="none" w:sz="0" w:space="0" w:color="auto"/>
        <w:bottom w:val="none" w:sz="0" w:space="0" w:color="auto"/>
        <w:right w:val="none" w:sz="0" w:space="0" w:color="auto"/>
      </w:divBdr>
    </w:div>
    <w:div w:id="86468959">
      <w:bodyDiv w:val="1"/>
      <w:marLeft w:val="0"/>
      <w:marRight w:val="0"/>
      <w:marTop w:val="0"/>
      <w:marBottom w:val="0"/>
      <w:divBdr>
        <w:top w:val="none" w:sz="0" w:space="0" w:color="auto"/>
        <w:left w:val="none" w:sz="0" w:space="0" w:color="auto"/>
        <w:bottom w:val="none" w:sz="0" w:space="0" w:color="auto"/>
        <w:right w:val="none" w:sz="0" w:space="0" w:color="auto"/>
      </w:divBdr>
    </w:div>
    <w:div w:id="87698795">
      <w:bodyDiv w:val="1"/>
      <w:marLeft w:val="0"/>
      <w:marRight w:val="0"/>
      <w:marTop w:val="0"/>
      <w:marBottom w:val="0"/>
      <w:divBdr>
        <w:top w:val="none" w:sz="0" w:space="0" w:color="auto"/>
        <w:left w:val="none" w:sz="0" w:space="0" w:color="auto"/>
        <w:bottom w:val="none" w:sz="0" w:space="0" w:color="auto"/>
        <w:right w:val="none" w:sz="0" w:space="0" w:color="auto"/>
      </w:divBdr>
    </w:div>
    <w:div w:id="95641433">
      <w:bodyDiv w:val="1"/>
      <w:marLeft w:val="0"/>
      <w:marRight w:val="0"/>
      <w:marTop w:val="0"/>
      <w:marBottom w:val="0"/>
      <w:divBdr>
        <w:top w:val="none" w:sz="0" w:space="0" w:color="auto"/>
        <w:left w:val="none" w:sz="0" w:space="0" w:color="auto"/>
        <w:bottom w:val="none" w:sz="0" w:space="0" w:color="auto"/>
        <w:right w:val="none" w:sz="0" w:space="0" w:color="auto"/>
      </w:divBdr>
    </w:div>
    <w:div w:id="107749323">
      <w:bodyDiv w:val="1"/>
      <w:marLeft w:val="0"/>
      <w:marRight w:val="0"/>
      <w:marTop w:val="0"/>
      <w:marBottom w:val="0"/>
      <w:divBdr>
        <w:top w:val="none" w:sz="0" w:space="0" w:color="auto"/>
        <w:left w:val="none" w:sz="0" w:space="0" w:color="auto"/>
        <w:bottom w:val="none" w:sz="0" w:space="0" w:color="auto"/>
        <w:right w:val="none" w:sz="0" w:space="0" w:color="auto"/>
      </w:divBdr>
    </w:div>
    <w:div w:id="108548060">
      <w:bodyDiv w:val="1"/>
      <w:marLeft w:val="0"/>
      <w:marRight w:val="0"/>
      <w:marTop w:val="0"/>
      <w:marBottom w:val="0"/>
      <w:divBdr>
        <w:top w:val="none" w:sz="0" w:space="0" w:color="auto"/>
        <w:left w:val="none" w:sz="0" w:space="0" w:color="auto"/>
        <w:bottom w:val="none" w:sz="0" w:space="0" w:color="auto"/>
        <w:right w:val="none" w:sz="0" w:space="0" w:color="auto"/>
      </w:divBdr>
    </w:div>
    <w:div w:id="142280506">
      <w:bodyDiv w:val="1"/>
      <w:marLeft w:val="0"/>
      <w:marRight w:val="0"/>
      <w:marTop w:val="0"/>
      <w:marBottom w:val="0"/>
      <w:divBdr>
        <w:top w:val="none" w:sz="0" w:space="0" w:color="auto"/>
        <w:left w:val="none" w:sz="0" w:space="0" w:color="auto"/>
        <w:bottom w:val="none" w:sz="0" w:space="0" w:color="auto"/>
        <w:right w:val="none" w:sz="0" w:space="0" w:color="auto"/>
      </w:divBdr>
    </w:div>
    <w:div w:id="162742020">
      <w:bodyDiv w:val="1"/>
      <w:marLeft w:val="0"/>
      <w:marRight w:val="0"/>
      <w:marTop w:val="0"/>
      <w:marBottom w:val="0"/>
      <w:divBdr>
        <w:top w:val="none" w:sz="0" w:space="0" w:color="auto"/>
        <w:left w:val="none" w:sz="0" w:space="0" w:color="auto"/>
        <w:bottom w:val="none" w:sz="0" w:space="0" w:color="auto"/>
        <w:right w:val="none" w:sz="0" w:space="0" w:color="auto"/>
      </w:divBdr>
    </w:div>
    <w:div w:id="163475245">
      <w:bodyDiv w:val="1"/>
      <w:marLeft w:val="0"/>
      <w:marRight w:val="0"/>
      <w:marTop w:val="0"/>
      <w:marBottom w:val="0"/>
      <w:divBdr>
        <w:top w:val="none" w:sz="0" w:space="0" w:color="auto"/>
        <w:left w:val="none" w:sz="0" w:space="0" w:color="auto"/>
        <w:bottom w:val="none" w:sz="0" w:space="0" w:color="auto"/>
        <w:right w:val="none" w:sz="0" w:space="0" w:color="auto"/>
      </w:divBdr>
    </w:div>
    <w:div w:id="165479873">
      <w:bodyDiv w:val="1"/>
      <w:marLeft w:val="0"/>
      <w:marRight w:val="0"/>
      <w:marTop w:val="0"/>
      <w:marBottom w:val="0"/>
      <w:divBdr>
        <w:top w:val="none" w:sz="0" w:space="0" w:color="auto"/>
        <w:left w:val="none" w:sz="0" w:space="0" w:color="auto"/>
        <w:bottom w:val="none" w:sz="0" w:space="0" w:color="auto"/>
        <w:right w:val="none" w:sz="0" w:space="0" w:color="auto"/>
      </w:divBdr>
    </w:div>
    <w:div w:id="168908700">
      <w:bodyDiv w:val="1"/>
      <w:marLeft w:val="0"/>
      <w:marRight w:val="0"/>
      <w:marTop w:val="0"/>
      <w:marBottom w:val="0"/>
      <w:divBdr>
        <w:top w:val="none" w:sz="0" w:space="0" w:color="auto"/>
        <w:left w:val="none" w:sz="0" w:space="0" w:color="auto"/>
        <w:bottom w:val="none" w:sz="0" w:space="0" w:color="auto"/>
        <w:right w:val="none" w:sz="0" w:space="0" w:color="auto"/>
      </w:divBdr>
    </w:div>
    <w:div w:id="184025307">
      <w:bodyDiv w:val="1"/>
      <w:marLeft w:val="0"/>
      <w:marRight w:val="0"/>
      <w:marTop w:val="0"/>
      <w:marBottom w:val="0"/>
      <w:divBdr>
        <w:top w:val="none" w:sz="0" w:space="0" w:color="auto"/>
        <w:left w:val="none" w:sz="0" w:space="0" w:color="auto"/>
        <w:bottom w:val="none" w:sz="0" w:space="0" w:color="auto"/>
        <w:right w:val="none" w:sz="0" w:space="0" w:color="auto"/>
      </w:divBdr>
    </w:div>
    <w:div w:id="189151669">
      <w:bodyDiv w:val="1"/>
      <w:marLeft w:val="0"/>
      <w:marRight w:val="0"/>
      <w:marTop w:val="0"/>
      <w:marBottom w:val="0"/>
      <w:divBdr>
        <w:top w:val="none" w:sz="0" w:space="0" w:color="auto"/>
        <w:left w:val="none" w:sz="0" w:space="0" w:color="auto"/>
        <w:bottom w:val="none" w:sz="0" w:space="0" w:color="auto"/>
        <w:right w:val="none" w:sz="0" w:space="0" w:color="auto"/>
      </w:divBdr>
    </w:div>
    <w:div w:id="219100385">
      <w:bodyDiv w:val="1"/>
      <w:marLeft w:val="0"/>
      <w:marRight w:val="0"/>
      <w:marTop w:val="0"/>
      <w:marBottom w:val="0"/>
      <w:divBdr>
        <w:top w:val="none" w:sz="0" w:space="0" w:color="auto"/>
        <w:left w:val="none" w:sz="0" w:space="0" w:color="auto"/>
        <w:bottom w:val="none" w:sz="0" w:space="0" w:color="auto"/>
        <w:right w:val="none" w:sz="0" w:space="0" w:color="auto"/>
      </w:divBdr>
    </w:div>
    <w:div w:id="221984886">
      <w:bodyDiv w:val="1"/>
      <w:marLeft w:val="0"/>
      <w:marRight w:val="0"/>
      <w:marTop w:val="0"/>
      <w:marBottom w:val="0"/>
      <w:divBdr>
        <w:top w:val="none" w:sz="0" w:space="0" w:color="auto"/>
        <w:left w:val="none" w:sz="0" w:space="0" w:color="auto"/>
        <w:bottom w:val="none" w:sz="0" w:space="0" w:color="auto"/>
        <w:right w:val="none" w:sz="0" w:space="0" w:color="auto"/>
      </w:divBdr>
    </w:div>
    <w:div w:id="222909028">
      <w:bodyDiv w:val="1"/>
      <w:marLeft w:val="0"/>
      <w:marRight w:val="0"/>
      <w:marTop w:val="0"/>
      <w:marBottom w:val="0"/>
      <w:divBdr>
        <w:top w:val="none" w:sz="0" w:space="0" w:color="auto"/>
        <w:left w:val="none" w:sz="0" w:space="0" w:color="auto"/>
        <w:bottom w:val="none" w:sz="0" w:space="0" w:color="auto"/>
        <w:right w:val="none" w:sz="0" w:space="0" w:color="auto"/>
      </w:divBdr>
    </w:div>
    <w:div w:id="224535332">
      <w:bodyDiv w:val="1"/>
      <w:marLeft w:val="0"/>
      <w:marRight w:val="0"/>
      <w:marTop w:val="0"/>
      <w:marBottom w:val="0"/>
      <w:divBdr>
        <w:top w:val="none" w:sz="0" w:space="0" w:color="auto"/>
        <w:left w:val="none" w:sz="0" w:space="0" w:color="auto"/>
        <w:bottom w:val="none" w:sz="0" w:space="0" w:color="auto"/>
        <w:right w:val="none" w:sz="0" w:space="0" w:color="auto"/>
      </w:divBdr>
    </w:div>
    <w:div w:id="249853403">
      <w:bodyDiv w:val="1"/>
      <w:marLeft w:val="0"/>
      <w:marRight w:val="0"/>
      <w:marTop w:val="0"/>
      <w:marBottom w:val="0"/>
      <w:divBdr>
        <w:top w:val="none" w:sz="0" w:space="0" w:color="auto"/>
        <w:left w:val="none" w:sz="0" w:space="0" w:color="auto"/>
        <w:bottom w:val="none" w:sz="0" w:space="0" w:color="auto"/>
        <w:right w:val="none" w:sz="0" w:space="0" w:color="auto"/>
      </w:divBdr>
    </w:div>
    <w:div w:id="252518963">
      <w:bodyDiv w:val="1"/>
      <w:marLeft w:val="0"/>
      <w:marRight w:val="0"/>
      <w:marTop w:val="0"/>
      <w:marBottom w:val="0"/>
      <w:divBdr>
        <w:top w:val="none" w:sz="0" w:space="0" w:color="auto"/>
        <w:left w:val="none" w:sz="0" w:space="0" w:color="auto"/>
        <w:bottom w:val="none" w:sz="0" w:space="0" w:color="auto"/>
        <w:right w:val="none" w:sz="0" w:space="0" w:color="auto"/>
      </w:divBdr>
    </w:div>
    <w:div w:id="252670145">
      <w:bodyDiv w:val="1"/>
      <w:marLeft w:val="0"/>
      <w:marRight w:val="0"/>
      <w:marTop w:val="0"/>
      <w:marBottom w:val="0"/>
      <w:divBdr>
        <w:top w:val="none" w:sz="0" w:space="0" w:color="auto"/>
        <w:left w:val="none" w:sz="0" w:space="0" w:color="auto"/>
        <w:bottom w:val="none" w:sz="0" w:space="0" w:color="auto"/>
        <w:right w:val="none" w:sz="0" w:space="0" w:color="auto"/>
      </w:divBdr>
    </w:div>
    <w:div w:id="266426327">
      <w:bodyDiv w:val="1"/>
      <w:marLeft w:val="0"/>
      <w:marRight w:val="0"/>
      <w:marTop w:val="0"/>
      <w:marBottom w:val="0"/>
      <w:divBdr>
        <w:top w:val="none" w:sz="0" w:space="0" w:color="auto"/>
        <w:left w:val="none" w:sz="0" w:space="0" w:color="auto"/>
        <w:bottom w:val="none" w:sz="0" w:space="0" w:color="auto"/>
        <w:right w:val="none" w:sz="0" w:space="0" w:color="auto"/>
      </w:divBdr>
    </w:div>
    <w:div w:id="274750597">
      <w:bodyDiv w:val="1"/>
      <w:marLeft w:val="0"/>
      <w:marRight w:val="0"/>
      <w:marTop w:val="0"/>
      <w:marBottom w:val="0"/>
      <w:divBdr>
        <w:top w:val="none" w:sz="0" w:space="0" w:color="auto"/>
        <w:left w:val="none" w:sz="0" w:space="0" w:color="auto"/>
        <w:bottom w:val="none" w:sz="0" w:space="0" w:color="auto"/>
        <w:right w:val="none" w:sz="0" w:space="0" w:color="auto"/>
      </w:divBdr>
    </w:div>
    <w:div w:id="284309790">
      <w:bodyDiv w:val="1"/>
      <w:marLeft w:val="0"/>
      <w:marRight w:val="0"/>
      <w:marTop w:val="0"/>
      <w:marBottom w:val="0"/>
      <w:divBdr>
        <w:top w:val="none" w:sz="0" w:space="0" w:color="auto"/>
        <w:left w:val="none" w:sz="0" w:space="0" w:color="auto"/>
        <w:bottom w:val="none" w:sz="0" w:space="0" w:color="auto"/>
        <w:right w:val="none" w:sz="0" w:space="0" w:color="auto"/>
      </w:divBdr>
    </w:div>
    <w:div w:id="290795530">
      <w:bodyDiv w:val="1"/>
      <w:marLeft w:val="0"/>
      <w:marRight w:val="0"/>
      <w:marTop w:val="0"/>
      <w:marBottom w:val="0"/>
      <w:divBdr>
        <w:top w:val="none" w:sz="0" w:space="0" w:color="auto"/>
        <w:left w:val="none" w:sz="0" w:space="0" w:color="auto"/>
        <w:bottom w:val="none" w:sz="0" w:space="0" w:color="auto"/>
        <w:right w:val="none" w:sz="0" w:space="0" w:color="auto"/>
      </w:divBdr>
    </w:div>
    <w:div w:id="298338064">
      <w:bodyDiv w:val="1"/>
      <w:marLeft w:val="0"/>
      <w:marRight w:val="0"/>
      <w:marTop w:val="0"/>
      <w:marBottom w:val="0"/>
      <w:divBdr>
        <w:top w:val="none" w:sz="0" w:space="0" w:color="auto"/>
        <w:left w:val="none" w:sz="0" w:space="0" w:color="auto"/>
        <w:bottom w:val="none" w:sz="0" w:space="0" w:color="auto"/>
        <w:right w:val="none" w:sz="0" w:space="0" w:color="auto"/>
      </w:divBdr>
    </w:div>
    <w:div w:id="299850062">
      <w:bodyDiv w:val="1"/>
      <w:marLeft w:val="0"/>
      <w:marRight w:val="0"/>
      <w:marTop w:val="0"/>
      <w:marBottom w:val="0"/>
      <w:divBdr>
        <w:top w:val="none" w:sz="0" w:space="0" w:color="auto"/>
        <w:left w:val="none" w:sz="0" w:space="0" w:color="auto"/>
        <w:bottom w:val="none" w:sz="0" w:space="0" w:color="auto"/>
        <w:right w:val="none" w:sz="0" w:space="0" w:color="auto"/>
      </w:divBdr>
    </w:div>
    <w:div w:id="301542068">
      <w:bodyDiv w:val="1"/>
      <w:marLeft w:val="0"/>
      <w:marRight w:val="0"/>
      <w:marTop w:val="0"/>
      <w:marBottom w:val="0"/>
      <w:divBdr>
        <w:top w:val="none" w:sz="0" w:space="0" w:color="auto"/>
        <w:left w:val="none" w:sz="0" w:space="0" w:color="auto"/>
        <w:bottom w:val="none" w:sz="0" w:space="0" w:color="auto"/>
        <w:right w:val="none" w:sz="0" w:space="0" w:color="auto"/>
      </w:divBdr>
    </w:div>
    <w:div w:id="303464043">
      <w:bodyDiv w:val="1"/>
      <w:marLeft w:val="0"/>
      <w:marRight w:val="0"/>
      <w:marTop w:val="0"/>
      <w:marBottom w:val="0"/>
      <w:divBdr>
        <w:top w:val="none" w:sz="0" w:space="0" w:color="auto"/>
        <w:left w:val="none" w:sz="0" w:space="0" w:color="auto"/>
        <w:bottom w:val="none" w:sz="0" w:space="0" w:color="auto"/>
        <w:right w:val="none" w:sz="0" w:space="0" w:color="auto"/>
      </w:divBdr>
    </w:div>
    <w:div w:id="306858586">
      <w:bodyDiv w:val="1"/>
      <w:marLeft w:val="0"/>
      <w:marRight w:val="0"/>
      <w:marTop w:val="0"/>
      <w:marBottom w:val="0"/>
      <w:divBdr>
        <w:top w:val="none" w:sz="0" w:space="0" w:color="auto"/>
        <w:left w:val="none" w:sz="0" w:space="0" w:color="auto"/>
        <w:bottom w:val="none" w:sz="0" w:space="0" w:color="auto"/>
        <w:right w:val="none" w:sz="0" w:space="0" w:color="auto"/>
      </w:divBdr>
    </w:div>
    <w:div w:id="313682578">
      <w:bodyDiv w:val="1"/>
      <w:marLeft w:val="0"/>
      <w:marRight w:val="0"/>
      <w:marTop w:val="0"/>
      <w:marBottom w:val="0"/>
      <w:divBdr>
        <w:top w:val="none" w:sz="0" w:space="0" w:color="auto"/>
        <w:left w:val="none" w:sz="0" w:space="0" w:color="auto"/>
        <w:bottom w:val="none" w:sz="0" w:space="0" w:color="auto"/>
        <w:right w:val="none" w:sz="0" w:space="0" w:color="auto"/>
      </w:divBdr>
    </w:div>
    <w:div w:id="314141603">
      <w:bodyDiv w:val="1"/>
      <w:marLeft w:val="0"/>
      <w:marRight w:val="0"/>
      <w:marTop w:val="0"/>
      <w:marBottom w:val="0"/>
      <w:divBdr>
        <w:top w:val="none" w:sz="0" w:space="0" w:color="auto"/>
        <w:left w:val="none" w:sz="0" w:space="0" w:color="auto"/>
        <w:bottom w:val="none" w:sz="0" w:space="0" w:color="auto"/>
        <w:right w:val="none" w:sz="0" w:space="0" w:color="auto"/>
      </w:divBdr>
    </w:div>
    <w:div w:id="314727018">
      <w:bodyDiv w:val="1"/>
      <w:marLeft w:val="0"/>
      <w:marRight w:val="0"/>
      <w:marTop w:val="0"/>
      <w:marBottom w:val="0"/>
      <w:divBdr>
        <w:top w:val="none" w:sz="0" w:space="0" w:color="auto"/>
        <w:left w:val="none" w:sz="0" w:space="0" w:color="auto"/>
        <w:bottom w:val="none" w:sz="0" w:space="0" w:color="auto"/>
        <w:right w:val="none" w:sz="0" w:space="0" w:color="auto"/>
      </w:divBdr>
    </w:div>
    <w:div w:id="317734185">
      <w:bodyDiv w:val="1"/>
      <w:marLeft w:val="0"/>
      <w:marRight w:val="0"/>
      <w:marTop w:val="0"/>
      <w:marBottom w:val="0"/>
      <w:divBdr>
        <w:top w:val="none" w:sz="0" w:space="0" w:color="auto"/>
        <w:left w:val="none" w:sz="0" w:space="0" w:color="auto"/>
        <w:bottom w:val="none" w:sz="0" w:space="0" w:color="auto"/>
        <w:right w:val="none" w:sz="0" w:space="0" w:color="auto"/>
      </w:divBdr>
    </w:div>
    <w:div w:id="319387901">
      <w:bodyDiv w:val="1"/>
      <w:marLeft w:val="0"/>
      <w:marRight w:val="0"/>
      <w:marTop w:val="0"/>
      <w:marBottom w:val="0"/>
      <w:divBdr>
        <w:top w:val="none" w:sz="0" w:space="0" w:color="auto"/>
        <w:left w:val="none" w:sz="0" w:space="0" w:color="auto"/>
        <w:bottom w:val="none" w:sz="0" w:space="0" w:color="auto"/>
        <w:right w:val="none" w:sz="0" w:space="0" w:color="auto"/>
      </w:divBdr>
    </w:div>
    <w:div w:id="341974551">
      <w:bodyDiv w:val="1"/>
      <w:marLeft w:val="0"/>
      <w:marRight w:val="0"/>
      <w:marTop w:val="0"/>
      <w:marBottom w:val="0"/>
      <w:divBdr>
        <w:top w:val="none" w:sz="0" w:space="0" w:color="auto"/>
        <w:left w:val="none" w:sz="0" w:space="0" w:color="auto"/>
        <w:bottom w:val="none" w:sz="0" w:space="0" w:color="auto"/>
        <w:right w:val="none" w:sz="0" w:space="0" w:color="auto"/>
      </w:divBdr>
    </w:div>
    <w:div w:id="346979939">
      <w:bodyDiv w:val="1"/>
      <w:marLeft w:val="0"/>
      <w:marRight w:val="0"/>
      <w:marTop w:val="0"/>
      <w:marBottom w:val="0"/>
      <w:divBdr>
        <w:top w:val="none" w:sz="0" w:space="0" w:color="auto"/>
        <w:left w:val="none" w:sz="0" w:space="0" w:color="auto"/>
        <w:bottom w:val="none" w:sz="0" w:space="0" w:color="auto"/>
        <w:right w:val="none" w:sz="0" w:space="0" w:color="auto"/>
      </w:divBdr>
    </w:div>
    <w:div w:id="358510504">
      <w:bodyDiv w:val="1"/>
      <w:marLeft w:val="0"/>
      <w:marRight w:val="0"/>
      <w:marTop w:val="0"/>
      <w:marBottom w:val="0"/>
      <w:divBdr>
        <w:top w:val="none" w:sz="0" w:space="0" w:color="auto"/>
        <w:left w:val="none" w:sz="0" w:space="0" w:color="auto"/>
        <w:bottom w:val="none" w:sz="0" w:space="0" w:color="auto"/>
        <w:right w:val="none" w:sz="0" w:space="0" w:color="auto"/>
      </w:divBdr>
    </w:div>
    <w:div w:id="366181215">
      <w:bodyDiv w:val="1"/>
      <w:marLeft w:val="0"/>
      <w:marRight w:val="0"/>
      <w:marTop w:val="0"/>
      <w:marBottom w:val="0"/>
      <w:divBdr>
        <w:top w:val="none" w:sz="0" w:space="0" w:color="auto"/>
        <w:left w:val="none" w:sz="0" w:space="0" w:color="auto"/>
        <w:bottom w:val="none" w:sz="0" w:space="0" w:color="auto"/>
        <w:right w:val="none" w:sz="0" w:space="0" w:color="auto"/>
      </w:divBdr>
    </w:div>
    <w:div w:id="375588599">
      <w:bodyDiv w:val="1"/>
      <w:marLeft w:val="0"/>
      <w:marRight w:val="0"/>
      <w:marTop w:val="0"/>
      <w:marBottom w:val="0"/>
      <w:divBdr>
        <w:top w:val="none" w:sz="0" w:space="0" w:color="auto"/>
        <w:left w:val="none" w:sz="0" w:space="0" w:color="auto"/>
        <w:bottom w:val="none" w:sz="0" w:space="0" w:color="auto"/>
        <w:right w:val="none" w:sz="0" w:space="0" w:color="auto"/>
      </w:divBdr>
    </w:div>
    <w:div w:id="375861863">
      <w:bodyDiv w:val="1"/>
      <w:marLeft w:val="0"/>
      <w:marRight w:val="0"/>
      <w:marTop w:val="0"/>
      <w:marBottom w:val="0"/>
      <w:divBdr>
        <w:top w:val="none" w:sz="0" w:space="0" w:color="auto"/>
        <w:left w:val="none" w:sz="0" w:space="0" w:color="auto"/>
        <w:bottom w:val="none" w:sz="0" w:space="0" w:color="auto"/>
        <w:right w:val="none" w:sz="0" w:space="0" w:color="auto"/>
      </w:divBdr>
    </w:div>
    <w:div w:id="388504170">
      <w:bodyDiv w:val="1"/>
      <w:marLeft w:val="0"/>
      <w:marRight w:val="0"/>
      <w:marTop w:val="0"/>
      <w:marBottom w:val="0"/>
      <w:divBdr>
        <w:top w:val="none" w:sz="0" w:space="0" w:color="auto"/>
        <w:left w:val="none" w:sz="0" w:space="0" w:color="auto"/>
        <w:bottom w:val="none" w:sz="0" w:space="0" w:color="auto"/>
        <w:right w:val="none" w:sz="0" w:space="0" w:color="auto"/>
      </w:divBdr>
    </w:div>
    <w:div w:id="392045233">
      <w:bodyDiv w:val="1"/>
      <w:marLeft w:val="0"/>
      <w:marRight w:val="0"/>
      <w:marTop w:val="0"/>
      <w:marBottom w:val="0"/>
      <w:divBdr>
        <w:top w:val="none" w:sz="0" w:space="0" w:color="auto"/>
        <w:left w:val="none" w:sz="0" w:space="0" w:color="auto"/>
        <w:bottom w:val="none" w:sz="0" w:space="0" w:color="auto"/>
        <w:right w:val="none" w:sz="0" w:space="0" w:color="auto"/>
      </w:divBdr>
    </w:div>
    <w:div w:id="394741285">
      <w:bodyDiv w:val="1"/>
      <w:marLeft w:val="0"/>
      <w:marRight w:val="0"/>
      <w:marTop w:val="0"/>
      <w:marBottom w:val="0"/>
      <w:divBdr>
        <w:top w:val="none" w:sz="0" w:space="0" w:color="auto"/>
        <w:left w:val="none" w:sz="0" w:space="0" w:color="auto"/>
        <w:bottom w:val="none" w:sz="0" w:space="0" w:color="auto"/>
        <w:right w:val="none" w:sz="0" w:space="0" w:color="auto"/>
      </w:divBdr>
    </w:div>
    <w:div w:id="396243237">
      <w:bodyDiv w:val="1"/>
      <w:marLeft w:val="0"/>
      <w:marRight w:val="0"/>
      <w:marTop w:val="0"/>
      <w:marBottom w:val="0"/>
      <w:divBdr>
        <w:top w:val="none" w:sz="0" w:space="0" w:color="auto"/>
        <w:left w:val="none" w:sz="0" w:space="0" w:color="auto"/>
        <w:bottom w:val="none" w:sz="0" w:space="0" w:color="auto"/>
        <w:right w:val="none" w:sz="0" w:space="0" w:color="auto"/>
      </w:divBdr>
    </w:div>
    <w:div w:id="397872987">
      <w:bodyDiv w:val="1"/>
      <w:marLeft w:val="0"/>
      <w:marRight w:val="0"/>
      <w:marTop w:val="0"/>
      <w:marBottom w:val="0"/>
      <w:divBdr>
        <w:top w:val="none" w:sz="0" w:space="0" w:color="auto"/>
        <w:left w:val="none" w:sz="0" w:space="0" w:color="auto"/>
        <w:bottom w:val="none" w:sz="0" w:space="0" w:color="auto"/>
        <w:right w:val="none" w:sz="0" w:space="0" w:color="auto"/>
      </w:divBdr>
    </w:div>
    <w:div w:id="398989269">
      <w:bodyDiv w:val="1"/>
      <w:marLeft w:val="0"/>
      <w:marRight w:val="0"/>
      <w:marTop w:val="0"/>
      <w:marBottom w:val="0"/>
      <w:divBdr>
        <w:top w:val="none" w:sz="0" w:space="0" w:color="auto"/>
        <w:left w:val="none" w:sz="0" w:space="0" w:color="auto"/>
        <w:bottom w:val="none" w:sz="0" w:space="0" w:color="auto"/>
        <w:right w:val="none" w:sz="0" w:space="0" w:color="auto"/>
      </w:divBdr>
    </w:div>
    <w:div w:id="400565013">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02679430">
      <w:bodyDiv w:val="1"/>
      <w:marLeft w:val="0"/>
      <w:marRight w:val="0"/>
      <w:marTop w:val="0"/>
      <w:marBottom w:val="0"/>
      <w:divBdr>
        <w:top w:val="none" w:sz="0" w:space="0" w:color="auto"/>
        <w:left w:val="none" w:sz="0" w:space="0" w:color="auto"/>
        <w:bottom w:val="none" w:sz="0" w:space="0" w:color="auto"/>
        <w:right w:val="none" w:sz="0" w:space="0" w:color="auto"/>
      </w:divBdr>
    </w:div>
    <w:div w:id="410274865">
      <w:bodyDiv w:val="1"/>
      <w:marLeft w:val="0"/>
      <w:marRight w:val="0"/>
      <w:marTop w:val="0"/>
      <w:marBottom w:val="0"/>
      <w:divBdr>
        <w:top w:val="none" w:sz="0" w:space="0" w:color="auto"/>
        <w:left w:val="none" w:sz="0" w:space="0" w:color="auto"/>
        <w:bottom w:val="none" w:sz="0" w:space="0" w:color="auto"/>
        <w:right w:val="none" w:sz="0" w:space="0" w:color="auto"/>
      </w:divBdr>
    </w:div>
    <w:div w:id="413091437">
      <w:bodyDiv w:val="1"/>
      <w:marLeft w:val="0"/>
      <w:marRight w:val="0"/>
      <w:marTop w:val="0"/>
      <w:marBottom w:val="0"/>
      <w:divBdr>
        <w:top w:val="none" w:sz="0" w:space="0" w:color="auto"/>
        <w:left w:val="none" w:sz="0" w:space="0" w:color="auto"/>
        <w:bottom w:val="none" w:sz="0" w:space="0" w:color="auto"/>
        <w:right w:val="none" w:sz="0" w:space="0" w:color="auto"/>
      </w:divBdr>
    </w:div>
    <w:div w:id="413866094">
      <w:bodyDiv w:val="1"/>
      <w:marLeft w:val="0"/>
      <w:marRight w:val="0"/>
      <w:marTop w:val="0"/>
      <w:marBottom w:val="0"/>
      <w:divBdr>
        <w:top w:val="none" w:sz="0" w:space="0" w:color="auto"/>
        <w:left w:val="none" w:sz="0" w:space="0" w:color="auto"/>
        <w:bottom w:val="none" w:sz="0" w:space="0" w:color="auto"/>
        <w:right w:val="none" w:sz="0" w:space="0" w:color="auto"/>
      </w:divBdr>
    </w:div>
    <w:div w:id="415785931">
      <w:bodyDiv w:val="1"/>
      <w:marLeft w:val="0"/>
      <w:marRight w:val="0"/>
      <w:marTop w:val="0"/>
      <w:marBottom w:val="0"/>
      <w:divBdr>
        <w:top w:val="none" w:sz="0" w:space="0" w:color="auto"/>
        <w:left w:val="none" w:sz="0" w:space="0" w:color="auto"/>
        <w:bottom w:val="none" w:sz="0" w:space="0" w:color="auto"/>
        <w:right w:val="none" w:sz="0" w:space="0" w:color="auto"/>
      </w:divBdr>
    </w:div>
    <w:div w:id="428817865">
      <w:bodyDiv w:val="1"/>
      <w:marLeft w:val="0"/>
      <w:marRight w:val="0"/>
      <w:marTop w:val="0"/>
      <w:marBottom w:val="0"/>
      <w:divBdr>
        <w:top w:val="none" w:sz="0" w:space="0" w:color="auto"/>
        <w:left w:val="none" w:sz="0" w:space="0" w:color="auto"/>
        <w:bottom w:val="none" w:sz="0" w:space="0" w:color="auto"/>
        <w:right w:val="none" w:sz="0" w:space="0" w:color="auto"/>
      </w:divBdr>
    </w:div>
    <w:div w:id="447819224">
      <w:bodyDiv w:val="1"/>
      <w:marLeft w:val="0"/>
      <w:marRight w:val="0"/>
      <w:marTop w:val="0"/>
      <w:marBottom w:val="0"/>
      <w:divBdr>
        <w:top w:val="none" w:sz="0" w:space="0" w:color="auto"/>
        <w:left w:val="none" w:sz="0" w:space="0" w:color="auto"/>
        <w:bottom w:val="none" w:sz="0" w:space="0" w:color="auto"/>
        <w:right w:val="none" w:sz="0" w:space="0" w:color="auto"/>
      </w:divBdr>
    </w:div>
    <w:div w:id="449976632">
      <w:bodyDiv w:val="1"/>
      <w:marLeft w:val="0"/>
      <w:marRight w:val="0"/>
      <w:marTop w:val="0"/>
      <w:marBottom w:val="0"/>
      <w:divBdr>
        <w:top w:val="none" w:sz="0" w:space="0" w:color="auto"/>
        <w:left w:val="none" w:sz="0" w:space="0" w:color="auto"/>
        <w:bottom w:val="none" w:sz="0" w:space="0" w:color="auto"/>
        <w:right w:val="none" w:sz="0" w:space="0" w:color="auto"/>
      </w:divBdr>
    </w:div>
    <w:div w:id="464585634">
      <w:bodyDiv w:val="1"/>
      <w:marLeft w:val="0"/>
      <w:marRight w:val="0"/>
      <w:marTop w:val="0"/>
      <w:marBottom w:val="0"/>
      <w:divBdr>
        <w:top w:val="none" w:sz="0" w:space="0" w:color="auto"/>
        <w:left w:val="none" w:sz="0" w:space="0" w:color="auto"/>
        <w:bottom w:val="none" w:sz="0" w:space="0" w:color="auto"/>
        <w:right w:val="none" w:sz="0" w:space="0" w:color="auto"/>
      </w:divBdr>
    </w:div>
    <w:div w:id="466317029">
      <w:bodyDiv w:val="1"/>
      <w:marLeft w:val="0"/>
      <w:marRight w:val="0"/>
      <w:marTop w:val="0"/>
      <w:marBottom w:val="0"/>
      <w:divBdr>
        <w:top w:val="none" w:sz="0" w:space="0" w:color="auto"/>
        <w:left w:val="none" w:sz="0" w:space="0" w:color="auto"/>
        <w:bottom w:val="none" w:sz="0" w:space="0" w:color="auto"/>
        <w:right w:val="none" w:sz="0" w:space="0" w:color="auto"/>
      </w:divBdr>
    </w:div>
    <w:div w:id="473648190">
      <w:bodyDiv w:val="1"/>
      <w:marLeft w:val="0"/>
      <w:marRight w:val="0"/>
      <w:marTop w:val="0"/>
      <w:marBottom w:val="0"/>
      <w:divBdr>
        <w:top w:val="none" w:sz="0" w:space="0" w:color="auto"/>
        <w:left w:val="none" w:sz="0" w:space="0" w:color="auto"/>
        <w:bottom w:val="none" w:sz="0" w:space="0" w:color="auto"/>
        <w:right w:val="none" w:sz="0" w:space="0" w:color="auto"/>
      </w:divBdr>
    </w:div>
    <w:div w:id="480773063">
      <w:bodyDiv w:val="1"/>
      <w:marLeft w:val="0"/>
      <w:marRight w:val="0"/>
      <w:marTop w:val="0"/>
      <w:marBottom w:val="0"/>
      <w:divBdr>
        <w:top w:val="none" w:sz="0" w:space="0" w:color="auto"/>
        <w:left w:val="none" w:sz="0" w:space="0" w:color="auto"/>
        <w:bottom w:val="none" w:sz="0" w:space="0" w:color="auto"/>
        <w:right w:val="none" w:sz="0" w:space="0" w:color="auto"/>
      </w:divBdr>
    </w:div>
    <w:div w:id="486895472">
      <w:bodyDiv w:val="1"/>
      <w:marLeft w:val="0"/>
      <w:marRight w:val="0"/>
      <w:marTop w:val="0"/>
      <w:marBottom w:val="0"/>
      <w:divBdr>
        <w:top w:val="none" w:sz="0" w:space="0" w:color="auto"/>
        <w:left w:val="none" w:sz="0" w:space="0" w:color="auto"/>
        <w:bottom w:val="none" w:sz="0" w:space="0" w:color="auto"/>
        <w:right w:val="none" w:sz="0" w:space="0" w:color="auto"/>
      </w:divBdr>
    </w:div>
    <w:div w:id="504636114">
      <w:bodyDiv w:val="1"/>
      <w:marLeft w:val="0"/>
      <w:marRight w:val="0"/>
      <w:marTop w:val="0"/>
      <w:marBottom w:val="0"/>
      <w:divBdr>
        <w:top w:val="none" w:sz="0" w:space="0" w:color="auto"/>
        <w:left w:val="none" w:sz="0" w:space="0" w:color="auto"/>
        <w:bottom w:val="none" w:sz="0" w:space="0" w:color="auto"/>
        <w:right w:val="none" w:sz="0" w:space="0" w:color="auto"/>
      </w:divBdr>
    </w:div>
    <w:div w:id="507183984">
      <w:bodyDiv w:val="1"/>
      <w:marLeft w:val="0"/>
      <w:marRight w:val="0"/>
      <w:marTop w:val="0"/>
      <w:marBottom w:val="0"/>
      <w:divBdr>
        <w:top w:val="none" w:sz="0" w:space="0" w:color="auto"/>
        <w:left w:val="none" w:sz="0" w:space="0" w:color="auto"/>
        <w:bottom w:val="none" w:sz="0" w:space="0" w:color="auto"/>
        <w:right w:val="none" w:sz="0" w:space="0" w:color="auto"/>
      </w:divBdr>
    </w:div>
    <w:div w:id="532839782">
      <w:bodyDiv w:val="1"/>
      <w:marLeft w:val="0"/>
      <w:marRight w:val="0"/>
      <w:marTop w:val="0"/>
      <w:marBottom w:val="0"/>
      <w:divBdr>
        <w:top w:val="none" w:sz="0" w:space="0" w:color="auto"/>
        <w:left w:val="none" w:sz="0" w:space="0" w:color="auto"/>
        <w:bottom w:val="none" w:sz="0" w:space="0" w:color="auto"/>
        <w:right w:val="none" w:sz="0" w:space="0" w:color="auto"/>
      </w:divBdr>
    </w:div>
    <w:div w:id="543519509">
      <w:bodyDiv w:val="1"/>
      <w:marLeft w:val="0"/>
      <w:marRight w:val="0"/>
      <w:marTop w:val="0"/>
      <w:marBottom w:val="0"/>
      <w:divBdr>
        <w:top w:val="none" w:sz="0" w:space="0" w:color="auto"/>
        <w:left w:val="none" w:sz="0" w:space="0" w:color="auto"/>
        <w:bottom w:val="none" w:sz="0" w:space="0" w:color="auto"/>
        <w:right w:val="none" w:sz="0" w:space="0" w:color="auto"/>
      </w:divBdr>
    </w:div>
    <w:div w:id="558710212">
      <w:bodyDiv w:val="1"/>
      <w:marLeft w:val="0"/>
      <w:marRight w:val="0"/>
      <w:marTop w:val="0"/>
      <w:marBottom w:val="0"/>
      <w:divBdr>
        <w:top w:val="none" w:sz="0" w:space="0" w:color="auto"/>
        <w:left w:val="none" w:sz="0" w:space="0" w:color="auto"/>
        <w:bottom w:val="none" w:sz="0" w:space="0" w:color="auto"/>
        <w:right w:val="none" w:sz="0" w:space="0" w:color="auto"/>
      </w:divBdr>
    </w:div>
    <w:div w:id="579951722">
      <w:bodyDiv w:val="1"/>
      <w:marLeft w:val="0"/>
      <w:marRight w:val="0"/>
      <w:marTop w:val="0"/>
      <w:marBottom w:val="0"/>
      <w:divBdr>
        <w:top w:val="none" w:sz="0" w:space="0" w:color="auto"/>
        <w:left w:val="none" w:sz="0" w:space="0" w:color="auto"/>
        <w:bottom w:val="none" w:sz="0" w:space="0" w:color="auto"/>
        <w:right w:val="none" w:sz="0" w:space="0" w:color="auto"/>
      </w:divBdr>
    </w:div>
    <w:div w:id="584613407">
      <w:marLeft w:val="0"/>
      <w:marRight w:val="0"/>
      <w:marTop w:val="0"/>
      <w:marBottom w:val="0"/>
      <w:divBdr>
        <w:top w:val="none" w:sz="0" w:space="0" w:color="auto"/>
        <w:left w:val="none" w:sz="0" w:space="0" w:color="auto"/>
        <w:bottom w:val="none" w:sz="0" w:space="0" w:color="auto"/>
        <w:right w:val="none" w:sz="0" w:space="0" w:color="auto"/>
      </w:divBdr>
    </w:div>
    <w:div w:id="584613408">
      <w:marLeft w:val="0"/>
      <w:marRight w:val="0"/>
      <w:marTop w:val="0"/>
      <w:marBottom w:val="0"/>
      <w:divBdr>
        <w:top w:val="none" w:sz="0" w:space="0" w:color="auto"/>
        <w:left w:val="none" w:sz="0" w:space="0" w:color="auto"/>
        <w:bottom w:val="none" w:sz="0" w:space="0" w:color="auto"/>
        <w:right w:val="none" w:sz="0" w:space="0" w:color="auto"/>
      </w:divBdr>
    </w:div>
    <w:div w:id="584613409">
      <w:marLeft w:val="0"/>
      <w:marRight w:val="0"/>
      <w:marTop w:val="0"/>
      <w:marBottom w:val="0"/>
      <w:divBdr>
        <w:top w:val="none" w:sz="0" w:space="0" w:color="auto"/>
        <w:left w:val="none" w:sz="0" w:space="0" w:color="auto"/>
        <w:bottom w:val="none" w:sz="0" w:space="0" w:color="auto"/>
        <w:right w:val="none" w:sz="0" w:space="0" w:color="auto"/>
      </w:divBdr>
    </w:div>
    <w:div w:id="584613410">
      <w:marLeft w:val="0"/>
      <w:marRight w:val="0"/>
      <w:marTop w:val="0"/>
      <w:marBottom w:val="0"/>
      <w:divBdr>
        <w:top w:val="none" w:sz="0" w:space="0" w:color="auto"/>
        <w:left w:val="none" w:sz="0" w:space="0" w:color="auto"/>
        <w:bottom w:val="none" w:sz="0" w:space="0" w:color="auto"/>
        <w:right w:val="none" w:sz="0" w:space="0" w:color="auto"/>
      </w:divBdr>
    </w:div>
    <w:div w:id="584613411">
      <w:marLeft w:val="0"/>
      <w:marRight w:val="0"/>
      <w:marTop w:val="0"/>
      <w:marBottom w:val="0"/>
      <w:divBdr>
        <w:top w:val="none" w:sz="0" w:space="0" w:color="auto"/>
        <w:left w:val="none" w:sz="0" w:space="0" w:color="auto"/>
        <w:bottom w:val="none" w:sz="0" w:space="0" w:color="auto"/>
        <w:right w:val="none" w:sz="0" w:space="0" w:color="auto"/>
      </w:divBdr>
    </w:div>
    <w:div w:id="584613412">
      <w:marLeft w:val="0"/>
      <w:marRight w:val="0"/>
      <w:marTop w:val="0"/>
      <w:marBottom w:val="0"/>
      <w:divBdr>
        <w:top w:val="none" w:sz="0" w:space="0" w:color="auto"/>
        <w:left w:val="none" w:sz="0" w:space="0" w:color="auto"/>
        <w:bottom w:val="none" w:sz="0" w:space="0" w:color="auto"/>
        <w:right w:val="none" w:sz="0" w:space="0" w:color="auto"/>
      </w:divBdr>
    </w:div>
    <w:div w:id="584613413">
      <w:marLeft w:val="0"/>
      <w:marRight w:val="0"/>
      <w:marTop w:val="0"/>
      <w:marBottom w:val="0"/>
      <w:divBdr>
        <w:top w:val="none" w:sz="0" w:space="0" w:color="auto"/>
        <w:left w:val="none" w:sz="0" w:space="0" w:color="auto"/>
        <w:bottom w:val="none" w:sz="0" w:space="0" w:color="auto"/>
        <w:right w:val="none" w:sz="0" w:space="0" w:color="auto"/>
      </w:divBdr>
    </w:div>
    <w:div w:id="584613414">
      <w:marLeft w:val="0"/>
      <w:marRight w:val="0"/>
      <w:marTop w:val="0"/>
      <w:marBottom w:val="0"/>
      <w:divBdr>
        <w:top w:val="none" w:sz="0" w:space="0" w:color="auto"/>
        <w:left w:val="none" w:sz="0" w:space="0" w:color="auto"/>
        <w:bottom w:val="none" w:sz="0" w:space="0" w:color="auto"/>
        <w:right w:val="none" w:sz="0" w:space="0" w:color="auto"/>
      </w:divBdr>
    </w:div>
    <w:div w:id="584613415">
      <w:marLeft w:val="0"/>
      <w:marRight w:val="0"/>
      <w:marTop w:val="0"/>
      <w:marBottom w:val="0"/>
      <w:divBdr>
        <w:top w:val="none" w:sz="0" w:space="0" w:color="auto"/>
        <w:left w:val="none" w:sz="0" w:space="0" w:color="auto"/>
        <w:bottom w:val="none" w:sz="0" w:space="0" w:color="auto"/>
        <w:right w:val="none" w:sz="0" w:space="0" w:color="auto"/>
      </w:divBdr>
    </w:div>
    <w:div w:id="584613416">
      <w:marLeft w:val="0"/>
      <w:marRight w:val="0"/>
      <w:marTop w:val="0"/>
      <w:marBottom w:val="0"/>
      <w:divBdr>
        <w:top w:val="none" w:sz="0" w:space="0" w:color="auto"/>
        <w:left w:val="none" w:sz="0" w:space="0" w:color="auto"/>
        <w:bottom w:val="none" w:sz="0" w:space="0" w:color="auto"/>
        <w:right w:val="none" w:sz="0" w:space="0" w:color="auto"/>
      </w:divBdr>
    </w:div>
    <w:div w:id="584613417">
      <w:marLeft w:val="0"/>
      <w:marRight w:val="0"/>
      <w:marTop w:val="0"/>
      <w:marBottom w:val="0"/>
      <w:divBdr>
        <w:top w:val="none" w:sz="0" w:space="0" w:color="auto"/>
        <w:left w:val="none" w:sz="0" w:space="0" w:color="auto"/>
        <w:bottom w:val="none" w:sz="0" w:space="0" w:color="auto"/>
        <w:right w:val="none" w:sz="0" w:space="0" w:color="auto"/>
      </w:divBdr>
    </w:div>
    <w:div w:id="584613418">
      <w:marLeft w:val="0"/>
      <w:marRight w:val="0"/>
      <w:marTop w:val="0"/>
      <w:marBottom w:val="0"/>
      <w:divBdr>
        <w:top w:val="none" w:sz="0" w:space="0" w:color="auto"/>
        <w:left w:val="none" w:sz="0" w:space="0" w:color="auto"/>
        <w:bottom w:val="none" w:sz="0" w:space="0" w:color="auto"/>
        <w:right w:val="none" w:sz="0" w:space="0" w:color="auto"/>
      </w:divBdr>
    </w:div>
    <w:div w:id="584613419">
      <w:marLeft w:val="0"/>
      <w:marRight w:val="0"/>
      <w:marTop w:val="0"/>
      <w:marBottom w:val="0"/>
      <w:divBdr>
        <w:top w:val="none" w:sz="0" w:space="0" w:color="auto"/>
        <w:left w:val="none" w:sz="0" w:space="0" w:color="auto"/>
        <w:bottom w:val="none" w:sz="0" w:space="0" w:color="auto"/>
        <w:right w:val="none" w:sz="0" w:space="0" w:color="auto"/>
      </w:divBdr>
    </w:div>
    <w:div w:id="584613420">
      <w:marLeft w:val="0"/>
      <w:marRight w:val="0"/>
      <w:marTop w:val="0"/>
      <w:marBottom w:val="0"/>
      <w:divBdr>
        <w:top w:val="none" w:sz="0" w:space="0" w:color="auto"/>
        <w:left w:val="none" w:sz="0" w:space="0" w:color="auto"/>
        <w:bottom w:val="none" w:sz="0" w:space="0" w:color="auto"/>
        <w:right w:val="none" w:sz="0" w:space="0" w:color="auto"/>
      </w:divBdr>
    </w:div>
    <w:div w:id="584613421">
      <w:marLeft w:val="0"/>
      <w:marRight w:val="0"/>
      <w:marTop w:val="0"/>
      <w:marBottom w:val="0"/>
      <w:divBdr>
        <w:top w:val="none" w:sz="0" w:space="0" w:color="auto"/>
        <w:left w:val="none" w:sz="0" w:space="0" w:color="auto"/>
        <w:bottom w:val="none" w:sz="0" w:space="0" w:color="auto"/>
        <w:right w:val="none" w:sz="0" w:space="0" w:color="auto"/>
      </w:divBdr>
    </w:div>
    <w:div w:id="584613422">
      <w:marLeft w:val="0"/>
      <w:marRight w:val="0"/>
      <w:marTop w:val="0"/>
      <w:marBottom w:val="0"/>
      <w:divBdr>
        <w:top w:val="none" w:sz="0" w:space="0" w:color="auto"/>
        <w:left w:val="none" w:sz="0" w:space="0" w:color="auto"/>
        <w:bottom w:val="none" w:sz="0" w:space="0" w:color="auto"/>
        <w:right w:val="none" w:sz="0" w:space="0" w:color="auto"/>
      </w:divBdr>
    </w:div>
    <w:div w:id="584613423">
      <w:marLeft w:val="0"/>
      <w:marRight w:val="0"/>
      <w:marTop w:val="0"/>
      <w:marBottom w:val="0"/>
      <w:divBdr>
        <w:top w:val="none" w:sz="0" w:space="0" w:color="auto"/>
        <w:left w:val="none" w:sz="0" w:space="0" w:color="auto"/>
        <w:bottom w:val="none" w:sz="0" w:space="0" w:color="auto"/>
        <w:right w:val="none" w:sz="0" w:space="0" w:color="auto"/>
      </w:divBdr>
    </w:div>
    <w:div w:id="584613424">
      <w:marLeft w:val="0"/>
      <w:marRight w:val="0"/>
      <w:marTop w:val="0"/>
      <w:marBottom w:val="0"/>
      <w:divBdr>
        <w:top w:val="none" w:sz="0" w:space="0" w:color="auto"/>
        <w:left w:val="none" w:sz="0" w:space="0" w:color="auto"/>
        <w:bottom w:val="none" w:sz="0" w:space="0" w:color="auto"/>
        <w:right w:val="none" w:sz="0" w:space="0" w:color="auto"/>
      </w:divBdr>
    </w:div>
    <w:div w:id="584613425">
      <w:marLeft w:val="0"/>
      <w:marRight w:val="0"/>
      <w:marTop w:val="0"/>
      <w:marBottom w:val="0"/>
      <w:divBdr>
        <w:top w:val="none" w:sz="0" w:space="0" w:color="auto"/>
        <w:left w:val="none" w:sz="0" w:space="0" w:color="auto"/>
        <w:bottom w:val="none" w:sz="0" w:space="0" w:color="auto"/>
        <w:right w:val="none" w:sz="0" w:space="0" w:color="auto"/>
      </w:divBdr>
    </w:div>
    <w:div w:id="584613426">
      <w:marLeft w:val="0"/>
      <w:marRight w:val="0"/>
      <w:marTop w:val="0"/>
      <w:marBottom w:val="0"/>
      <w:divBdr>
        <w:top w:val="none" w:sz="0" w:space="0" w:color="auto"/>
        <w:left w:val="none" w:sz="0" w:space="0" w:color="auto"/>
        <w:bottom w:val="none" w:sz="0" w:space="0" w:color="auto"/>
        <w:right w:val="none" w:sz="0" w:space="0" w:color="auto"/>
      </w:divBdr>
    </w:div>
    <w:div w:id="584613427">
      <w:marLeft w:val="0"/>
      <w:marRight w:val="0"/>
      <w:marTop w:val="0"/>
      <w:marBottom w:val="0"/>
      <w:divBdr>
        <w:top w:val="none" w:sz="0" w:space="0" w:color="auto"/>
        <w:left w:val="none" w:sz="0" w:space="0" w:color="auto"/>
        <w:bottom w:val="none" w:sz="0" w:space="0" w:color="auto"/>
        <w:right w:val="none" w:sz="0" w:space="0" w:color="auto"/>
      </w:divBdr>
    </w:div>
    <w:div w:id="584613428">
      <w:marLeft w:val="0"/>
      <w:marRight w:val="0"/>
      <w:marTop w:val="0"/>
      <w:marBottom w:val="0"/>
      <w:divBdr>
        <w:top w:val="none" w:sz="0" w:space="0" w:color="auto"/>
        <w:left w:val="none" w:sz="0" w:space="0" w:color="auto"/>
        <w:bottom w:val="none" w:sz="0" w:space="0" w:color="auto"/>
        <w:right w:val="none" w:sz="0" w:space="0" w:color="auto"/>
      </w:divBdr>
    </w:div>
    <w:div w:id="584613429">
      <w:marLeft w:val="0"/>
      <w:marRight w:val="0"/>
      <w:marTop w:val="0"/>
      <w:marBottom w:val="0"/>
      <w:divBdr>
        <w:top w:val="none" w:sz="0" w:space="0" w:color="auto"/>
        <w:left w:val="none" w:sz="0" w:space="0" w:color="auto"/>
        <w:bottom w:val="none" w:sz="0" w:space="0" w:color="auto"/>
        <w:right w:val="none" w:sz="0" w:space="0" w:color="auto"/>
      </w:divBdr>
    </w:div>
    <w:div w:id="584613430">
      <w:marLeft w:val="0"/>
      <w:marRight w:val="0"/>
      <w:marTop w:val="0"/>
      <w:marBottom w:val="0"/>
      <w:divBdr>
        <w:top w:val="none" w:sz="0" w:space="0" w:color="auto"/>
        <w:left w:val="none" w:sz="0" w:space="0" w:color="auto"/>
        <w:bottom w:val="none" w:sz="0" w:space="0" w:color="auto"/>
        <w:right w:val="none" w:sz="0" w:space="0" w:color="auto"/>
      </w:divBdr>
    </w:div>
    <w:div w:id="584613431">
      <w:marLeft w:val="0"/>
      <w:marRight w:val="0"/>
      <w:marTop w:val="0"/>
      <w:marBottom w:val="0"/>
      <w:divBdr>
        <w:top w:val="none" w:sz="0" w:space="0" w:color="auto"/>
        <w:left w:val="none" w:sz="0" w:space="0" w:color="auto"/>
        <w:bottom w:val="none" w:sz="0" w:space="0" w:color="auto"/>
        <w:right w:val="none" w:sz="0" w:space="0" w:color="auto"/>
      </w:divBdr>
    </w:div>
    <w:div w:id="584613432">
      <w:marLeft w:val="0"/>
      <w:marRight w:val="0"/>
      <w:marTop w:val="0"/>
      <w:marBottom w:val="0"/>
      <w:divBdr>
        <w:top w:val="none" w:sz="0" w:space="0" w:color="auto"/>
        <w:left w:val="none" w:sz="0" w:space="0" w:color="auto"/>
        <w:bottom w:val="none" w:sz="0" w:space="0" w:color="auto"/>
        <w:right w:val="none" w:sz="0" w:space="0" w:color="auto"/>
      </w:divBdr>
    </w:div>
    <w:div w:id="584613433">
      <w:marLeft w:val="0"/>
      <w:marRight w:val="0"/>
      <w:marTop w:val="0"/>
      <w:marBottom w:val="0"/>
      <w:divBdr>
        <w:top w:val="none" w:sz="0" w:space="0" w:color="auto"/>
        <w:left w:val="none" w:sz="0" w:space="0" w:color="auto"/>
        <w:bottom w:val="none" w:sz="0" w:space="0" w:color="auto"/>
        <w:right w:val="none" w:sz="0" w:space="0" w:color="auto"/>
      </w:divBdr>
    </w:div>
    <w:div w:id="584613434">
      <w:marLeft w:val="0"/>
      <w:marRight w:val="0"/>
      <w:marTop w:val="0"/>
      <w:marBottom w:val="0"/>
      <w:divBdr>
        <w:top w:val="none" w:sz="0" w:space="0" w:color="auto"/>
        <w:left w:val="none" w:sz="0" w:space="0" w:color="auto"/>
        <w:bottom w:val="none" w:sz="0" w:space="0" w:color="auto"/>
        <w:right w:val="none" w:sz="0" w:space="0" w:color="auto"/>
      </w:divBdr>
    </w:div>
    <w:div w:id="584613435">
      <w:marLeft w:val="0"/>
      <w:marRight w:val="0"/>
      <w:marTop w:val="0"/>
      <w:marBottom w:val="0"/>
      <w:divBdr>
        <w:top w:val="none" w:sz="0" w:space="0" w:color="auto"/>
        <w:left w:val="none" w:sz="0" w:space="0" w:color="auto"/>
        <w:bottom w:val="none" w:sz="0" w:space="0" w:color="auto"/>
        <w:right w:val="none" w:sz="0" w:space="0" w:color="auto"/>
      </w:divBdr>
    </w:div>
    <w:div w:id="584613436">
      <w:marLeft w:val="0"/>
      <w:marRight w:val="0"/>
      <w:marTop w:val="0"/>
      <w:marBottom w:val="0"/>
      <w:divBdr>
        <w:top w:val="none" w:sz="0" w:space="0" w:color="auto"/>
        <w:left w:val="none" w:sz="0" w:space="0" w:color="auto"/>
        <w:bottom w:val="none" w:sz="0" w:space="0" w:color="auto"/>
        <w:right w:val="none" w:sz="0" w:space="0" w:color="auto"/>
      </w:divBdr>
    </w:div>
    <w:div w:id="584613437">
      <w:marLeft w:val="0"/>
      <w:marRight w:val="0"/>
      <w:marTop w:val="0"/>
      <w:marBottom w:val="0"/>
      <w:divBdr>
        <w:top w:val="none" w:sz="0" w:space="0" w:color="auto"/>
        <w:left w:val="none" w:sz="0" w:space="0" w:color="auto"/>
        <w:bottom w:val="none" w:sz="0" w:space="0" w:color="auto"/>
        <w:right w:val="none" w:sz="0" w:space="0" w:color="auto"/>
      </w:divBdr>
    </w:div>
    <w:div w:id="584613438">
      <w:marLeft w:val="0"/>
      <w:marRight w:val="0"/>
      <w:marTop w:val="0"/>
      <w:marBottom w:val="0"/>
      <w:divBdr>
        <w:top w:val="none" w:sz="0" w:space="0" w:color="auto"/>
        <w:left w:val="none" w:sz="0" w:space="0" w:color="auto"/>
        <w:bottom w:val="none" w:sz="0" w:space="0" w:color="auto"/>
        <w:right w:val="none" w:sz="0" w:space="0" w:color="auto"/>
      </w:divBdr>
    </w:div>
    <w:div w:id="584613439">
      <w:marLeft w:val="0"/>
      <w:marRight w:val="0"/>
      <w:marTop w:val="0"/>
      <w:marBottom w:val="0"/>
      <w:divBdr>
        <w:top w:val="none" w:sz="0" w:space="0" w:color="auto"/>
        <w:left w:val="none" w:sz="0" w:space="0" w:color="auto"/>
        <w:bottom w:val="none" w:sz="0" w:space="0" w:color="auto"/>
        <w:right w:val="none" w:sz="0" w:space="0" w:color="auto"/>
      </w:divBdr>
    </w:div>
    <w:div w:id="584613440">
      <w:marLeft w:val="0"/>
      <w:marRight w:val="0"/>
      <w:marTop w:val="0"/>
      <w:marBottom w:val="0"/>
      <w:divBdr>
        <w:top w:val="none" w:sz="0" w:space="0" w:color="auto"/>
        <w:left w:val="none" w:sz="0" w:space="0" w:color="auto"/>
        <w:bottom w:val="none" w:sz="0" w:space="0" w:color="auto"/>
        <w:right w:val="none" w:sz="0" w:space="0" w:color="auto"/>
      </w:divBdr>
    </w:div>
    <w:div w:id="584613441">
      <w:marLeft w:val="0"/>
      <w:marRight w:val="0"/>
      <w:marTop w:val="0"/>
      <w:marBottom w:val="0"/>
      <w:divBdr>
        <w:top w:val="none" w:sz="0" w:space="0" w:color="auto"/>
        <w:left w:val="none" w:sz="0" w:space="0" w:color="auto"/>
        <w:bottom w:val="none" w:sz="0" w:space="0" w:color="auto"/>
        <w:right w:val="none" w:sz="0" w:space="0" w:color="auto"/>
      </w:divBdr>
    </w:div>
    <w:div w:id="584613442">
      <w:marLeft w:val="0"/>
      <w:marRight w:val="0"/>
      <w:marTop w:val="0"/>
      <w:marBottom w:val="0"/>
      <w:divBdr>
        <w:top w:val="none" w:sz="0" w:space="0" w:color="auto"/>
        <w:left w:val="none" w:sz="0" w:space="0" w:color="auto"/>
        <w:bottom w:val="none" w:sz="0" w:space="0" w:color="auto"/>
        <w:right w:val="none" w:sz="0" w:space="0" w:color="auto"/>
      </w:divBdr>
    </w:div>
    <w:div w:id="584613443">
      <w:marLeft w:val="0"/>
      <w:marRight w:val="0"/>
      <w:marTop w:val="0"/>
      <w:marBottom w:val="0"/>
      <w:divBdr>
        <w:top w:val="none" w:sz="0" w:space="0" w:color="auto"/>
        <w:left w:val="none" w:sz="0" w:space="0" w:color="auto"/>
        <w:bottom w:val="none" w:sz="0" w:space="0" w:color="auto"/>
        <w:right w:val="none" w:sz="0" w:space="0" w:color="auto"/>
      </w:divBdr>
    </w:div>
    <w:div w:id="584613444">
      <w:marLeft w:val="0"/>
      <w:marRight w:val="0"/>
      <w:marTop w:val="0"/>
      <w:marBottom w:val="0"/>
      <w:divBdr>
        <w:top w:val="none" w:sz="0" w:space="0" w:color="auto"/>
        <w:left w:val="none" w:sz="0" w:space="0" w:color="auto"/>
        <w:bottom w:val="none" w:sz="0" w:space="0" w:color="auto"/>
        <w:right w:val="none" w:sz="0" w:space="0" w:color="auto"/>
      </w:divBdr>
    </w:div>
    <w:div w:id="584613445">
      <w:marLeft w:val="0"/>
      <w:marRight w:val="0"/>
      <w:marTop w:val="0"/>
      <w:marBottom w:val="0"/>
      <w:divBdr>
        <w:top w:val="none" w:sz="0" w:space="0" w:color="auto"/>
        <w:left w:val="none" w:sz="0" w:space="0" w:color="auto"/>
        <w:bottom w:val="none" w:sz="0" w:space="0" w:color="auto"/>
        <w:right w:val="none" w:sz="0" w:space="0" w:color="auto"/>
      </w:divBdr>
    </w:div>
    <w:div w:id="584613446">
      <w:marLeft w:val="0"/>
      <w:marRight w:val="0"/>
      <w:marTop w:val="0"/>
      <w:marBottom w:val="0"/>
      <w:divBdr>
        <w:top w:val="none" w:sz="0" w:space="0" w:color="auto"/>
        <w:left w:val="none" w:sz="0" w:space="0" w:color="auto"/>
        <w:bottom w:val="none" w:sz="0" w:space="0" w:color="auto"/>
        <w:right w:val="none" w:sz="0" w:space="0" w:color="auto"/>
      </w:divBdr>
    </w:div>
    <w:div w:id="584613447">
      <w:marLeft w:val="0"/>
      <w:marRight w:val="0"/>
      <w:marTop w:val="0"/>
      <w:marBottom w:val="0"/>
      <w:divBdr>
        <w:top w:val="none" w:sz="0" w:space="0" w:color="auto"/>
        <w:left w:val="none" w:sz="0" w:space="0" w:color="auto"/>
        <w:bottom w:val="none" w:sz="0" w:space="0" w:color="auto"/>
        <w:right w:val="none" w:sz="0" w:space="0" w:color="auto"/>
      </w:divBdr>
    </w:div>
    <w:div w:id="584613448">
      <w:marLeft w:val="0"/>
      <w:marRight w:val="0"/>
      <w:marTop w:val="0"/>
      <w:marBottom w:val="0"/>
      <w:divBdr>
        <w:top w:val="none" w:sz="0" w:space="0" w:color="auto"/>
        <w:left w:val="none" w:sz="0" w:space="0" w:color="auto"/>
        <w:bottom w:val="none" w:sz="0" w:space="0" w:color="auto"/>
        <w:right w:val="none" w:sz="0" w:space="0" w:color="auto"/>
      </w:divBdr>
    </w:div>
    <w:div w:id="584613449">
      <w:marLeft w:val="0"/>
      <w:marRight w:val="0"/>
      <w:marTop w:val="0"/>
      <w:marBottom w:val="0"/>
      <w:divBdr>
        <w:top w:val="none" w:sz="0" w:space="0" w:color="auto"/>
        <w:left w:val="none" w:sz="0" w:space="0" w:color="auto"/>
        <w:bottom w:val="none" w:sz="0" w:space="0" w:color="auto"/>
        <w:right w:val="none" w:sz="0" w:space="0" w:color="auto"/>
      </w:divBdr>
    </w:div>
    <w:div w:id="584613450">
      <w:marLeft w:val="0"/>
      <w:marRight w:val="0"/>
      <w:marTop w:val="0"/>
      <w:marBottom w:val="0"/>
      <w:divBdr>
        <w:top w:val="none" w:sz="0" w:space="0" w:color="auto"/>
        <w:left w:val="none" w:sz="0" w:space="0" w:color="auto"/>
        <w:bottom w:val="none" w:sz="0" w:space="0" w:color="auto"/>
        <w:right w:val="none" w:sz="0" w:space="0" w:color="auto"/>
      </w:divBdr>
    </w:div>
    <w:div w:id="584613451">
      <w:marLeft w:val="0"/>
      <w:marRight w:val="0"/>
      <w:marTop w:val="0"/>
      <w:marBottom w:val="0"/>
      <w:divBdr>
        <w:top w:val="none" w:sz="0" w:space="0" w:color="auto"/>
        <w:left w:val="none" w:sz="0" w:space="0" w:color="auto"/>
        <w:bottom w:val="none" w:sz="0" w:space="0" w:color="auto"/>
        <w:right w:val="none" w:sz="0" w:space="0" w:color="auto"/>
      </w:divBdr>
    </w:div>
    <w:div w:id="584613452">
      <w:marLeft w:val="0"/>
      <w:marRight w:val="0"/>
      <w:marTop w:val="0"/>
      <w:marBottom w:val="0"/>
      <w:divBdr>
        <w:top w:val="none" w:sz="0" w:space="0" w:color="auto"/>
        <w:left w:val="none" w:sz="0" w:space="0" w:color="auto"/>
        <w:bottom w:val="none" w:sz="0" w:space="0" w:color="auto"/>
        <w:right w:val="none" w:sz="0" w:space="0" w:color="auto"/>
      </w:divBdr>
    </w:div>
    <w:div w:id="584613453">
      <w:marLeft w:val="0"/>
      <w:marRight w:val="0"/>
      <w:marTop w:val="0"/>
      <w:marBottom w:val="0"/>
      <w:divBdr>
        <w:top w:val="none" w:sz="0" w:space="0" w:color="auto"/>
        <w:left w:val="none" w:sz="0" w:space="0" w:color="auto"/>
        <w:bottom w:val="none" w:sz="0" w:space="0" w:color="auto"/>
        <w:right w:val="none" w:sz="0" w:space="0" w:color="auto"/>
      </w:divBdr>
    </w:div>
    <w:div w:id="584613454">
      <w:marLeft w:val="0"/>
      <w:marRight w:val="0"/>
      <w:marTop w:val="0"/>
      <w:marBottom w:val="0"/>
      <w:divBdr>
        <w:top w:val="none" w:sz="0" w:space="0" w:color="auto"/>
        <w:left w:val="none" w:sz="0" w:space="0" w:color="auto"/>
        <w:bottom w:val="none" w:sz="0" w:space="0" w:color="auto"/>
        <w:right w:val="none" w:sz="0" w:space="0" w:color="auto"/>
      </w:divBdr>
    </w:div>
    <w:div w:id="584613455">
      <w:marLeft w:val="0"/>
      <w:marRight w:val="0"/>
      <w:marTop w:val="0"/>
      <w:marBottom w:val="0"/>
      <w:divBdr>
        <w:top w:val="none" w:sz="0" w:space="0" w:color="auto"/>
        <w:left w:val="none" w:sz="0" w:space="0" w:color="auto"/>
        <w:bottom w:val="none" w:sz="0" w:space="0" w:color="auto"/>
        <w:right w:val="none" w:sz="0" w:space="0" w:color="auto"/>
      </w:divBdr>
    </w:div>
    <w:div w:id="584613456">
      <w:marLeft w:val="0"/>
      <w:marRight w:val="0"/>
      <w:marTop w:val="0"/>
      <w:marBottom w:val="0"/>
      <w:divBdr>
        <w:top w:val="none" w:sz="0" w:space="0" w:color="auto"/>
        <w:left w:val="none" w:sz="0" w:space="0" w:color="auto"/>
        <w:bottom w:val="none" w:sz="0" w:space="0" w:color="auto"/>
        <w:right w:val="none" w:sz="0" w:space="0" w:color="auto"/>
      </w:divBdr>
    </w:div>
    <w:div w:id="584613457">
      <w:marLeft w:val="0"/>
      <w:marRight w:val="0"/>
      <w:marTop w:val="0"/>
      <w:marBottom w:val="0"/>
      <w:divBdr>
        <w:top w:val="none" w:sz="0" w:space="0" w:color="auto"/>
        <w:left w:val="none" w:sz="0" w:space="0" w:color="auto"/>
        <w:bottom w:val="none" w:sz="0" w:space="0" w:color="auto"/>
        <w:right w:val="none" w:sz="0" w:space="0" w:color="auto"/>
      </w:divBdr>
    </w:div>
    <w:div w:id="584613458">
      <w:marLeft w:val="0"/>
      <w:marRight w:val="0"/>
      <w:marTop w:val="0"/>
      <w:marBottom w:val="0"/>
      <w:divBdr>
        <w:top w:val="none" w:sz="0" w:space="0" w:color="auto"/>
        <w:left w:val="none" w:sz="0" w:space="0" w:color="auto"/>
        <w:bottom w:val="none" w:sz="0" w:space="0" w:color="auto"/>
        <w:right w:val="none" w:sz="0" w:space="0" w:color="auto"/>
      </w:divBdr>
    </w:div>
    <w:div w:id="584613459">
      <w:marLeft w:val="0"/>
      <w:marRight w:val="0"/>
      <w:marTop w:val="0"/>
      <w:marBottom w:val="0"/>
      <w:divBdr>
        <w:top w:val="none" w:sz="0" w:space="0" w:color="auto"/>
        <w:left w:val="none" w:sz="0" w:space="0" w:color="auto"/>
        <w:bottom w:val="none" w:sz="0" w:space="0" w:color="auto"/>
        <w:right w:val="none" w:sz="0" w:space="0" w:color="auto"/>
      </w:divBdr>
    </w:div>
    <w:div w:id="584613460">
      <w:marLeft w:val="0"/>
      <w:marRight w:val="0"/>
      <w:marTop w:val="0"/>
      <w:marBottom w:val="0"/>
      <w:divBdr>
        <w:top w:val="none" w:sz="0" w:space="0" w:color="auto"/>
        <w:left w:val="none" w:sz="0" w:space="0" w:color="auto"/>
        <w:bottom w:val="none" w:sz="0" w:space="0" w:color="auto"/>
        <w:right w:val="none" w:sz="0" w:space="0" w:color="auto"/>
      </w:divBdr>
    </w:div>
    <w:div w:id="584613461">
      <w:marLeft w:val="0"/>
      <w:marRight w:val="0"/>
      <w:marTop w:val="0"/>
      <w:marBottom w:val="0"/>
      <w:divBdr>
        <w:top w:val="none" w:sz="0" w:space="0" w:color="auto"/>
        <w:left w:val="none" w:sz="0" w:space="0" w:color="auto"/>
        <w:bottom w:val="none" w:sz="0" w:space="0" w:color="auto"/>
        <w:right w:val="none" w:sz="0" w:space="0" w:color="auto"/>
      </w:divBdr>
    </w:div>
    <w:div w:id="584613462">
      <w:marLeft w:val="0"/>
      <w:marRight w:val="0"/>
      <w:marTop w:val="0"/>
      <w:marBottom w:val="0"/>
      <w:divBdr>
        <w:top w:val="none" w:sz="0" w:space="0" w:color="auto"/>
        <w:left w:val="none" w:sz="0" w:space="0" w:color="auto"/>
        <w:bottom w:val="none" w:sz="0" w:space="0" w:color="auto"/>
        <w:right w:val="none" w:sz="0" w:space="0" w:color="auto"/>
      </w:divBdr>
    </w:div>
    <w:div w:id="584613463">
      <w:marLeft w:val="0"/>
      <w:marRight w:val="0"/>
      <w:marTop w:val="0"/>
      <w:marBottom w:val="0"/>
      <w:divBdr>
        <w:top w:val="none" w:sz="0" w:space="0" w:color="auto"/>
        <w:left w:val="none" w:sz="0" w:space="0" w:color="auto"/>
        <w:bottom w:val="none" w:sz="0" w:space="0" w:color="auto"/>
        <w:right w:val="none" w:sz="0" w:space="0" w:color="auto"/>
      </w:divBdr>
    </w:div>
    <w:div w:id="584613464">
      <w:marLeft w:val="0"/>
      <w:marRight w:val="0"/>
      <w:marTop w:val="0"/>
      <w:marBottom w:val="0"/>
      <w:divBdr>
        <w:top w:val="none" w:sz="0" w:space="0" w:color="auto"/>
        <w:left w:val="none" w:sz="0" w:space="0" w:color="auto"/>
        <w:bottom w:val="none" w:sz="0" w:space="0" w:color="auto"/>
        <w:right w:val="none" w:sz="0" w:space="0" w:color="auto"/>
      </w:divBdr>
    </w:div>
    <w:div w:id="584613465">
      <w:marLeft w:val="0"/>
      <w:marRight w:val="0"/>
      <w:marTop w:val="0"/>
      <w:marBottom w:val="0"/>
      <w:divBdr>
        <w:top w:val="none" w:sz="0" w:space="0" w:color="auto"/>
        <w:left w:val="none" w:sz="0" w:space="0" w:color="auto"/>
        <w:bottom w:val="none" w:sz="0" w:space="0" w:color="auto"/>
        <w:right w:val="none" w:sz="0" w:space="0" w:color="auto"/>
      </w:divBdr>
    </w:div>
    <w:div w:id="584613466">
      <w:marLeft w:val="0"/>
      <w:marRight w:val="0"/>
      <w:marTop w:val="0"/>
      <w:marBottom w:val="0"/>
      <w:divBdr>
        <w:top w:val="none" w:sz="0" w:space="0" w:color="auto"/>
        <w:left w:val="none" w:sz="0" w:space="0" w:color="auto"/>
        <w:bottom w:val="none" w:sz="0" w:space="0" w:color="auto"/>
        <w:right w:val="none" w:sz="0" w:space="0" w:color="auto"/>
      </w:divBdr>
    </w:div>
    <w:div w:id="584613467">
      <w:marLeft w:val="0"/>
      <w:marRight w:val="0"/>
      <w:marTop w:val="0"/>
      <w:marBottom w:val="0"/>
      <w:divBdr>
        <w:top w:val="none" w:sz="0" w:space="0" w:color="auto"/>
        <w:left w:val="none" w:sz="0" w:space="0" w:color="auto"/>
        <w:bottom w:val="none" w:sz="0" w:space="0" w:color="auto"/>
        <w:right w:val="none" w:sz="0" w:space="0" w:color="auto"/>
      </w:divBdr>
    </w:div>
    <w:div w:id="584613468">
      <w:marLeft w:val="0"/>
      <w:marRight w:val="0"/>
      <w:marTop w:val="0"/>
      <w:marBottom w:val="0"/>
      <w:divBdr>
        <w:top w:val="none" w:sz="0" w:space="0" w:color="auto"/>
        <w:left w:val="none" w:sz="0" w:space="0" w:color="auto"/>
        <w:bottom w:val="none" w:sz="0" w:space="0" w:color="auto"/>
        <w:right w:val="none" w:sz="0" w:space="0" w:color="auto"/>
      </w:divBdr>
    </w:div>
    <w:div w:id="584613469">
      <w:marLeft w:val="0"/>
      <w:marRight w:val="0"/>
      <w:marTop w:val="0"/>
      <w:marBottom w:val="0"/>
      <w:divBdr>
        <w:top w:val="none" w:sz="0" w:space="0" w:color="auto"/>
        <w:left w:val="none" w:sz="0" w:space="0" w:color="auto"/>
        <w:bottom w:val="none" w:sz="0" w:space="0" w:color="auto"/>
        <w:right w:val="none" w:sz="0" w:space="0" w:color="auto"/>
      </w:divBdr>
    </w:div>
    <w:div w:id="584613470">
      <w:marLeft w:val="0"/>
      <w:marRight w:val="0"/>
      <w:marTop w:val="0"/>
      <w:marBottom w:val="0"/>
      <w:divBdr>
        <w:top w:val="none" w:sz="0" w:space="0" w:color="auto"/>
        <w:left w:val="none" w:sz="0" w:space="0" w:color="auto"/>
        <w:bottom w:val="none" w:sz="0" w:space="0" w:color="auto"/>
        <w:right w:val="none" w:sz="0" w:space="0" w:color="auto"/>
      </w:divBdr>
    </w:div>
    <w:div w:id="584613471">
      <w:marLeft w:val="0"/>
      <w:marRight w:val="0"/>
      <w:marTop w:val="0"/>
      <w:marBottom w:val="0"/>
      <w:divBdr>
        <w:top w:val="none" w:sz="0" w:space="0" w:color="auto"/>
        <w:left w:val="none" w:sz="0" w:space="0" w:color="auto"/>
        <w:bottom w:val="none" w:sz="0" w:space="0" w:color="auto"/>
        <w:right w:val="none" w:sz="0" w:space="0" w:color="auto"/>
      </w:divBdr>
    </w:div>
    <w:div w:id="584613472">
      <w:marLeft w:val="0"/>
      <w:marRight w:val="0"/>
      <w:marTop w:val="0"/>
      <w:marBottom w:val="0"/>
      <w:divBdr>
        <w:top w:val="none" w:sz="0" w:space="0" w:color="auto"/>
        <w:left w:val="none" w:sz="0" w:space="0" w:color="auto"/>
        <w:bottom w:val="none" w:sz="0" w:space="0" w:color="auto"/>
        <w:right w:val="none" w:sz="0" w:space="0" w:color="auto"/>
      </w:divBdr>
    </w:div>
    <w:div w:id="584613473">
      <w:marLeft w:val="0"/>
      <w:marRight w:val="0"/>
      <w:marTop w:val="0"/>
      <w:marBottom w:val="0"/>
      <w:divBdr>
        <w:top w:val="none" w:sz="0" w:space="0" w:color="auto"/>
        <w:left w:val="none" w:sz="0" w:space="0" w:color="auto"/>
        <w:bottom w:val="none" w:sz="0" w:space="0" w:color="auto"/>
        <w:right w:val="none" w:sz="0" w:space="0" w:color="auto"/>
      </w:divBdr>
    </w:div>
    <w:div w:id="584613474">
      <w:marLeft w:val="0"/>
      <w:marRight w:val="0"/>
      <w:marTop w:val="0"/>
      <w:marBottom w:val="0"/>
      <w:divBdr>
        <w:top w:val="none" w:sz="0" w:space="0" w:color="auto"/>
        <w:left w:val="none" w:sz="0" w:space="0" w:color="auto"/>
        <w:bottom w:val="none" w:sz="0" w:space="0" w:color="auto"/>
        <w:right w:val="none" w:sz="0" w:space="0" w:color="auto"/>
      </w:divBdr>
    </w:div>
    <w:div w:id="584613475">
      <w:marLeft w:val="0"/>
      <w:marRight w:val="0"/>
      <w:marTop w:val="0"/>
      <w:marBottom w:val="0"/>
      <w:divBdr>
        <w:top w:val="none" w:sz="0" w:space="0" w:color="auto"/>
        <w:left w:val="none" w:sz="0" w:space="0" w:color="auto"/>
        <w:bottom w:val="none" w:sz="0" w:space="0" w:color="auto"/>
        <w:right w:val="none" w:sz="0" w:space="0" w:color="auto"/>
      </w:divBdr>
    </w:div>
    <w:div w:id="584613476">
      <w:marLeft w:val="0"/>
      <w:marRight w:val="0"/>
      <w:marTop w:val="0"/>
      <w:marBottom w:val="0"/>
      <w:divBdr>
        <w:top w:val="none" w:sz="0" w:space="0" w:color="auto"/>
        <w:left w:val="none" w:sz="0" w:space="0" w:color="auto"/>
        <w:bottom w:val="none" w:sz="0" w:space="0" w:color="auto"/>
        <w:right w:val="none" w:sz="0" w:space="0" w:color="auto"/>
      </w:divBdr>
    </w:div>
    <w:div w:id="584613477">
      <w:marLeft w:val="0"/>
      <w:marRight w:val="0"/>
      <w:marTop w:val="0"/>
      <w:marBottom w:val="0"/>
      <w:divBdr>
        <w:top w:val="none" w:sz="0" w:space="0" w:color="auto"/>
        <w:left w:val="none" w:sz="0" w:space="0" w:color="auto"/>
        <w:bottom w:val="none" w:sz="0" w:space="0" w:color="auto"/>
        <w:right w:val="none" w:sz="0" w:space="0" w:color="auto"/>
      </w:divBdr>
    </w:div>
    <w:div w:id="600185152">
      <w:bodyDiv w:val="1"/>
      <w:marLeft w:val="0"/>
      <w:marRight w:val="0"/>
      <w:marTop w:val="0"/>
      <w:marBottom w:val="0"/>
      <w:divBdr>
        <w:top w:val="none" w:sz="0" w:space="0" w:color="auto"/>
        <w:left w:val="none" w:sz="0" w:space="0" w:color="auto"/>
        <w:bottom w:val="none" w:sz="0" w:space="0" w:color="auto"/>
        <w:right w:val="none" w:sz="0" w:space="0" w:color="auto"/>
      </w:divBdr>
    </w:div>
    <w:div w:id="603077763">
      <w:bodyDiv w:val="1"/>
      <w:marLeft w:val="0"/>
      <w:marRight w:val="0"/>
      <w:marTop w:val="0"/>
      <w:marBottom w:val="0"/>
      <w:divBdr>
        <w:top w:val="none" w:sz="0" w:space="0" w:color="auto"/>
        <w:left w:val="none" w:sz="0" w:space="0" w:color="auto"/>
        <w:bottom w:val="none" w:sz="0" w:space="0" w:color="auto"/>
        <w:right w:val="none" w:sz="0" w:space="0" w:color="auto"/>
      </w:divBdr>
    </w:div>
    <w:div w:id="605507668">
      <w:bodyDiv w:val="1"/>
      <w:marLeft w:val="0"/>
      <w:marRight w:val="0"/>
      <w:marTop w:val="0"/>
      <w:marBottom w:val="0"/>
      <w:divBdr>
        <w:top w:val="none" w:sz="0" w:space="0" w:color="auto"/>
        <w:left w:val="none" w:sz="0" w:space="0" w:color="auto"/>
        <w:bottom w:val="none" w:sz="0" w:space="0" w:color="auto"/>
        <w:right w:val="none" w:sz="0" w:space="0" w:color="auto"/>
      </w:divBdr>
    </w:div>
    <w:div w:id="613096198">
      <w:bodyDiv w:val="1"/>
      <w:marLeft w:val="0"/>
      <w:marRight w:val="0"/>
      <w:marTop w:val="0"/>
      <w:marBottom w:val="0"/>
      <w:divBdr>
        <w:top w:val="none" w:sz="0" w:space="0" w:color="auto"/>
        <w:left w:val="none" w:sz="0" w:space="0" w:color="auto"/>
        <w:bottom w:val="none" w:sz="0" w:space="0" w:color="auto"/>
        <w:right w:val="none" w:sz="0" w:space="0" w:color="auto"/>
      </w:divBdr>
    </w:div>
    <w:div w:id="631136951">
      <w:bodyDiv w:val="1"/>
      <w:marLeft w:val="0"/>
      <w:marRight w:val="0"/>
      <w:marTop w:val="0"/>
      <w:marBottom w:val="0"/>
      <w:divBdr>
        <w:top w:val="none" w:sz="0" w:space="0" w:color="auto"/>
        <w:left w:val="none" w:sz="0" w:space="0" w:color="auto"/>
        <w:bottom w:val="none" w:sz="0" w:space="0" w:color="auto"/>
        <w:right w:val="none" w:sz="0" w:space="0" w:color="auto"/>
      </w:divBdr>
    </w:div>
    <w:div w:id="645822113">
      <w:bodyDiv w:val="1"/>
      <w:marLeft w:val="0"/>
      <w:marRight w:val="0"/>
      <w:marTop w:val="0"/>
      <w:marBottom w:val="0"/>
      <w:divBdr>
        <w:top w:val="none" w:sz="0" w:space="0" w:color="auto"/>
        <w:left w:val="none" w:sz="0" w:space="0" w:color="auto"/>
        <w:bottom w:val="none" w:sz="0" w:space="0" w:color="auto"/>
        <w:right w:val="none" w:sz="0" w:space="0" w:color="auto"/>
      </w:divBdr>
    </w:div>
    <w:div w:id="650715626">
      <w:bodyDiv w:val="1"/>
      <w:marLeft w:val="0"/>
      <w:marRight w:val="0"/>
      <w:marTop w:val="0"/>
      <w:marBottom w:val="0"/>
      <w:divBdr>
        <w:top w:val="none" w:sz="0" w:space="0" w:color="auto"/>
        <w:left w:val="none" w:sz="0" w:space="0" w:color="auto"/>
        <w:bottom w:val="none" w:sz="0" w:space="0" w:color="auto"/>
        <w:right w:val="none" w:sz="0" w:space="0" w:color="auto"/>
      </w:divBdr>
    </w:div>
    <w:div w:id="657155394">
      <w:bodyDiv w:val="1"/>
      <w:marLeft w:val="0"/>
      <w:marRight w:val="0"/>
      <w:marTop w:val="0"/>
      <w:marBottom w:val="0"/>
      <w:divBdr>
        <w:top w:val="none" w:sz="0" w:space="0" w:color="auto"/>
        <w:left w:val="none" w:sz="0" w:space="0" w:color="auto"/>
        <w:bottom w:val="none" w:sz="0" w:space="0" w:color="auto"/>
        <w:right w:val="none" w:sz="0" w:space="0" w:color="auto"/>
      </w:divBdr>
    </w:div>
    <w:div w:id="666783348">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96009304">
      <w:bodyDiv w:val="1"/>
      <w:marLeft w:val="0"/>
      <w:marRight w:val="0"/>
      <w:marTop w:val="0"/>
      <w:marBottom w:val="0"/>
      <w:divBdr>
        <w:top w:val="none" w:sz="0" w:space="0" w:color="auto"/>
        <w:left w:val="none" w:sz="0" w:space="0" w:color="auto"/>
        <w:bottom w:val="none" w:sz="0" w:space="0" w:color="auto"/>
        <w:right w:val="none" w:sz="0" w:space="0" w:color="auto"/>
      </w:divBdr>
    </w:div>
    <w:div w:id="700132797">
      <w:bodyDiv w:val="1"/>
      <w:marLeft w:val="0"/>
      <w:marRight w:val="0"/>
      <w:marTop w:val="0"/>
      <w:marBottom w:val="0"/>
      <w:divBdr>
        <w:top w:val="none" w:sz="0" w:space="0" w:color="auto"/>
        <w:left w:val="none" w:sz="0" w:space="0" w:color="auto"/>
        <w:bottom w:val="none" w:sz="0" w:space="0" w:color="auto"/>
        <w:right w:val="none" w:sz="0" w:space="0" w:color="auto"/>
      </w:divBdr>
    </w:div>
    <w:div w:id="705643569">
      <w:bodyDiv w:val="1"/>
      <w:marLeft w:val="0"/>
      <w:marRight w:val="0"/>
      <w:marTop w:val="0"/>
      <w:marBottom w:val="0"/>
      <w:divBdr>
        <w:top w:val="none" w:sz="0" w:space="0" w:color="auto"/>
        <w:left w:val="none" w:sz="0" w:space="0" w:color="auto"/>
        <w:bottom w:val="none" w:sz="0" w:space="0" w:color="auto"/>
        <w:right w:val="none" w:sz="0" w:space="0" w:color="auto"/>
      </w:divBdr>
    </w:div>
    <w:div w:id="713384438">
      <w:bodyDiv w:val="1"/>
      <w:marLeft w:val="0"/>
      <w:marRight w:val="0"/>
      <w:marTop w:val="0"/>
      <w:marBottom w:val="0"/>
      <w:divBdr>
        <w:top w:val="none" w:sz="0" w:space="0" w:color="auto"/>
        <w:left w:val="none" w:sz="0" w:space="0" w:color="auto"/>
        <w:bottom w:val="none" w:sz="0" w:space="0" w:color="auto"/>
        <w:right w:val="none" w:sz="0" w:space="0" w:color="auto"/>
      </w:divBdr>
    </w:div>
    <w:div w:id="724790961">
      <w:bodyDiv w:val="1"/>
      <w:marLeft w:val="0"/>
      <w:marRight w:val="0"/>
      <w:marTop w:val="0"/>
      <w:marBottom w:val="0"/>
      <w:divBdr>
        <w:top w:val="none" w:sz="0" w:space="0" w:color="auto"/>
        <w:left w:val="none" w:sz="0" w:space="0" w:color="auto"/>
        <w:bottom w:val="none" w:sz="0" w:space="0" w:color="auto"/>
        <w:right w:val="none" w:sz="0" w:space="0" w:color="auto"/>
      </w:divBdr>
    </w:div>
    <w:div w:id="726877583">
      <w:bodyDiv w:val="1"/>
      <w:marLeft w:val="0"/>
      <w:marRight w:val="0"/>
      <w:marTop w:val="0"/>
      <w:marBottom w:val="0"/>
      <w:divBdr>
        <w:top w:val="none" w:sz="0" w:space="0" w:color="auto"/>
        <w:left w:val="none" w:sz="0" w:space="0" w:color="auto"/>
        <w:bottom w:val="none" w:sz="0" w:space="0" w:color="auto"/>
        <w:right w:val="none" w:sz="0" w:space="0" w:color="auto"/>
      </w:divBdr>
    </w:div>
    <w:div w:id="748382515">
      <w:bodyDiv w:val="1"/>
      <w:marLeft w:val="0"/>
      <w:marRight w:val="0"/>
      <w:marTop w:val="0"/>
      <w:marBottom w:val="0"/>
      <w:divBdr>
        <w:top w:val="none" w:sz="0" w:space="0" w:color="auto"/>
        <w:left w:val="none" w:sz="0" w:space="0" w:color="auto"/>
        <w:bottom w:val="none" w:sz="0" w:space="0" w:color="auto"/>
        <w:right w:val="none" w:sz="0" w:space="0" w:color="auto"/>
      </w:divBdr>
    </w:div>
    <w:div w:id="748382837">
      <w:bodyDiv w:val="1"/>
      <w:marLeft w:val="0"/>
      <w:marRight w:val="0"/>
      <w:marTop w:val="0"/>
      <w:marBottom w:val="0"/>
      <w:divBdr>
        <w:top w:val="none" w:sz="0" w:space="0" w:color="auto"/>
        <w:left w:val="none" w:sz="0" w:space="0" w:color="auto"/>
        <w:bottom w:val="none" w:sz="0" w:space="0" w:color="auto"/>
        <w:right w:val="none" w:sz="0" w:space="0" w:color="auto"/>
      </w:divBdr>
    </w:div>
    <w:div w:id="750732825">
      <w:bodyDiv w:val="1"/>
      <w:marLeft w:val="0"/>
      <w:marRight w:val="0"/>
      <w:marTop w:val="0"/>
      <w:marBottom w:val="0"/>
      <w:divBdr>
        <w:top w:val="none" w:sz="0" w:space="0" w:color="auto"/>
        <w:left w:val="none" w:sz="0" w:space="0" w:color="auto"/>
        <w:bottom w:val="none" w:sz="0" w:space="0" w:color="auto"/>
        <w:right w:val="none" w:sz="0" w:space="0" w:color="auto"/>
      </w:divBdr>
    </w:div>
    <w:div w:id="754403017">
      <w:bodyDiv w:val="1"/>
      <w:marLeft w:val="0"/>
      <w:marRight w:val="0"/>
      <w:marTop w:val="0"/>
      <w:marBottom w:val="0"/>
      <w:divBdr>
        <w:top w:val="none" w:sz="0" w:space="0" w:color="auto"/>
        <w:left w:val="none" w:sz="0" w:space="0" w:color="auto"/>
        <w:bottom w:val="none" w:sz="0" w:space="0" w:color="auto"/>
        <w:right w:val="none" w:sz="0" w:space="0" w:color="auto"/>
      </w:divBdr>
    </w:div>
    <w:div w:id="765657633">
      <w:bodyDiv w:val="1"/>
      <w:marLeft w:val="0"/>
      <w:marRight w:val="0"/>
      <w:marTop w:val="0"/>
      <w:marBottom w:val="0"/>
      <w:divBdr>
        <w:top w:val="none" w:sz="0" w:space="0" w:color="auto"/>
        <w:left w:val="none" w:sz="0" w:space="0" w:color="auto"/>
        <w:bottom w:val="none" w:sz="0" w:space="0" w:color="auto"/>
        <w:right w:val="none" w:sz="0" w:space="0" w:color="auto"/>
      </w:divBdr>
    </w:div>
    <w:div w:id="780224905">
      <w:bodyDiv w:val="1"/>
      <w:marLeft w:val="0"/>
      <w:marRight w:val="0"/>
      <w:marTop w:val="0"/>
      <w:marBottom w:val="0"/>
      <w:divBdr>
        <w:top w:val="none" w:sz="0" w:space="0" w:color="auto"/>
        <w:left w:val="none" w:sz="0" w:space="0" w:color="auto"/>
        <w:bottom w:val="none" w:sz="0" w:space="0" w:color="auto"/>
        <w:right w:val="none" w:sz="0" w:space="0" w:color="auto"/>
      </w:divBdr>
    </w:div>
    <w:div w:id="784083574">
      <w:bodyDiv w:val="1"/>
      <w:marLeft w:val="0"/>
      <w:marRight w:val="0"/>
      <w:marTop w:val="0"/>
      <w:marBottom w:val="0"/>
      <w:divBdr>
        <w:top w:val="none" w:sz="0" w:space="0" w:color="auto"/>
        <w:left w:val="none" w:sz="0" w:space="0" w:color="auto"/>
        <w:bottom w:val="none" w:sz="0" w:space="0" w:color="auto"/>
        <w:right w:val="none" w:sz="0" w:space="0" w:color="auto"/>
      </w:divBdr>
    </w:div>
    <w:div w:id="786316500">
      <w:bodyDiv w:val="1"/>
      <w:marLeft w:val="0"/>
      <w:marRight w:val="0"/>
      <w:marTop w:val="0"/>
      <w:marBottom w:val="0"/>
      <w:divBdr>
        <w:top w:val="none" w:sz="0" w:space="0" w:color="auto"/>
        <w:left w:val="none" w:sz="0" w:space="0" w:color="auto"/>
        <w:bottom w:val="none" w:sz="0" w:space="0" w:color="auto"/>
        <w:right w:val="none" w:sz="0" w:space="0" w:color="auto"/>
      </w:divBdr>
    </w:div>
    <w:div w:id="793332042">
      <w:bodyDiv w:val="1"/>
      <w:marLeft w:val="0"/>
      <w:marRight w:val="0"/>
      <w:marTop w:val="0"/>
      <w:marBottom w:val="0"/>
      <w:divBdr>
        <w:top w:val="none" w:sz="0" w:space="0" w:color="auto"/>
        <w:left w:val="none" w:sz="0" w:space="0" w:color="auto"/>
        <w:bottom w:val="none" w:sz="0" w:space="0" w:color="auto"/>
        <w:right w:val="none" w:sz="0" w:space="0" w:color="auto"/>
      </w:divBdr>
    </w:div>
    <w:div w:id="801923226">
      <w:bodyDiv w:val="1"/>
      <w:marLeft w:val="0"/>
      <w:marRight w:val="0"/>
      <w:marTop w:val="0"/>
      <w:marBottom w:val="0"/>
      <w:divBdr>
        <w:top w:val="none" w:sz="0" w:space="0" w:color="auto"/>
        <w:left w:val="none" w:sz="0" w:space="0" w:color="auto"/>
        <w:bottom w:val="none" w:sz="0" w:space="0" w:color="auto"/>
        <w:right w:val="none" w:sz="0" w:space="0" w:color="auto"/>
      </w:divBdr>
    </w:div>
    <w:div w:id="803549838">
      <w:bodyDiv w:val="1"/>
      <w:marLeft w:val="0"/>
      <w:marRight w:val="0"/>
      <w:marTop w:val="0"/>
      <w:marBottom w:val="0"/>
      <w:divBdr>
        <w:top w:val="none" w:sz="0" w:space="0" w:color="auto"/>
        <w:left w:val="none" w:sz="0" w:space="0" w:color="auto"/>
        <w:bottom w:val="none" w:sz="0" w:space="0" w:color="auto"/>
        <w:right w:val="none" w:sz="0" w:space="0" w:color="auto"/>
      </w:divBdr>
    </w:div>
    <w:div w:id="805195702">
      <w:bodyDiv w:val="1"/>
      <w:marLeft w:val="0"/>
      <w:marRight w:val="0"/>
      <w:marTop w:val="0"/>
      <w:marBottom w:val="0"/>
      <w:divBdr>
        <w:top w:val="none" w:sz="0" w:space="0" w:color="auto"/>
        <w:left w:val="none" w:sz="0" w:space="0" w:color="auto"/>
        <w:bottom w:val="none" w:sz="0" w:space="0" w:color="auto"/>
        <w:right w:val="none" w:sz="0" w:space="0" w:color="auto"/>
      </w:divBdr>
    </w:div>
    <w:div w:id="836460737">
      <w:bodyDiv w:val="1"/>
      <w:marLeft w:val="0"/>
      <w:marRight w:val="0"/>
      <w:marTop w:val="0"/>
      <w:marBottom w:val="0"/>
      <w:divBdr>
        <w:top w:val="none" w:sz="0" w:space="0" w:color="auto"/>
        <w:left w:val="none" w:sz="0" w:space="0" w:color="auto"/>
        <w:bottom w:val="none" w:sz="0" w:space="0" w:color="auto"/>
        <w:right w:val="none" w:sz="0" w:space="0" w:color="auto"/>
      </w:divBdr>
    </w:div>
    <w:div w:id="843665747">
      <w:bodyDiv w:val="1"/>
      <w:marLeft w:val="0"/>
      <w:marRight w:val="0"/>
      <w:marTop w:val="0"/>
      <w:marBottom w:val="0"/>
      <w:divBdr>
        <w:top w:val="none" w:sz="0" w:space="0" w:color="auto"/>
        <w:left w:val="none" w:sz="0" w:space="0" w:color="auto"/>
        <w:bottom w:val="none" w:sz="0" w:space="0" w:color="auto"/>
        <w:right w:val="none" w:sz="0" w:space="0" w:color="auto"/>
      </w:divBdr>
    </w:div>
    <w:div w:id="844711858">
      <w:bodyDiv w:val="1"/>
      <w:marLeft w:val="0"/>
      <w:marRight w:val="0"/>
      <w:marTop w:val="0"/>
      <w:marBottom w:val="0"/>
      <w:divBdr>
        <w:top w:val="none" w:sz="0" w:space="0" w:color="auto"/>
        <w:left w:val="none" w:sz="0" w:space="0" w:color="auto"/>
        <w:bottom w:val="none" w:sz="0" w:space="0" w:color="auto"/>
        <w:right w:val="none" w:sz="0" w:space="0" w:color="auto"/>
      </w:divBdr>
    </w:div>
    <w:div w:id="872308816">
      <w:bodyDiv w:val="1"/>
      <w:marLeft w:val="0"/>
      <w:marRight w:val="0"/>
      <w:marTop w:val="0"/>
      <w:marBottom w:val="0"/>
      <w:divBdr>
        <w:top w:val="none" w:sz="0" w:space="0" w:color="auto"/>
        <w:left w:val="none" w:sz="0" w:space="0" w:color="auto"/>
        <w:bottom w:val="none" w:sz="0" w:space="0" w:color="auto"/>
        <w:right w:val="none" w:sz="0" w:space="0" w:color="auto"/>
      </w:divBdr>
    </w:div>
    <w:div w:id="877856515">
      <w:bodyDiv w:val="1"/>
      <w:marLeft w:val="0"/>
      <w:marRight w:val="0"/>
      <w:marTop w:val="0"/>
      <w:marBottom w:val="0"/>
      <w:divBdr>
        <w:top w:val="none" w:sz="0" w:space="0" w:color="auto"/>
        <w:left w:val="none" w:sz="0" w:space="0" w:color="auto"/>
        <w:bottom w:val="none" w:sz="0" w:space="0" w:color="auto"/>
        <w:right w:val="none" w:sz="0" w:space="0" w:color="auto"/>
      </w:divBdr>
    </w:div>
    <w:div w:id="890535306">
      <w:bodyDiv w:val="1"/>
      <w:marLeft w:val="0"/>
      <w:marRight w:val="0"/>
      <w:marTop w:val="0"/>
      <w:marBottom w:val="0"/>
      <w:divBdr>
        <w:top w:val="none" w:sz="0" w:space="0" w:color="auto"/>
        <w:left w:val="none" w:sz="0" w:space="0" w:color="auto"/>
        <w:bottom w:val="none" w:sz="0" w:space="0" w:color="auto"/>
        <w:right w:val="none" w:sz="0" w:space="0" w:color="auto"/>
      </w:divBdr>
    </w:div>
    <w:div w:id="895160413">
      <w:bodyDiv w:val="1"/>
      <w:marLeft w:val="0"/>
      <w:marRight w:val="0"/>
      <w:marTop w:val="0"/>
      <w:marBottom w:val="0"/>
      <w:divBdr>
        <w:top w:val="none" w:sz="0" w:space="0" w:color="auto"/>
        <w:left w:val="none" w:sz="0" w:space="0" w:color="auto"/>
        <w:bottom w:val="none" w:sz="0" w:space="0" w:color="auto"/>
        <w:right w:val="none" w:sz="0" w:space="0" w:color="auto"/>
      </w:divBdr>
    </w:div>
    <w:div w:id="898399452">
      <w:bodyDiv w:val="1"/>
      <w:marLeft w:val="0"/>
      <w:marRight w:val="0"/>
      <w:marTop w:val="0"/>
      <w:marBottom w:val="0"/>
      <w:divBdr>
        <w:top w:val="none" w:sz="0" w:space="0" w:color="auto"/>
        <w:left w:val="none" w:sz="0" w:space="0" w:color="auto"/>
        <w:bottom w:val="none" w:sz="0" w:space="0" w:color="auto"/>
        <w:right w:val="none" w:sz="0" w:space="0" w:color="auto"/>
      </w:divBdr>
    </w:div>
    <w:div w:id="899293442">
      <w:bodyDiv w:val="1"/>
      <w:marLeft w:val="0"/>
      <w:marRight w:val="0"/>
      <w:marTop w:val="0"/>
      <w:marBottom w:val="0"/>
      <w:divBdr>
        <w:top w:val="none" w:sz="0" w:space="0" w:color="auto"/>
        <w:left w:val="none" w:sz="0" w:space="0" w:color="auto"/>
        <w:bottom w:val="none" w:sz="0" w:space="0" w:color="auto"/>
        <w:right w:val="none" w:sz="0" w:space="0" w:color="auto"/>
      </w:divBdr>
    </w:div>
    <w:div w:id="904797371">
      <w:bodyDiv w:val="1"/>
      <w:marLeft w:val="0"/>
      <w:marRight w:val="0"/>
      <w:marTop w:val="0"/>
      <w:marBottom w:val="0"/>
      <w:divBdr>
        <w:top w:val="none" w:sz="0" w:space="0" w:color="auto"/>
        <w:left w:val="none" w:sz="0" w:space="0" w:color="auto"/>
        <w:bottom w:val="none" w:sz="0" w:space="0" w:color="auto"/>
        <w:right w:val="none" w:sz="0" w:space="0" w:color="auto"/>
      </w:divBdr>
    </w:div>
    <w:div w:id="909998986">
      <w:bodyDiv w:val="1"/>
      <w:marLeft w:val="0"/>
      <w:marRight w:val="0"/>
      <w:marTop w:val="0"/>
      <w:marBottom w:val="0"/>
      <w:divBdr>
        <w:top w:val="none" w:sz="0" w:space="0" w:color="auto"/>
        <w:left w:val="none" w:sz="0" w:space="0" w:color="auto"/>
        <w:bottom w:val="none" w:sz="0" w:space="0" w:color="auto"/>
        <w:right w:val="none" w:sz="0" w:space="0" w:color="auto"/>
      </w:divBdr>
    </w:div>
    <w:div w:id="921834516">
      <w:bodyDiv w:val="1"/>
      <w:marLeft w:val="0"/>
      <w:marRight w:val="0"/>
      <w:marTop w:val="0"/>
      <w:marBottom w:val="0"/>
      <w:divBdr>
        <w:top w:val="none" w:sz="0" w:space="0" w:color="auto"/>
        <w:left w:val="none" w:sz="0" w:space="0" w:color="auto"/>
        <w:bottom w:val="none" w:sz="0" w:space="0" w:color="auto"/>
        <w:right w:val="none" w:sz="0" w:space="0" w:color="auto"/>
      </w:divBdr>
    </w:div>
    <w:div w:id="924919251">
      <w:bodyDiv w:val="1"/>
      <w:marLeft w:val="0"/>
      <w:marRight w:val="0"/>
      <w:marTop w:val="0"/>
      <w:marBottom w:val="0"/>
      <w:divBdr>
        <w:top w:val="none" w:sz="0" w:space="0" w:color="auto"/>
        <w:left w:val="none" w:sz="0" w:space="0" w:color="auto"/>
        <w:bottom w:val="none" w:sz="0" w:space="0" w:color="auto"/>
        <w:right w:val="none" w:sz="0" w:space="0" w:color="auto"/>
      </w:divBdr>
    </w:div>
    <w:div w:id="936910486">
      <w:bodyDiv w:val="1"/>
      <w:marLeft w:val="0"/>
      <w:marRight w:val="0"/>
      <w:marTop w:val="0"/>
      <w:marBottom w:val="0"/>
      <w:divBdr>
        <w:top w:val="none" w:sz="0" w:space="0" w:color="auto"/>
        <w:left w:val="none" w:sz="0" w:space="0" w:color="auto"/>
        <w:bottom w:val="none" w:sz="0" w:space="0" w:color="auto"/>
        <w:right w:val="none" w:sz="0" w:space="0" w:color="auto"/>
      </w:divBdr>
    </w:div>
    <w:div w:id="937761193">
      <w:bodyDiv w:val="1"/>
      <w:marLeft w:val="0"/>
      <w:marRight w:val="0"/>
      <w:marTop w:val="0"/>
      <w:marBottom w:val="0"/>
      <w:divBdr>
        <w:top w:val="none" w:sz="0" w:space="0" w:color="auto"/>
        <w:left w:val="none" w:sz="0" w:space="0" w:color="auto"/>
        <w:bottom w:val="none" w:sz="0" w:space="0" w:color="auto"/>
        <w:right w:val="none" w:sz="0" w:space="0" w:color="auto"/>
      </w:divBdr>
    </w:div>
    <w:div w:id="942493600">
      <w:bodyDiv w:val="1"/>
      <w:marLeft w:val="0"/>
      <w:marRight w:val="0"/>
      <w:marTop w:val="0"/>
      <w:marBottom w:val="0"/>
      <w:divBdr>
        <w:top w:val="none" w:sz="0" w:space="0" w:color="auto"/>
        <w:left w:val="none" w:sz="0" w:space="0" w:color="auto"/>
        <w:bottom w:val="none" w:sz="0" w:space="0" w:color="auto"/>
        <w:right w:val="none" w:sz="0" w:space="0" w:color="auto"/>
      </w:divBdr>
    </w:div>
    <w:div w:id="954755944">
      <w:bodyDiv w:val="1"/>
      <w:marLeft w:val="0"/>
      <w:marRight w:val="0"/>
      <w:marTop w:val="0"/>
      <w:marBottom w:val="0"/>
      <w:divBdr>
        <w:top w:val="none" w:sz="0" w:space="0" w:color="auto"/>
        <w:left w:val="none" w:sz="0" w:space="0" w:color="auto"/>
        <w:bottom w:val="none" w:sz="0" w:space="0" w:color="auto"/>
        <w:right w:val="none" w:sz="0" w:space="0" w:color="auto"/>
      </w:divBdr>
    </w:div>
    <w:div w:id="958267587">
      <w:bodyDiv w:val="1"/>
      <w:marLeft w:val="0"/>
      <w:marRight w:val="0"/>
      <w:marTop w:val="0"/>
      <w:marBottom w:val="0"/>
      <w:divBdr>
        <w:top w:val="none" w:sz="0" w:space="0" w:color="auto"/>
        <w:left w:val="none" w:sz="0" w:space="0" w:color="auto"/>
        <w:bottom w:val="none" w:sz="0" w:space="0" w:color="auto"/>
        <w:right w:val="none" w:sz="0" w:space="0" w:color="auto"/>
      </w:divBdr>
    </w:div>
    <w:div w:id="985279234">
      <w:bodyDiv w:val="1"/>
      <w:marLeft w:val="0"/>
      <w:marRight w:val="0"/>
      <w:marTop w:val="0"/>
      <w:marBottom w:val="0"/>
      <w:divBdr>
        <w:top w:val="none" w:sz="0" w:space="0" w:color="auto"/>
        <w:left w:val="none" w:sz="0" w:space="0" w:color="auto"/>
        <w:bottom w:val="none" w:sz="0" w:space="0" w:color="auto"/>
        <w:right w:val="none" w:sz="0" w:space="0" w:color="auto"/>
      </w:divBdr>
    </w:div>
    <w:div w:id="987436886">
      <w:bodyDiv w:val="1"/>
      <w:marLeft w:val="0"/>
      <w:marRight w:val="0"/>
      <w:marTop w:val="0"/>
      <w:marBottom w:val="0"/>
      <w:divBdr>
        <w:top w:val="none" w:sz="0" w:space="0" w:color="auto"/>
        <w:left w:val="none" w:sz="0" w:space="0" w:color="auto"/>
        <w:bottom w:val="none" w:sz="0" w:space="0" w:color="auto"/>
        <w:right w:val="none" w:sz="0" w:space="0" w:color="auto"/>
      </w:divBdr>
    </w:div>
    <w:div w:id="1013071004">
      <w:bodyDiv w:val="1"/>
      <w:marLeft w:val="0"/>
      <w:marRight w:val="0"/>
      <w:marTop w:val="0"/>
      <w:marBottom w:val="0"/>
      <w:divBdr>
        <w:top w:val="none" w:sz="0" w:space="0" w:color="auto"/>
        <w:left w:val="none" w:sz="0" w:space="0" w:color="auto"/>
        <w:bottom w:val="none" w:sz="0" w:space="0" w:color="auto"/>
        <w:right w:val="none" w:sz="0" w:space="0" w:color="auto"/>
      </w:divBdr>
    </w:div>
    <w:div w:id="1021664389">
      <w:bodyDiv w:val="1"/>
      <w:marLeft w:val="0"/>
      <w:marRight w:val="0"/>
      <w:marTop w:val="0"/>
      <w:marBottom w:val="0"/>
      <w:divBdr>
        <w:top w:val="none" w:sz="0" w:space="0" w:color="auto"/>
        <w:left w:val="none" w:sz="0" w:space="0" w:color="auto"/>
        <w:bottom w:val="none" w:sz="0" w:space="0" w:color="auto"/>
        <w:right w:val="none" w:sz="0" w:space="0" w:color="auto"/>
      </w:divBdr>
    </w:div>
    <w:div w:id="1025406386">
      <w:bodyDiv w:val="1"/>
      <w:marLeft w:val="0"/>
      <w:marRight w:val="0"/>
      <w:marTop w:val="0"/>
      <w:marBottom w:val="0"/>
      <w:divBdr>
        <w:top w:val="none" w:sz="0" w:space="0" w:color="auto"/>
        <w:left w:val="none" w:sz="0" w:space="0" w:color="auto"/>
        <w:bottom w:val="none" w:sz="0" w:space="0" w:color="auto"/>
        <w:right w:val="none" w:sz="0" w:space="0" w:color="auto"/>
      </w:divBdr>
    </w:div>
    <w:div w:id="1034185429">
      <w:bodyDiv w:val="1"/>
      <w:marLeft w:val="0"/>
      <w:marRight w:val="0"/>
      <w:marTop w:val="0"/>
      <w:marBottom w:val="0"/>
      <w:divBdr>
        <w:top w:val="none" w:sz="0" w:space="0" w:color="auto"/>
        <w:left w:val="none" w:sz="0" w:space="0" w:color="auto"/>
        <w:bottom w:val="none" w:sz="0" w:space="0" w:color="auto"/>
        <w:right w:val="none" w:sz="0" w:space="0" w:color="auto"/>
      </w:divBdr>
    </w:div>
    <w:div w:id="1049301830">
      <w:bodyDiv w:val="1"/>
      <w:marLeft w:val="0"/>
      <w:marRight w:val="0"/>
      <w:marTop w:val="0"/>
      <w:marBottom w:val="0"/>
      <w:divBdr>
        <w:top w:val="none" w:sz="0" w:space="0" w:color="auto"/>
        <w:left w:val="none" w:sz="0" w:space="0" w:color="auto"/>
        <w:bottom w:val="none" w:sz="0" w:space="0" w:color="auto"/>
        <w:right w:val="none" w:sz="0" w:space="0" w:color="auto"/>
      </w:divBdr>
    </w:div>
    <w:div w:id="1064718139">
      <w:bodyDiv w:val="1"/>
      <w:marLeft w:val="0"/>
      <w:marRight w:val="0"/>
      <w:marTop w:val="0"/>
      <w:marBottom w:val="0"/>
      <w:divBdr>
        <w:top w:val="none" w:sz="0" w:space="0" w:color="auto"/>
        <w:left w:val="none" w:sz="0" w:space="0" w:color="auto"/>
        <w:bottom w:val="none" w:sz="0" w:space="0" w:color="auto"/>
        <w:right w:val="none" w:sz="0" w:space="0" w:color="auto"/>
      </w:divBdr>
    </w:div>
    <w:div w:id="1068193162">
      <w:bodyDiv w:val="1"/>
      <w:marLeft w:val="0"/>
      <w:marRight w:val="0"/>
      <w:marTop w:val="0"/>
      <w:marBottom w:val="0"/>
      <w:divBdr>
        <w:top w:val="none" w:sz="0" w:space="0" w:color="auto"/>
        <w:left w:val="none" w:sz="0" w:space="0" w:color="auto"/>
        <w:bottom w:val="none" w:sz="0" w:space="0" w:color="auto"/>
        <w:right w:val="none" w:sz="0" w:space="0" w:color="auto"/>
      </w:divBdr>
    </w:div>
    <w:div w:id="1070999529">
      <w:bodyDiv w:val="1"/>
      <w:marLeft w:val="0"/>
      <w:marRight w:val="0"/>
      <w:marTop w:val="0"/>
      <w:marBottom w:val="0"/>
      <w:divBdr>
        <w:top w:val="none" w:sz="0" w:space="0" w:color="auto"/>
        <w:left w:val="none" w:sz="0" w:space="0" w:color="auto"/>
        <w:bottom w:val="none" w:sz="0" w:space="0" w:color="auto"/>
        <w:right w:val="none" w:sz="0" w:space="0" w:color="auto"/>
      </w:divBdr>
    </w:div>
    <w:div w:id="1071076353">
      <w:bodyDiv w:val="1"/>
      <w:marLeft w:val="0"/>
      <w:marRight w:val="0"/>
      <w:marTop w:val="0"/>
      <w:marBottom w:val="0"/>
      <w:divBdr>
        <w:top w:val="none" w:sz="0" w:space="0" w:color="auto"/>
        <w:left w:val="none" w:sz="0" w:space="0" w:color="auto"/>
        <w:bottom w:val="none" w:sz="0" w:space="0" w:color="auto"/>
        <w:right w:val="none" w:sz="0" w:space="0" w:color="auto"/>
      </w:divBdr>
    </w:div>
    <w:div w:id="1086730471">
      <w:bodyDiv w:val="1"/>
      <w:marLeft w:val="0"/>
      <w:marRight w:val="0"/>
      <w:marTop w:val="0"/>
      <w:marBottom w:val="0"/>
      <w:divBdr>
        <w:top w:val="none" w:sz="0" w:space="0" w:color="auto"/>
        <w:left w:val="none" w:sz="0" w:space="0" w:color="auto"/>
        <w:bottom w:val="none" w:sz="0" w:space="0" w:color="auto"/>
        <w:right w:val="none" w:sz="0" w:space="0" w:color="auto"/>
      </w:divBdr>
    </w:div>
    <w:div w:id="1094280779">
      <w:bodyDiv w:val="1"/>
      <w:marLeft w:val="0"/>
      <w:marRight w:val="0"/>
      <w:marTop w:val="0"/>
      <w:marBottom w:val="0"/>
      <w:divBdr>
        <w:top w:val="none" w:sz="0" w:space="0" w:color="auto"/>
        <w:left w:val="none" w:sz="0" w:space="0" w:color="auto"/>
        <w:bottom w:val="none" w:sz="0" w:space="0" w:color="auto"/>
        <w:right w:val="none" w:sz="0" w:space="0" w:color="auto"/>
      </w:divBdr>
    </w:div>
    <w:div w:id="1107501554">
      <w:bodyDiv w:val="1"/>
      <w:marLeft w:val="0"/>
      <w:marRight w:val="0"/>
      <w:marTop w:val="0"/>
      <w:marBottom w:val="0"/>
      <w:divBdr>
        <w:top w:val="none" w:sz="0" w:space="0" w:color="auto"/>
        <w:left w:val="none" w:sz="0" w:space="0" w:color="auto"/>
        <w:bottom w:val="none" w:sz="0" w:space="0" w:color="auto"/>
        <w:right w:val="none" w:sz="0" w:space="0" w:color="auto"/>
      </w:divBdr>
    </w:div>
    <w:div w:id="1120682866">
      <w:bodyDiv w:val="1"/>
      <w:marLeft w:val="0"/>
      <w:marRight w:val="0"/>
      <w:marTop w:val="0"/>
      <w:marBottom w:val="0"/>
      <w:divBdr>
        <w:top w:val="none" w:sz="0" w:space="0" w:color="auto"/>
        <w:left w:val="none" w:sz="0" w:space="0" w:color="auto"/>
        <w:bottom w:val="none" w:sz="0" w:space="0" w:color="auto"/>
        <w:right w:val="none" w:sz="0" w:space="0" w:color="auto"/>
      </w:divBdr>
    </w:div>
    <w:div w:id="1121341372">
      <w:bodyDiv w:val="1"/>
      <w:marLeft w:val="0"/>
      <w:marRight w:val="0"/>
      <w:marTop w:val="0"/>
      <w:marBottom w:val="0"/>
      <w:divBdr>
        <w:top w:val="none" w:sz="0" w:space="0" w:color="auto"/>
        <w:left w:val="none" w:sz="0" w:space="0" w:color="auto"/>
        <w:bottom w:val="none" w:sz="0" w:space="0" w:color="auto"/>
        <w:right w:val="none" w:sz="0" w:space="0" w:color="auto"/>
      </w:divBdr>
    </w:div>
    <w:div w:id="1133056354">
      <w:bodyDiv w:val="1"/>
      <w:marLeft w:val="0"/>
      <w:marRight w:val="0"/>
      <w:marTop w:val="0"/>
      <w:marBottom w:val="0"/>
      <w:divBdr>
        <w:top w:val="none" w:sz="0" w:space="0" w:color="auto"/>
        <w:left w:val="none" w:sz="0" w:space="0" w:color="auto"/>
        <w:bottom w:val="none" w:sz="0" w:space="0" w:color="auto"/>
        <w:right w:val="none" w:sz="0" w:space="0" w:color="auto"/>
      </w:divBdr>
    </w:div>
    <w:div w:id="1134182297">
      <w:bodyDiv w:val="1"/>
      <w:marLeft w:val="0"/>
      <w:marRight w:val="0"/>
      <w:marTop w:val="0"/>
      <w:marBottom w:val="0"/>
      <w:divBdr>
        <w:top w:val="none" w:sz="0" w:space="0" w:color="auto"/>
        <w:left w:val="none" w:sz="0" w:space="0" w:color="auto"/>
        <w:bottom w:val="none" w:sz="0" w:space="0" w:color="auto"/>
        <w:right w:val="none" w:sz="0" w:space="0" w:color="auto"/>
      </w:divBdr>
    </w:div>
    <w:div w:id="1136871828">
      <w:bodyDiv w:val="1"/>
      <w:marLeft w:val="0"/>
      <w:marRight w:val="0"/>
      <w:marTop w:val="0"/>
      <w:marBottom w:val="0"/>
      <w:divBdr>
        <w:top w:val="none" w:sz="0" w:space="0" w:color="auto"/>
        <w:left w:val="none" w:sz="0" w:space="0" w:color="auto"/>
        <w:bottom w:val="none" w:sz="0" w:space="0" w:color="auto"/>
        <w:right w:val="none" w:sz="0" w:space="0" w:color="auto"/>
      </w:divBdr>
    </w:div>
    <w:div w:id="1144273882">
      <w:bodyDiv w:val="1"/>
      <w:marLeft w:val="0"/>
      <w:marRight w:val="0"/>
      <w:marTop w:val="0"/>
      <w:marBottom w:val="0"/>
      <w:divBdr>
        <w:top w:val="none" w:sz="0" w:space="0" w:color="auto"/>
        <w:left w:val="none" w:sz="0" w:space="0" w:color="auto"/>
        <w:bottom w:val="none" w:sz="0" w:space="0" w:color="auto"/>
        <w:right w:val="none" w:sz="0" w:space="0" w:color="auto"/>
      </w:divBdr>
    </w:div>
    <w:div w:id="1149785378">
      <w:bodyDiv w:val="1"/>
      <w:marLeft w:val="0"/>
      <w:marRight w:val="0"/>
      <w:marTop w:val="0"/>
      <w:marBottom w:val="0"/>
      <w:divBdr>
        <w:top w:val="none" w:sz="0" w:space="0" w:color="auto"/>
        <w:left w:val="none" w:sz="0" w:space="0" w:color="auto"/>
        <w:bottom w:val="none" w:sz="0" w:space="0" w:color="auto"/>
        <w:right w:val="none" w:sz="0" w:space="0" w:color="auto"/>
      </w:divBdr>
    </w:div>
    <w:div w:id="1174954260">
      <w:bodyDiv w:val="1"/>
      <w:marLeft w:val="0"/>
      <w:marRight w:val="0"/>
      <w:marTop w:val="0"/>
      <w:marBottom w:val="0"/>
      <w:divBdr>
        <w:top w:val="none" w:sz="0" w:space="0" w:color="auto"/>
        <w:left w:val="none" w:sz="0" w:space="0" w:color="auto"/>
        <w:bottom w:val="none" w:sz="0" w:space="0" w:color="auto"/>
        <w:right w:val="none" w:sz="0" w:space="0" w:color="auto"/>
      </w:divBdr>
    </w:div>
    <w:div w:id="1175998529">
      <w:bodyDiv w:val="1"/>
      <w:marLeft w:val="0"/>
      <w:marRight w:val="0"/>
      <w:marTop w:val="0"/>
      <w:marBottom w:val="0"/>
      <w:divBdr>
        <w:top w:val="none" w:sz="0" w:space="0" w:color="auto"/>
        <w:left w:val="none" w:sz="0" w:space="0" w:color="auto"/>
        <w:bottom w:val="none" w:sz="0" w:space="0" w:color="auto"/>
        <w:right w:val="none" w:sz="0" w:space="0" w:color="auto"/>
      </w:divBdr>
    </w:div>
    <w:div w:id="1176920051">
      <w:bodyDiv w:val="1"/>
      <w:marLeft w:val="0"/>
      <w:marRight w:val="0"/>
      <w:marTop w:val="0"/>
      <w:marBottom w:val="0"/>
      <w:divBdr>
        <w:top w:val="none" w:sz="0" w:space="0" w:color="auto"/>
        <w:left w:val="none" w:sz="0" w:space="0" w:color="auto"/>
        <w:bottom w:val="none" w:sz="0" w:space="0" w:color="auto"/>
        <w:right w:val="none" w:sz="0" w:space="0" w:color="auto"/>
      </w:divBdr>
    </w:div>
    <w:div w:id="1178497810">
      <w:bodyDiv w:val="1"/>
      <w:marLeft w:val="0"/>
      <w:marRight w:val="0"/>
      <w:marTop w:val="0"/>
      <w:marBottom w:val="0"/>
      <w:divBdr>
        <w:top w:val="none" w:sz="0" w:space="0" w:color="auto"/>
        <w:left w:val="none" w:sz="0" w:space="0" w:color="auto"/>
        <w:bottom w:val="none" w:sz="0" w:space="0" w:color="auto"/>
        <w:right w:val="none" w:sz="0" w:space="0" w:color="auto"/>
      </w:divBdr>
    </w:div>
    <w:div w:id="1179781886">
      <w:bodyDiv w:val="1"/>
      <w:marLeft w:val="0"/>
      <w:marRight w:val="0"/>
      <w:marTop w:val="0"/>
      <w:marBottom w:val="0"/>
      <w:divBdr>
        <w:top w:val="none" w:sz="0" w:space="0" w:color="auto"/>
        <w:left w:val="none" w:sz="0" w:space="0" w:color="auto"/>
        <w:bottom w:val="none" w:sz="0" w:space="0" w:color="auto"/>
        <w:right w:val="none" w:sz="0" w:space="0" w:color="auto"/>
      </w:divBdr>
    </w:div>
    <w:div w:id="1181818497">
      <w:bodyDiv w:val="1"/>
      <w:marLeft w:val="0"/>
      <w:marRight w:val="0"/>
      <w:marTop w:val="0"/>
      <w:marBottom w:val="0"/>
      <w:divBdr>
        <w:top w:val="none" w:sz="0" w:space="0" w:color="auto"/>
        <w:left w:val="none" w:sz="0" w:space="0" w:color="auto"/>
        <w:bottom w:val="none" w:sz="0" w:space="0" w:color="auto"/>
        <w:right w:val="none" w:sz="0" w:space="0" w:color="auto"/>
      </w:divBdr>
    </w:div>
    <w:div w:id="1189375190">
      <w:bodyDiv w:val="1"/>
      <w:marLeft w:val="0"/>
      <w:marRight w:val="0"/>
      <w:marTop w:val="0"/>
      <w:marBottom w:val="0"/>
      <w:divBdr>
        <w:top w:val="none" w:sz="0" w:space="0" w:color="auto"/>
        <w:left w:val="none" w:sz="0" w:space="0" w:color="auto"/>
        <w:bottom w:val="none" w:sz="0" w:space="0" w:color="auto"/>
        <w:right w:val="none" w:sz="0" w:space="0" w:color="auto"/>
      </w:divBdr>
    </w:div>
    <w:div w:id="1206332324">
      <w:bodyDiv w:val="1"/>
      <w:marLeft w:val="0"/>
      <w:marRight w:val="0"/>
      <w:marTop w:val="0"/>
      <w:marBottom w:val="0"/>
      <w:divBdr>
        <w:top w:val="none" w:sz="0" w:space="0" w:color="auto"/>
        <w:left w:val="none" w:sz="0" w:space="0" w:color="auto"/>
        <w:bottom w:val="none" w:sz="0" w:space="0" w:color="auto"/>
        <w:right w:val="none" w:sz="0" w:space="0" w:color="auto"/>
      </w:divBdr>
    </w:div>
    <w:div w:id="1225290049">
      <w:bodyDiv w:val="1"/>
      <w:marLeft w:val="0"/>
      <w:marRight w:val="0"/>
      <w:marTop w:val="0"/>
      <w:marBottom w:val="0"/>
      <w:divBdr>
        <w:top w:val="none" w:sz="0" w:space="0" w:color="auto"/>
        <w:left w:val="none" w:sz="0" w:space="0" w:color="auto"/>
        <w:bottom w:val="none" w:sz="0" w:space="0" w:color="auto"/>
        <w:right w:val="none" w:sz="0" w:space="0" w:color="auto"/>
      </w:divBdr>
    </w:div>
    <w:div w:id="1228539593">
      <w:bodyDiv w:val="1"/>
      <w:marLeft w:val="0"/>
      <w:marRight w:val="0"/>
      <w:marTop w:val="0"/>
      <w:marBottom w:val="0"/>
      <w:divBdr>
        <w:top w:val="none" w:sz="0" w:space="0" w:color="auto"/>
        <w:left w:val="none" w:sz="0" w:space="0" w:color="auto"/>
        <w:bottom w:val="none" w:sz="0" w:space="0" w:color="auto"/>
        <w:right w:val="none" w:sz="0" w:space="0" w:color="auto"/>
      </w:divBdr>
    </w:div>
    <w:div w:id="1249001968">
      <w:bodyDiv w:val="1"/>
      <w:marLeft w:val="0"/>
      <w:marRight w:val="0"/>
      <w:marTop w:val="0"/>
      <w:marBottom w:val="0"/>
      <w:divBdr>
        <w:top w:val="none" w:sz="0" w:space="0" w:color="auto"/>
        <w:left w:val="none" w:sz="0" w:space="0" w:color="auto"/>
        <w:bottom w:val="none" w:sz="0" w:space="0" w:color="auto"/>
        <w:right w:val="none" w:sz="0" w:space="0" w:color="auto"/>
      </w:divBdr>
    </w:div>
    <w:div w:id="1257253178">
      <w:bodyDiv w:val="1"/>
      <w:marLeft w:val="0"/>
      <w:marRight w:val="0"/>
      <w:marTop w:val="0"/>
      <w:marBottom w:val="0"/>
      <w:divBdr>
        <w:top w:val="none" w:sz="0" w:space="0" w:color="auto"/>
        <w:left w:val="none" w:sz="0" w:space="0" w:color="auto"/>
        <w:bottom w:val="none" w:sz="0" w:space="0" w:color="auto"/>
        <w:right w:val="none" w:sz="0" w:space="0" w:color="auto"/>
      </w:divBdr>
    </w:div>
    <w:div w:id="1269237725">
      <w:bodyDiv w:val="1"/>
      <w:marLeft w:val="0"/>
      <w:marRight w:val="0"/>
      <w:marTop w:val="0"/>
      <w:marBottom w:val="0"/>
      <w:divBdr>
        <w:top w:val="none" w:sz="0" w:space="0" w:color="auto"/>
        <w:left w:val="none" w:sz="0" w:space="0" w:color="auto"/>
        <w:bottom w:val="none" w:sz="0" w:space="0" w:color="auto"/>
        <w:right w:val="none" w:sz="0" w:space="0" w:color="auto"/>
      </w:divBdr>
    </w:div>
    <w:div w:id="1295912301">
      <w:bodyDiv w:val="1"/>
      <w:marLeft w:val="0"/>
      <w:marRight w:val="0"/>
      <w:marTop w:val="0"/>
      <w:marBottom w:val="0"/>
      <w:divBdr>
        <w:top w:val="none" w:sz="0" w:space="0" w:color="auto"/>
        <w:left w:val="none" w:sz="0" w:space="0" w:color="auto"/>
        <w:bottom w:val="none" w:sz="0" w:space="0" w:color="auto"/>
        <w:right w:val="none" w:sz="0" w:space="0" w:color="auto"/>
      </w:divBdr>
    </w:div>
    <w:div w:id="1297292398">
      <w:bodyDiv w:val="1"/>
      <w:marLeft w:val="0"/>
      <w:marRight w:val="0"/>
      <w:marTop w:val="0"/>
      <w:marBottom w:val="0"/>
      <w:divBdr>
        <w:top w:val="none" w:sz="0" w:space="0" w:color="auto"/>
        <w:left w:val="none" w:sz="0" w:space="0" w:color="auto"/>
        <w:bottom w:val="none" w:sz="0" w:space="0" w:color="auto"/>
        <w:right w:val="none" w:sz="0" w:space="0" w:color="auto"/>
      </w:divBdr>
    </w:div>
    <w:div w:id="1309090634">
      <w:bodyDiv w:val="1"/>
      <w:marLeft w:val="0"/>
      <w:marRight w:val="0"/>
      <w:marTop w:val="0"/>
      <w:marBottom w:val="0"/>
      <w:divBdr>
        <w:top w:val="none" w:sz="0" w:space="0" w:color="auto"/>
        <w:left w:val="none" w:sz="0" w:space="0" w:color="auto"/>
        <w:bottom w:val="none" w:sz="0" w:space="0" w:color="auto"/>
        <w:right w:val="none" w:sz="0" w:space="0" w:color="auto"/>
      </w:divBdr>
    </w:div>
    <w:div w:id="1309818640">
      <w:bodyDiv w:val="1"/>
      <w:marLeft w:val="0"/>
      <w:marRight w:val="0"/>
      <w:marTop w:val="0"/>
      <w:marBottom w:val="0"/>
      <w:divBdr>
        <w:top w:val="none" w:sz="0" w:space="0" w:color="auto"/>
        <w:left w:val="none" w:sz="0" w:space="0" w:color="auto"/>
        <w:bottom w:val="none" w:sz="0" w:space="0" w:color="auto"/>
        <w:right w:val="none" w:sz="0" w:space="0" w:color="auto"/>
      </w:divBdr>
    </w:div>
    <w:div w:id="1313292362">
      <w:bodyDiv w:val="1"/>
      <w:marLeft w:val="0"/>
      <w:marRight w:val="0"/>
      <w:marTop w:val="0"/>
      <w:marBottom w:val="0"/>
      <w:divBdr>
        <w:top w:val="none" w:sz="0" w:space="0" w:color="auto"/>
        <w:left w:val="none" w:sz="0" w:space="0" w:color="auto"/>
        <w:bottom w:val="none" w:sz="0" w:space="0" w:color="auto"/>
        <w:right w:val="none" w:sz="0" w:space="0" w:color="auto"/>
      </w:divBdr>
    </w:div>
    <w:div w:id="1315255866">
      <w:bodyDiv w:val="1"/>
      <w:marLeft w:val="0"/>
      <w:marRight w:val="0"/>
      <w:marTop w:val="0"/>
      <w:marBottom w:val="0"/>
      <w:divBdr>
        <w:top w:val="none" w:sz="0" w:space="0" w:color="auto"/>
        <w:left w:val="none" w:sz="0" w:space="0" w:color="auto"/>
        <w:bottom w:val="none" w:sz="0" w:space="0" w:color="auto"/>
        <w:right w:val="none" w:sz="0" w:space="0" w:color="auto"/>
      </w:divBdr>
    </w:div>
    <w:div w:id="1318730719">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62977381">
      <w:bodyDiv w:val="1"/>
      <w:marLeft w:val="0"/>
      <w:marRight w:val="0"/>
      <w:marTop w:val="0"/>
      <w:marBottom w:val="0"/>
      <w:divBdr>
        <w:top w:val="none" w:sz="0" w:space="0" w:color="auto"/>
        <w:left w:val="none" w:sz="0" w:space="0" w:color="auto"/>
        <w:bottom w:val="none" w:sz="0" w:space="0" w:color="auto"/>
        <w:right w:val="none" w:sz="0" w:space="0" w:color="auto"/>
      </w:divBdr>
    </w:div>
    <w:div w:id="1368414315">
      <w:bodyDiv w:val="1"/>
      <w:marLeft w:val="0"/>
      <w:marRight w:val="0"/>
      <w:marTop w:val="0"/>
      <w:marBottom w:val="0"/>
      <w:divBdr>
        <w:top w:val="none" w:sz="0" w:space="0" w:color="auto"/>
        <w:left w:val="none" w:sz="0" w:space="0" w:color="auto"/>
        <w:bottom w:val="none" w:sz="0" w:space="0" w:color="auto"/>
        <w:right w:val="none" w:sz="0" w:space="0" w:color="auto"/>
      </w:divBdr>
    </w:div>
    <w:div w:id="1370104880">
      <w:bodyDiv w:val="1"/>
      <w:marLeft w:val="0"/>
      <w:marRight w:val="0"/>
      <w:marTop w:val="0"/>
      <w:marBottom w:val="0"/>
      <w:divBdr>
        <w:top w:val="none" w:sz="0" w:space="0" w:color="auto"/>
        <w:left w:val="none" w:sz="0" w:space="0" w:color="auto"/>
        <w:bottom w:val="none" w:sz="0" w:space="0" w:color="auto"/>
        <w:right w:val="none" w:sz="0" w:space="0" w:color="auto"/>
      </w:divBdr>
    </w:div>
    <w:div w:id="1381780697">
      <w:bodyDiv w:val="1"/>
      <w:marLeft w:val="0"/>
      <w:marRight w:val="0"/>
      <w:marTop w:val="0"/>
      <w:marBottom w:val="0"/>
      <w:divBdr>
        <w:top w:val="none" w:sz="0" w:space="0" w:color="auto"/>
        <w:left w:val="none" w:sz="0" w:space="0" w:color="auto"/>
        <w:bottom w:val="none" w:sz="0" w:space="0" w:color="auto"/>
        <w:right w:val="none" w:sz="0" w:space="0" w:color="auto"/>
      </w:divBdr>
    </w:div>
    <w:div w:id="1383938964">
      <w:bodyDiv w:val="1"/>
      <w:marLeft w:val="0"/>
      <w:marRight w:val="0"/>
      <w:marTop w:val="0"/>
      <w:marBottom w:val="0"/>
      <w:divBdr>
        <w:top w:val="none" w:sz="0" w:space="0" w:color="auto"/>
        <w:left w:val="none" w:sz="0" w:space="0" w:color="auto"/>
        <w:bottom w:val="none" w:sz="0" w:space="0" w:color="auto"/>
        <w:right w:val="none" w:sz="0" w:space="0" w:color="auto"/>
      </w:divBdr>
    </w:div>
    <w:div w:id="1386176599">
      <w:bodyDiv w:val="1"/>
      <w:marLeft w:val="0"/>
      <w:marRight w:val="0"/>
      <w:marTop w:val="0"/>
      <w:marBottom w:val="0"/>
      <w:divBdr>
        <w:top w:val="none" w:sz="0" w:space="0" w:color="auto"/>
        <w:left w:val="none" w:sz="0" w:space="0" w:color="auto"/>
        <w:bottom w:val="none" w:sz="0" w:space="0" w:color="auto"/>
        <w:right w:val="none" w:sz="0" w:space="0" w:color="auto"/>
      </w:divBdr>
    </w:div>
    <w:div w:id="1387332812">
      <w:bodyDiv w:val="1"/>
      <w:marLeft w:val="0"/>
      <w:marRight w:val="0"/>
      <w:marTop w:val="0"/>
      <w:marBottom w:val="0"/>
      <w:divBdr>
        <w:top w:val="none" w:sz="0" w:space="0" w:color="auto"/>
        <w:left w:val="none" w:sz="0" w:space="0" w:color="auto"/>
        <w:bottom w:val="none" w:sz="0" w:space="0" w:color="auto"/>
        <w:right w:val="none" w:sz="0" w:space="0" w:color="auto"/>
      </w:divBdr>
    </w:div>
    <w:div w:id="1394696484">
      <w:bodyDiv w:val="1"/>
      <w:marLeft w:val="0"/>
      <w:marRight w:val="0"/>
      <w:marTop w:val="0"/>
      <w:marBottom w:val="0"/>
      <w:divBdr>
        <w:top w:val="none" w:sz="0" w:space="0" w:color="auto"/>
        <w:left w:val="none" w:sz="0" w:space="0" w:color="auto"/>
        <w:bottom w:val="none" w:sz="0" w:space="0" w:color="auto"/>
        <w:right w:val="none" w:sz="0" w:space="0" w:color="auto"/>
      </w:divBdr>
    </w:div>
    <w:div w:id="1407534420">
      <w:bodyDiv w:val="1"/>
      <w:marLeft w:val="0"/>
      <w:marRight w:val="0"/>
      <w:marTop w:val="0"/>
      <w:marBottom w:val="0"/>
      <w:divBdr>
        <w:top w:val="none" w:sz="0" w:space="0" w:color="auto"/>
        <w:left w:val="none" w:sz="0" w:space="0" w:color="auto"/>
        <w:bottom w:val="none" w:sz="0" w:space="0" w:color="auto"/>
        <w:right w:val="none" w:sz="0" w:space="0" w:color="auto"/>
      </w:divBdr>
    </w:div>
    <w:div w:id="1410153645">
      <w:bodyDiv w:val="1"/>
      <w:marLeft w:val="0"/>
      <w:marRight w:val="0"/>
      <w:marTop w:val="0"/>
      <w:marBottom w:val="0"/>
      <w:divBdr>
        <w:top w:val="none" w:sz="0" w:space="0" w:color="auto"/>
        <w:left w:val="none" w:sz="0" w:space="0" w:color="auto"/>
        <w:bottom w:val="none" w:sz="0" w:space="0" w:color="auto"/>
        <w:right w:val="none" w:sz="0" w:space="0" w:color="auto"/>
      </w:divBdr>
    </w:div>
    <w:div w:id="142183580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23070286">
      <w:bodyDiv w:val="1"/>
      <w:marLeft w:val="0"/>
      <w:marRight w:val="0"/>
      <w:marTop w:val="0"/>
      <w:marBottom w:val="0"/>
      <w:divBdr>
        <w:top w:val="none" w:sz="0" w:space="0" w:color="auto"/>
        <w:left w:val="none" w:sz="0" w:space="0" w:color="auto"/>
        <w:bottom w:val="none" w:sz="0" w:space="0" w:color="auto"/>
        <w:right w:val="none" w:sz="0" w:space="0" w:color="auto"/>
      </w:divBdr>
    </w:div>
    <w:div w:id="1425421950">
      <w:bodyDiv w:val="1"/>
      <w:marLeft w:val="0"/>
      <w:marRight w:val="0"/>
      <w:marTop w:val="0"/>
      <w:marBottom w:val="0"/>
      <w:divBdr>
        <w:top w:val="none" w:sz="0" w:space="0" w:color="auto"/>
        <w:left w:val="none" w:sz="0" w:space="0" w:color="auto"/>
        <w:bottom w:val="none" w:sz="0" w:space="0" w:color="auto"/>
        <w:right w:val="none" w:sz="0" w:space="0" w:color="auto"/>
      </w:divBdr>
    </w:div>
    <w:div w:id="1426998805">
      <w:bodyDiv w:val="1"/>
      <w:marLeft w:val="0"/>
      <w:marRight w:val="0"/>
      <w:marTop w:val="0"/>
      <w:marBottom w:val="0"/>
      <w:divBdr>
        <w:top w:val="none" w:sz="0" w:space="0" w:color="auto"/>
        <w:left w:val="none" w:sz="0" w:space="0" w:color="auto"/>
        <w:bottom w:val="none" w:sz="0" w:space="0" w:color="auto"/>
        <w:right w:val="none" w:sz="0" w:space="0" w:color="auto"/>
      </w:divBdr>
    </w:div>
    <w:div w:id="1431970382">
      <w:bodyDiv w:val="1"/>
      <w:marLeft w:val="0"/>
      <w:marRight w:val="0"/>
      <w:marTop w:val="0"/>
      <w:marBottom w:val="0"/>
      <w:divBdr>
        <w:top w:val="none" w:sz="0" w:space="0" w:color="auto"/>
        <w:left w:val="none" w:sz="0" w:space="0" w:color="auto"/>
        <w:bottom w:val="none" w:sz="0" w:space="0" w:color="auto"/>
        <w:right w:val="none" w:sz="0" w:space="0" w:color="auto"/>
      </w:divBdr>
    </w:div>
    <w:div w:id="1441102020">
      <w:bodyDiv w:val="1"/>
      <w:marLeft w:val="0"/>
      <w:marRight w:val="0"/>
      <w:marTop w:val="0"/>
      <w:marBottom w:val="0"/>
      <w:divBdr>
        <w:top w:val="none" w:sz="0" w:space="0" w:color="auto"/>
        <w:left w:val="none" w:sz="0" w:space="0" w:color="auto"/>
        <w:bottom w:val="none" w:sz="0" w:space="0" w:color="auto"/>
        <w:right w:val="none" w:sz="0" w:space="0" w:color="auto"/>
      </w:divBdr>
    </w:div>
    <w:div w:id="1465731070">
      <w:bodyDiv w:val="1"/>
      <w:marLeft w:val="0"/>
      <w:marRight w:val="0"/>
      <w:marTop w:val="0"/>
      <w:marBottom w:val="0"/>
      <w:divBdr>
        <w:top w:val="none" w:sz="0" w:space="0" w:color="auto"/>
        <w:left w:val="none" w:sz="0" w:space="0" w:color="auto"/>
        <w:bottom w:val="none" w:sz="0" w:space="0" w:color="auto"/>
        <w:right w:val="none" w:sz="0" w:space="0" w:color="auto"/>
      </w:divBdr>
    </w:div>
    <w:div w:id="1470634755">
      <w:bodyDiv w:val="1"/>
      <w:marLeft w:val="0"/>
      <w:marRight w:val="0"/>
      <w:marTop w:val="0"/>
      <w:marBottom w:val="0"/>
      <w:divBdr>
        <w:top w:val="none" w:sz="0" w:space="0" w:color="auto"/>
        <w:left w:val="none" w:sz="0" w:space="0" w:color="auto"/>
        <w:bottom w:val="none" w:sz="0" w:space="0" w:color="auto"/>
        <w:right w:val="none" w:sz="0" w:space="0" w:color="auto"/>
      </w:divBdr>
    </w:div>
    <w:div w:id="1472097723">
      <w:bodyDiv w:val="1"/>
      <w:marLeft w:val="0"/>
      <w:marRight w:val="0"/>
      <w:marTop w:val="0"/>
      <w:marBottom w:val="0"/>
      <w:divBdr>
        <w:top w:val="none" w:sz="0" w:space="0" w:color="auto"/>
        <w:left w:val="none" w:sz="0" w:space="0" w:color="auto"/>
        <w:bottom w:val="none" w:sz="0" w:space="0" w:color="auto"/>
        <w:right w:val="none" w:sz="0" w:space="0" w:color="auto"/>
      </w:divBdr>
    </w:div>
    <w:div w:id="1480269593">
      <w:bodyDiv w:val="1"/>
      <w:marLeft w:val="0"/>
      <w:marRight w:val="0"/>
      <w:marTop w:val="0"/>
      <w:marBottom w:val="0"/>
      <w:divBdr>
        <w:top w:val="none" w:sz="0" w:space="0" w:color="auto"/>
        <w:left w:val="none" w:sz="0" w:space="0" w:color="auto"/>
        <w:bottom w:val="none" w:sz="0" w:space="0" w:color="auto"/>
        <w:right w:val="none" w:sz="0" w:space="0" w:color="auto"/>
      </w:divBdr>
    </w:div>
    <w:div w:id="1485731493">
      <w:bodyDiv w:val="1"/>
      <w:marLeft w:val="0"/>
      <w:marRight w:val="0"/>
      <w:marTop w:val="0"/>
      <w:marBottom w:val="0"/>
      <w:divBdr>
        <w:top w:val="none" w:sz="0" w:space="0" w:color="auto"/>
        <w:left w:val="none" w:sz="0" w:space="0" w:color="auto"/>
        <w:bottom w:val="none" w:sz="0" w:space="0" w:color="auto"/>
        <w:right w:val="none" w:sz="0" w:space="0" w:color="auto"/>
      </w:divBdr>
    </w:div>
    <w:div w:id="1490751719">
      <w:bodyDiv w:val="1"/>
      <w:marLeft w:val="0"/>
      <w:marRight w:val="0"/>
      <w:marTop w:val="0"/>
      <w:marBottom w:val="0"/>
      <w:divBdr>
        <w:top w:val="none" w:sz="0" w:space="0" w:color="auto"/>
        <w:left w:val="none" w:sz="0" w:space="0" w:color="auto"/>
        <w:bottom w:val="none" w:sz="0" w:space="0" w:color="auto"/>
        <w:right w:val="none" w:sz="0" w:space="0" w:color="auto"/>
      </w:divBdr>
    </w:div>
    <w:div w:id="1523930048">
      <w:bodyDiv w:val="1"/>
      <w:marLeft w:val="0"/>
      <w:marRight w:val="0"/>
      <w:marTop w:val="0"/>
      <w:marBottom w:val="0"/>
      <w:divBdr>
        <w:top w:val="none" w:sz="0" w:space="0" w:color="auto"/>
        <w:left w:val="none" w:sz="0" w:space="0" w:color="auto"/>
        <w:bottom w:val="none" w:sz="0" w:space="0" w:color="auto"/>
        <w:right w:val="none" w:sz="0" w:space="0" w:color="auto"/>
      </w:divBdr>
    </w:div>
    <w:div w:id="1529296807">
      <w:bodyDiv w:val="1"/>
      <w:marLeft w:val="0"/>
      <w:marRight w:val="0"/>
      <w:marTop w:val="0"/>
      <w:marBottom w:val="0"/>
      <w:divBdr>
        <w:top w:val="none" w:sz="0" w:space="0" w:color="auto"/>
        <w:left w:val="none" w:sz="0" w:space="0" w:color="auto"/>
        <w:bottom w:val="none" w:sz="0" w:space="0" w:color="auto"/>
        <w:right w:val="none" w:sz="0" w:space="0" w:color="auto"/>
      </w:divBdr>
    </w:div>
    <w:div w:id="1539077449">
      <w:bodyDiv w:val="1"/>
      <w:marLeft w:val="0"/>
      <w:marRight w:val="0"/>
      <w:marTop w:val="0"/>
      <w:marBottom w:val="0"/>
      <w:divBdr>
        <w:top w:val="none" w:sz="0" w:space="0" w:color="auto"/>
        <w:left w:val="none" w:sz="0" w:space="0" w:color="auto"/>
        <w:bottom w:val="none" w:sz="0" w:space="0" w:color="auto"/>
        <w:right w:val="none" w:sz="0" w:space="0" w:color="auto"/>
      </w:divBdr>
    </w:div>
    <w:div w:id="1544562604">
      <w:bodyDiv w:val="1"/>
      <w:marLeft w:val="0"/>
      <w:marRight w:val="0"/>
      <w:marTop w:val="0"/>
      <w:marBottom w:val="0"/>
      <w:divBdr>
        <w:top w:val="none" w:sz="0" w:space="0" w:color="auto"/>
        <w:left w:val="none" w:sz="0" w:space="0" w:color="auto"/>
        <w:bottom w:val="none" w:sz="0" w:space="0" w:color="auto"/>
        <w:right w:val="none" w:sz="0" w:space="0" w:color="auto"/>
      </w:divBdr>
    </w:div>
    <w:div w:id="1556429590">
      <w:bodyDiv w:val="1"/>
      <w:marLeft w:val="0"/>
      <w:marRight w:val="0"/>
      <w:marTop w:val="0"/>
      <w:marBottom w:val="0"/>
      <w:divBdr>
        <w:top w:val="none" w:sz="0" w:space="0" w:color="auto"/>
        <w:left w:val="none" w:sz="0" w:space="0" w:color="auto"/>
        <w:bottom w:val="none" w:sz="0" w:space="0" w:color="auto"/>
        <w:right w:val="none" w:sz="0" w:space="0" w:color="auto"/>
      </w:divBdr>
    </w:div>
    <w:div w:id="1562402550">
      <w:bodyDiv w:val="1"/>
      <w:marLeft w:val="0"/>
      <w:marRight w:val="0"/>
      <w:marTop w:val="0"/>
      <w:marBottom w:val="0"/>
      <w:divBdr>
        <w:top w:val="none" w:sz="0" w:space="0" w:color="auto"/>
        <w:left w:val="none" w:sz="0" w:space="0" w:color="auto"/>
        <w:bottom w:val="none" w:sz="0" w:space="0" w:color="auto"/>
        <w:right w:val="none" w:sz="0" w:space="0" w:color="auto"/>
      </w:divBdr>
    </w:div>
    <w:div w:id="1564295101">
      <w:bodyDiv w:val="1"/>
      <w:marLeft w:val="0"/>
      <w:marRight w:val="0"/>
      <w:marTop w:val="0"/>
      <w:marBottom w:val="0"/>
      <w:divBdr>
        <w:top w:val="none" w:sz="0" w:space="0" w:color="auto"/>
        <w:left w:val="none" w:sz="0" w:space="0" w:color="auto"/>
        <w:bottom w:val="none" w:sz="0" w:space="0" w:color="auto"/>
        <w:right w:val="none" w:sz="0" w:space="0" w:color="auto"/>
      </w:divBdr>
    </w:div>
    <w:div w:id="1575892149">
      <w:bodyDiv w:val="1"/>
      <w:marLeft w:val="0"/>
      <w:marRight w:val="0"/>
      <w:marTop w:val="0"/>
      <w:marBottom w:val="0"/>
      <w:divBdr>
        <w:top w:val="none" w:sz="0" w:space="0" w:color="auto"/>
        <w:left w:val="none" w:sz="0" w:space="0" w:color="auto"/>
        <w:bottom w:val="none" w:sz="0" w:space="0" w:color="auto"/>
        <w:right w:val="none" w:sz="0" w:space="0" w:color="auto"/>
      </w:divBdr>
    </w:div>
    <w:div w:id="1588490753">
      <w:bodyDiv w:val="1"/>
      <w:marLeft w:val="0"/>
      <w:marRight w:val="0"/>
      <w:marTop w:val="0"/>
      <w:marBottom w:val="0"/>
      <w:divBdr>
        <w:top w:val="none" w:sz="0" w:space="0" w:color="auto"/>
        <w:left w:val="none" w:sz="0" w:space="0" w:color="auto"/>
        <w:bottom w:val="none" w:sz="0" w:space="0" w:color="auto"/>
        <w:right w:val="none" w:sz="0" w:space="0" w:color="auto"/>
      </w:divBdr>
    </w:div>
    <w:div w:id="1604336024">
      <w:bodyDiv w:val="1"/>
      <w:marLeft w:val="0"/>
      <w:marRight w:val="0"/>
      <w:marTop w:val="0"/>
      <w:marBottom w:val="0"/>
      <w:divBdr>
        <w:top w:val="none" w:sz="0" w:space="0" w:color="auto"/>
        <w:left w:val="none" w:sz="0" w:space="0" w:color="auto"/>
        <w:bottom w:val="none" w:sz="0" w:space="0" w:color="auto"/>
        <w:right w:val="none" w:sz="0" w:space="0" w:color="auto"/>
      </w:divBdr>
    </w:div>
    <w:div w:id="1604848749">
      <w:bodyDiv w:val="1"/>
      <w:marLeft w:val="0"/>
      <w:marRight w:val="0"/>
      <w:marTop w:val="0"/>
      <w:marBottom w:val="0"/>
      <w:divBdr>
        <w:top w:val="none" w:sz="0" w:space="0" w:color="auto"/>
        <w:left w:val="none" w:sz="0" w:space="0" w:color="auto"/>
        <w:bottom w:val="none" w:sz="0" w:space="0" w:color="auto"/>
        <w:right w:val="none" w:sz="0" w:space="0" w:color="auto"/>
      </w:divBdr>
    </w:div>
    <w:div w:id="1610970406">
      <w:bodyDiv w:val="1"/>
      <w:marLeft w:val="0"/>
      <w:marRight w:val="0"/>
      <w:marTop w:val="0"/>
      <w:marBottom w:val="0"/>
      <w:divBdr>
        <w:top w:val="none" w:sz="0" w:space="0" w:color="auto"/>
        <w:left w:val="none" w:sz="0" w:space="0" w:color="auto"/>
        <w:bottom w:val="none" w:sz="0" w:space="0" w:color="auto"/>
        <w:right w:val="none" w:sz="0" w:space="0" w:color="auto"/>
      </w:divBdr>
    </w:div>
    <w:div w:id="1611283398">
      <w:bodyDiv w:val="1"/>
      <w:marLeft w:val="0"/>
      <w:marRight w:val="0"/>
      <w:marTop w:val="0"/>
      <w:marBottom w:val="0"/>
      <w:divBdr>
        <w:top w:val="none" w:sz="0" w:space="0" w:color="auto"/>
        <w:left w:val="none" w:sz="0" w:space="0" w:color="auto"/>
        <w:bottom w:val="none" w:sz="0" w:space="0" w:color="auto"/>
        <w:right w:val="none" w:sz="0" w:space="0" w:color="auto"/>
      </w:divBdr>
    </w:div>
    <w:div w:id="1615359203">
      <w:bodyDiv w:val="1"/>
      <w:marLeft w:val="0"/>
      <w:marRight w:val="0"/>
      <w:marTop w:val="0"/>
      <w:marBottom w:val="0"/>
      <w:divBdr>
        <w:top w:val="none" w:sz="0" w:space="0" w:color="auto"/>
        <w:left w:val="none" w:sz="0" w:space="0" w:color="auto"/>
        <w:bottom w:val="none" w:sz="0" w:space="0" w:color="auto"/>
        <w:right w:val="none" w:sz="0" w:space="0" w:color="auto"/>
      </w:divBdr>
    </w:div>
    <w:div w:id="1622611769">
      <w:bodyDiv w:val="1"/>
      <w:marLeft w:val="0"/>
      <w:marRight w:val="0"/>
      <w:marTop w:val="0"/>
      <w:marBottom w:val="0"/>
      <w:divBdr>
        <w:top w:val="none" w:sz="0" w:space="0" w:color="auto"/>
        <w:left w:val="none" w:sz="0" w:space="0" w:color="auto"/>
        <w:bottom w:val="none" w:sz="0" w:space="0" w:color="auto"/>
        <w:right w:val="none" w:sz="0" w:space="0" w:color="auto"/>
      </w:divBdr>
    </w:div>
    <w:div w:id="1625698303">
      <w:bodyDiv w:val="1"/>
      <w:marLeft w:val="0"/>
      <w:marRight w:val="0"/>
      <w:marTop w:val="0"/>
      <w:marBottom w:val="0"/>
      <w:divBdr>
        <w:top w:val="none" w:sz="0" w:space="0" w:color="auto"/>
        <w:left w:val="none" w:sz="0" w:space="0" w:color="auto"/>
        <w:bottom w:val="none" w:sz="0" w:space="0" w:color="auto"/>
        <w:right w:val="none" w:sz="0" w:space="0" w:color="auto"/>
      </w:divBdr>
    </w:div>
    <w:div w:id="1637949328">
      <w:bodyDiv w:val="1"/>
      <w:marLeft w:val="0"/>
      <w:marRight w:val="0"/>
      <w:marTop w:val="0"/>
      <w:marBottom w:val="0"/>
      <w:divBdr>
        <w:top w:val="none" w:sz="0" w:space="0" w:color="auto"/>
        <w:left w:val="none" w:sz="0" w:space="0" w:color="auto"/>
        <w:bottom w:val="none" w:sz="0" w:space="0" w:color="auto"/>
        <w:right w:val="none" w:sz="0" w:space="0" w:color="auto"/>
      </w:divBdr>
    </w:div>
    <w:div w:id="1646157868">
      <w:bodyDiv w:val="1"/>
      <w:marLeft w:val="0"/>
      <w:marRight w:val="0"/>
      <w:marTop w:val="0"/>
      <w:marBottom w:val="0"/>
      <w:divBdr>
        <w:top w:val="none" w:sz="0" w:space="0" w:color="auto"/>
        <w:left w:val="none" w:sz="0" w:space="0" w:color="auto"/>
        <w:bottom w:val="none" w:sz="0" w:space="0" w:color="auto"/>
        <w:right w:val="none" w:sz="0" w:space="0" w:color="auto"/>
      </w:divBdr>
    </w:div>
    <w:div w:id="1661232771">
      <w:bodyDiv w:val="1"/>
      <w:marLeft w:val="0"/>
      <w:marRight w:val="0"/>
      <w:marTop w:val="0"/>
      <w:marBottom w:val="0"/>
      <w:divBdr>
        <w:top w:val="none" w:sz="0" w:space="0" w:color="auto"/>
        <w:left w:val="none" w:sz="0" w:space="0" w:color="auto"/>
        <w:bottom w:val="none" w:sz="0" w:space="0" w:color="auto"/>
        <w:right w:val="none" w:sz="0" w:space="0" w:color="auto"/>
      </w:divBdr>
    </w:div>
    <w:div w:id="1661420541">
      <w:bodyDiv w:val="1"/>
      <w:marLeft w:val="0"/>
      <w:marRight w:val="0"/>
      <w:marTop w:val="0"/>
      <w:marBottom w:val="0"/>
      <w:divBdr>
        <w:top w:val="none" w:sz="0" w:space="0" w:color="auto"/>
        <w:left w:val="none" w:sz="0" w:space="0" w:color="auto"/>
        <w:bottom w:val="none" w:sz="0" w:space="0" w:color="auto"/>
        <w:right w:val="none" w:sz="0" w:space="0" w:color="auto"/>
      </w:divBdr>
    </w:div>
    <w:div w:id="1678187223">
      <w:bodyDiv w:val="1"/>
      <w:marLeft w:val="0"/>
      <w:marRight w:val="0"/>
      <w:marTop w:val="0"/>
      <w:marBottom w:val="0"/>
      <w:divBdr>
        <w:top w:val="none" w:sz="0" w:space="0" w:color="auto"/>
        <w:left w:val="none" w:sz="0" w:space="0" w:color="auto"/>
        <w:bottom w:val="none" w:sz="0" w:space="0" w:color="auto"/>
        <w:right w:val="none" w:sz="0" w:space="0" w:color="auto"/>
      </w:divBdr>
    </w:div>
    <w:div w:id="1683583950">
      <w:bodyDiv w:val="1"/>
      <w:marLeft w:val="0"/>
      <w:marRight w:val="0"/>
      <w:marTop w:val="0"/>
      <w:marBottom w:val="0"/>
      <w:divBdr>
        <w:top w:val="none" w:sz="0" w:space="0" w:color="auto"/>
        <w:left w:val="none" w:sz="0" w:space="0" w:color="auto"/>
        <w:bottom w:val="none" w:sz="0" w:space="0" w:color="auto"/>
        <w:right w:val="none" w:sz="0" w:space="0" w:color="auto"/>
      </w:divBdr>
    </w:div>
    <w:div w:id="1694309402">
      <w:bodyDiv w:val="1"/>
      <w:marLeft w:val="0"/>
      <w:marRight w:val="0"/>
      <w:marTop w:val="0"/>
      <w:marBottom w:val="0"/>
      <w:divBdr>
        <w:top w:val="none" w:sz="0" w:space="0" w:color="auto"/>
        <w:left w:val="none" w:sz="0" w:space="0" w:color="auto"/>
        <w:bottom w:val="none" w:sz="0" w:space="0" w:color="auto"/>
        <w:right w:val="none" w:sz="0" w:space="0" w:color="auto"/>
      </w:divBdr>
    </w:div>
    <w:div w:id="1696229436">
      <w:bodyDiv w:val="1"/>
      <w:marLeft w:val="0"/>
      <w:marRight w:val="0"/>
      <w:marTop w:val="0"/>
      <w:marBottom w:val="0"/>
      <w:divBdr>
        <w:top w:val="none" w:sz="0" w:space="0" w:color="auto"/>
        <w:left w:val="none" w:sz="0" w:space="0" w:color="auto"/>
        <w:bottom w:val="none" w:sz="0" w:space="0" w:color="auto"/>
        <w:right w:val="none" w:sz="0" w:space="0" w:color="auto"/>
      </w:divBdr>
    </w:div>
    <w:div w:id="1722249637">
      <w:bodyDiv w:val="1"/>
      <w:marLeft w:val="0"/>
      <w:marRight w:val="0"/>
      <w:marTop w:val="0"/>
      <w:marBottom w:val="0"/>
      <w:divBdr>
        <w:top w:val="none" w:sz="0" w:space="0" w:color="auto"/>
        <w:left w:val="none" w:sz="0" w:space="0" w:color="auto"/>
        <w:bottom w:val="none" w:sz="0" w:space="0" w:color="auto"/>
        <w:right w:val="none" w:sz="0" w:space="0" w:color="auto"/>
      </w:divBdr>
    </w:div>
    <w:div w:id="1727757201">
      <w:bodyDiv w:val="1"/>
      <w:marLeft w:val="0"/>
      <w:marRight w:val="0"/>
      <w:marTop w:val="0"/>
      <w:marBottom w:val="0"/>
      <w:divBdr>
        <w:top w:val="none" w:sz="0" w:space="0" w:color="auto"/>
        <w:left w:val="none" w:sz="0" w:space="0" w:color="auto"/>
        <w:bottom w:val="none" w:sz="0" w:space="0" w:color="auto"/>
        <w:right w:val="none" w:sz="0" w:space="0" w:color="auto"/>
      </w:divBdr>
    </w:div>
    <w:div w:id="1739285569">
      <w:bodyDiv w:val="1"/>
      <w:marLeft w:val="0"/>
      <w:marRight w:val="0"/>
      <w:marTop w:val="0"/>
      <w:marBottom w:val="0"/>
      <w:divBdr>
        <w:top w:val="none" w:sz="0" w:space="0" w:color="auto"/>
        <w:left w:val="none" w:sz="0" w:space="0" w:color="auto"/>
        <w:bottom w:val="none" w:sz="0" w:space="0" w:color="auto"/>
        <w:right w:val="none" w:sz="0" w:space="0" w:color="auto"/>
      </w:divBdr>
    </w:div>
    <w:div w:id="1743134257">
      <w:bodyDiv w:val="1"/>
      <w:marLeft w:val="0"/>
      <w:marRight w:val="0"/>
      <w:marTop w:val="0"/>
      <w:marBottom w:val="0"/>
      <w:divBdr>
        <w:top w:val="none" w:sz="0" w:space="0" w:color="auto"/>
        <w:left w:val="none" w:sz="0" w:space="0" w:color="auto"/>
        <w:bottom w:val="none" w:sz="0" w:space="0" w:color="auto"/>
        <w:right w:val="none" w:sz="0" w:space="0" w:color="auto"/>
      </w:divBdr>
    </w:div>
    <w:div w:id="1751534629">
      <w:bodyDiv w:val="1"/>
      <w:marLeft w:val="0"/>
      <w:marRight w:val="0"/>
      <w:marTop w:val="0"/>
      <w:marBottom w:val="0"/>
      <w:divBdr>
        <w:top w:val="none" w:sz="0" w:space="0" w:color="auto"/>
        <w:left w:val="none" w:sz="0" w:space="0" w:color="auto"/>
        <w:bottom w:val="none" w:sz="0" w:space="0" w:color="auto"/>
        <w:right w:val="none" w:sz="0" w:space="0" w:color="auto"/>
      </w:divBdr>
    </w:div>
    <w:div w:id="1801418826">
      <w:bodyDiv w:val="1"/>
      <w:marLeft w:val="0"/>
      <w:marRight w:val="0"/>
      <w:marTop w:val="0"/>
      <w:marBottom w:val="0"/>
      <w:divBdr>
        <w:top w:val="none" w:sz="0" w:space="0" w:color="auto"/>
        <w:left w:val="none" w:sz="0" w:space="0" w:color="auto"/>
        <w:bottom w:val="none" w:sz="0" w:space="0" w:color="auto"/>
        <w:right w:val="none" w:sz="0" w:space="0" w:color="auto"/>
      </w:divBdr>
    </w:div>
    <w:div w:id="1823307216">
      <w:bodyDiv w:val="1"/>
      <w:marLeft w:val="0"/>
      <w:marRight w:val="0"/>
      <w:marTop w:val="0"/>
      <w:marBottom w:val="0"/>
      <w:divBdr>
        <w:top w:val="none" w:sz="0" w:space="0" w:color="auto"/>
        <w:left w:val="none" w:sz="0" w:space="0" w:color="auto"/>
        <w:bottom w:val="none" w:sz="0" w:space="0" w:color="auto"/>
        <w:right w:val="none" w:sz="0" w:space="0" w:color="auto"/>
      </w:divBdr>
    </w:div>
    <w:div w:id="1825706567">
      <w:bodyDiv w:val="1"/>
      <w:marLeft w:val="0"/>
      <w:marRight w:val="0"/>
      <w:marTop w:val="0"/>
      <w:marBottom w:val="0"/>
      <w:divBdr>
        <w:top w:val="none" w:sz="0" w:space="0" w:color="auto"/>
        <w:left w:val="none" w:sz="0" w:space="0" w:color="auto"/>
        <w:bottom w:val="none" w:sz="0" w:space="0" w:color="auto"/>
        <w:right w:val="none" w:sz="0" w:space="0" w:color="auto"/>
      </w:divBdr>
    </w:div>
    <w:div w:id="1825966470">
      <w:bodyDiv w:val="1"/>
      <w:marLeft w:val="0"/>
      <w:marRight w:val="0"/>
      <w:marTop w:val="0"/>
      <w:marBottom w:val="0"/>
      <w:divBdr>
        <w:top w:val="none" w:sz="0" w:space="0" w:color="auto"/>
        <w:left w:val="none" w:sz="0" w:space="0" w:color="auto"/>
        <w:bottom w:val="none" w:sz="0" w:space="0" w:color="auto"/>
        <w:right w:val="none" w:sz="0" w:space="0" w:color="auto"/>
      </w:divBdr>
    </w:div>
    <w:div w:id="1830750613">
      <w:bodyDiv w:val="1"/>
      <w:marLeft w:val="0"/>
      <w:marRight w:val="0"/>
      <w:marTop w:val="0"/>
      <w:marBottom w:val="0"/>
      <w:divBdr>
        <w:top w:val="none" w:sz="0" w:space="0" w:color="auto"/>
        <w:left w:val="none" w:sz="0" w:space="0" w:color="auto"/>
        <w:bottom w:val="none" w:sz="0" w:space="0" w:color="auto"/>
        <w:right w:val="none" w:sz="0" w:space="0" w:color="auto"/>
      </w:divBdr>
    </w:div>
    <w:div w:id="1840152253">
      <w:bodyDiv w:val="1"/>
      <w:marLeft w:val="0"/>
      <w:marRight w:val="0"/>
      <w:marTop w:val="0"/>
      <w:marBottom w:val="0"/>
      <w:divBdr>
        <w:top w:val="none" w:sz="0" w:space="0" w:color="auto"/>
        <w:left w:val="none" w:sz="0" w:space="0" w:color="auto"/>
        <w:bottom w:val="none" w:sz="0" w:space="0" w:color="auto"/>
        <w:right w:val="none" w:sz="0" w:space="0" w:color="auto"/>
      </w:divBdr>
    </w:div>
    <w:div w:id="1841852626">
      <w:bodyDiv w:val="1"/>
      <w:marLeft w:val="0"/>
      <w:marRight w:val="0"/>
      <w:marTop w:val="0"/>
      <w:marBottom w:val="0"/>
      <w:divBdr>
        <w:top w:val="none" w:sz="0" w:space="0" w:color="auto"/>
        <w:left w:val="none" w:sz="0" w:space="0" w:color="auto"/>
        <w:bottom w:val="none" w:sz="0" w:space="0" w:color="auto"/>
        <w:right w:val="none" w:sz="0" w:space="0" w:color="auto"/>
      </w:divBdr>
    </w:div>
    <w:div w:id="1852528771">
      <w:bodyDiv w:val="1"/>
      <w:marLeft w:val="0"/>
      <w:marRight w:val="0"/>
      <w:marTop w:val="0"/>
      <w:marBottom w:val="0"/>
      <w:divBdr>
        <w:top w:val="none" w:sz="0" w:space="0" w:color="auto"/>
        <w:left w:val="none" w:sz="0" w:space="0" w:color="auto"/>
        <w:bottom w:val="none" w:sz="0" w:space="0" w:color="auto"/>
        <w:right w:val="none" w:sz="0" w:space="0" w:color="auto"/>
      </w:divBdr>
    </w:div>
    <w:div w:id="1861355338">
      <w:bodyDiv w:val="1"/>
      <w:marLeft w:val="0"/>
      <w:marRight w:val="0"/>
      <w:marTop w:val="0"/>
      <w:marBottom w:val="0"/>
      <w:divBdr>
        <w:top w:val="none" w:sz="0" w:space="0" w:color="auto"/>
        <w:left w:val="none" w:sz="0" w:space="0" w:color="auto"/>
        <w:bottom w:val="none" w:sz="0" w:space="0" w:color="auto"/>
        <w:right w:val="none" w:sz="0" w:space="0" w:color="auto"/>
      </w:divBdr>
    </w:div>
    <w:div w:id="1874151599">
      <w:bodyDiv w:val="1"/>
      <w:marLeft w:val="0"/>
      <w:marRight w:val="0"/>
      <w:marTop w:val="0"/>
      <w:marBottom w:val="0"/>
      <w:divBdr>
        <w:top w:val="none" w:sz="0" w:space="0" w:color="auto"/>
        <w:left w:val="none" w:sz="0" w:space="0" w:color="auto"/>
        <w:bottom w:val="none" w:sz="0" w:space="0" w:color="auto"/>
        <w:right w:val="none" w:sz="0" w:space="0" w:color="auto"/>
      </w:divBdr>
    </w:div>
    <w:div w:id="1877810650">
      <w:bodyDiv w:val="1"/>
      <w:marLeft w:val="0"/>
      <w:marRight w:val="0"/>
      <w:marTop w:val="0"/>
      <w:marBottom w:val="0"/>
      <w:divBdr>
        <w:top w:val="none" w:sz="0" w:space="0" w:color="auto"/>
        <w:left w:val="none" w:sz="0" w:space="0" w:color="auto"/>
        <w:bottom w:val="none" w:sz="0" w:space="0" w:color="auto"/>
        <w:right w:val="none" w:sz="0" w:space="0" w:color="auto"/>
      </w:divBdr>
    </w:div>
    <w:div w:id="1879050526">
      <w:bodyDiv w:val="1"/>
      <w:marLeft w:val="0"/>
      <w:marRight w:val="0"/>
      <w:marTop w:val="0"/>
      <w:marBottom w:val="0"/>
      <w:divBdr>
        <w:top w:val="none" w:sz="0" w:space="0" w:color="auto"/>
        <w:left w:val="none" w:sz="0" w:space="0" w:color="auto"/>
        <w:bottom w:val="none" w:sz="0" w:space="0" w:color="auto"/>
        <w:right w:val="none" w:sz="0" w:space="0" w:color="auto"/>
      </w:divBdr>
    </w:div>
    <w:div w:id="1885561564">
      <w:bodyDiv w:val="1"/>
      <w:marLeft w:val="0"/>
      <w:marRight w:val="0"/>
      <w:marTop w:val="0"/>
      <w:marBottom w:val="0"/>
      <w:divBdr>
        <w:top w:val="none" w:sz="0" w:space="0" w:color="auto"/>
        <w:left w:val="none" w:sz="0" w:space="0" w:color="auto"/>
        <w:bottom w:val="none" w:sz="0" w:space="0" w:color="auto"/>
        <w:right w:val="none" w:sz="0" w:space="0" w:color="auto"/>
      </w:divBdr>
    </w:div>
    <w:div w:id="1886866723">
      <w:bodyDiv w:val="1"/>
      <w:marLeft w:val="0"/>
      <w:marRight w:val="0"/>
      <w:marTop w:val="0"/>
      <w:marBottom w:val="0"/>
      <w:divBdr>
        <w:top w:val="none" w:sz="0" w:space="0" w:color="auto"/>
        <w:left w:val="none" w:sz="0" w:space="0" w:color="auto"/>
        <w:bottom w:val="none" w:sz="0" w:space="0" w:color="auto"/>
        <w:right w:val="none" w:sz="0" w:space="0" w:color="auto"/>
      </w:divBdr>
    </w:div>
    <w:div w:id="1889338852">
      <w:bodyDiv w:val="1"/>
      <w:marLeft w:val="0"/>
      <w:marRight w:val="0"/>
      <w:marTop w:val="0"/>
      <w:marBottom w:val="0"/>
      <w:divBdr>
        <w:top w:val="none" w:sz="0" w:space="0" w:color="auto"/>
        <w:left w:val="none" w:sz="0" w:space="0" w:color="auto"/>
        <w:bottom w:val="none" w:sz="0" w:space="0" w:color="auto"/>
        <w:right w:val="none" w:sz="0" w:space="0" w:color="auto"/>
      </w:divBdr>
    </w:div>
    <w:div w:id="1890844872">
      <w:bodyDiv w:val="1"/>
      <w:marLeft w:val="0"/>
      <w:marRight w:val="0"/>
      <w:marTop w:val="0"/>
      <w:marBottom w:val="0"/>
      <w:divBdr>
        <w:top w:val="none" w:sz="0" w:space="0" w:color="auto"/>
        <w:left w:val="none" w:sz="0" w:space="0" w:color="auto"/>
        <w:bottom w:val="none" w:sz="0" w:space="0" w:color="auto"/>
        <w:right w:val="none" w:sz="0" w:space="0" w:color="auto"/>
      </w:divBdr>
    </w:div>
    <w:div w:id="1892111139">
      <w:bodyDiv w:val="1"/>
      <w:marLeft w:val="0"/>
      <w:marRight w:val="0"/>
      <w:marTop w:val="0"/>
      <w:marBottom w:val="0"/>
      <w:divBdr>
        <w:top w:val="none" w:sz="0" w:space="0" w:color="auto"/>
        <w:left w:val="none" w:sz="0" w:space="0" w:color="auto"/>
        <w:bottom w:val="none" w:sz="0" w:space="0" w:color="auto"/>
        <w:right w:val="none" w:sz="0" w:space="0" w:color="auto"/>
      </w:divBdr>
    </w:div>
    <w:div w:id="1904559278">
      <w:bodyDiv w:val="1"/>
      <w:marLeft w:val="0"/>
      <w:marRight w:val="0"/>
      <w:marTop w:val="0"/>
      <w:marBottom w:val="0"/>
      <w:divBdr>
        <w:top w:val="none" w:sz="0" w:space="0" w:color="auto"/>
        <w:left w:val="none" w:sz="0" w:space="0" w:color="auto"/>
        <w:bottom w:val="none" w:sz="0" w:space="0" w:color="auto"/>
        <w:right w:val="none" w:sz="0" w:space="0" w:color="auto"/>
      </w:divBdr>
    </w:div>
    <w:div w:id="1923221389">
      <w:bodyDiv w:val="1"/>
      <w:marLeft w:val="0"/>
      <w:marRight w:val="0"/>
      <w:marTop w:val="0"/>
      <w:marBottom w:val="0"/>
      <w:divBdr>
        <w:top w:val="none" w:sz="0" w:space="0" w:color="auto"/>
        <w:left w:val="none" w:sz="0" w:space="0" w:color="auto"/>
        <w:bottom w:val="none" w:sz="0" w:space="0" w:color="auto"/>
        <w:right w:val="none" w:sz="0" w:space="0" w:color="auto"/>
      </w:divBdr>
    </w:div>
    <w:div w:id="1927884947">
      <w:bodyDiv w:val="1"/>
      <w:marLeft w:val="0"/>
      <w:marRight w:val="0"/>
      <w:marTop w:val="0"/>
      <w:marBottom w:val="0"/>
      <w:divBdr>
        <w:top w:val="none" w:sz="0" w:space="0" w:color="auto"/>
        <w:left w:val="none" w:sz="0" w:space="0" w:color="auto"/>
        <w:bottom w:val="none" w:sz="0" w:space="0" w:color="auto"/>
        <w:right w:val="none" w:sz="0" w:space="0" w:color="auto"/>
      </w:divBdr>
    </w:div>
    <w:div w:id="1928688680">
      <w:bodyDiv w:val="1"/>
      <w:marLeft w:val="0"/>
      <w:marRight w:val="0"/>
      <w:marTop w:val="0"/>
      <w:marBottom w:val="0"/>
      <w:divBdr>
        <w:top w:val="none" w:sz="0" w:space="0" w:color="auto"/>
        <w:left w:val="none" w:sz="0" w:space="0" w:color="auto"/>
        <w:bottom w:val="none" w:sz="0" w:space="0" w:color="auto"/>
        <w:right w:val="none" w:sz="0" w:space="0" w:color="auto"/>
      </w:divBdr>
    </w:div>
    <w:div w:id="1944149279">
      <w:bodyDiv w:val="1"/>
      <w:marLeft w:val="0"/>
      <w:marRight w:val="0"/>
      <w:marTop w:val="0"/>
      <w:marBottom w:val="0"/>
      <w:divBdr>
        <w:top w:val="none" w:sz="0" w:space="0" w:color="auto"/>
        <w:left w:val="none" w:sz="0" w:space="0" w:color="auto"/>
        <w:bottom w:val="none" w:sz="0" w:space="0" w:color="auto"/>
        <w:right w:val="none" w:sz="0" w:space="0" w:color="auto"/>
      </w:divBdr>
    </w:div>
    <w:div w:id="1947233071">
      <w:bodyDiv w:val="1"/>
      <w:marLeft w:val="0"/>
      <w:marRight w:val="0"/>
      <w:marTop w:val="0"/>
      <w:marBottom w:val="0"/>
      <w:divBdr>
        <w:top w:val="none" w:sz="0" w:space="0" w:color="auto"/>
        <w:left w:val="none" w:sz="0" w:space="0" w:color="auto"/>
        <w:bottom w:val="none" w:sz="0" w:space="0" w:color="auto"/>
        <w:right w:val="none" w:sz="0" w:space="0" w:color="auto"/>
      </w:divBdr>
    </w:div>
    <w:div w:id="1953899687">
      <w:bodyDiv w:val="1"/>
      <w:marLeft w:val="0"/>
      <w:marRight w:val="0"/>
      <w:marTop w:val="0"/>
      <w:marBottom w:val="0"/>
      <w:divBdr>
        <w:top w:val="none" w:sz="0" w:space="0" w:color="auto"/>
        <w:left w:val="none" w:sz="0" w:space="0" w:color="auto"/>
        <w:bottom w:val="none" w:sz="0" w:space="0" w:color="auto"/>
        <w:right w:val="none" w:sz="0" w:space="0" w:color="auto"/>
      </w:divBdr>
    </w:div>
    <w:div w:id="1957783716">
      <w:bodyDiv w:val="1"/>
      <w:marLeft w:val="0"/>
      <w:marRight w:val="0"/>
      <w:marTop w:val="0"/>
      <w:marBottom w:val="0"/>
      <w:divBdr>
        <w:top w:val="none" w:sz="0" w:space="0" w:color="auto"/>
        <w:left w:val="none" w:sz="0" w:space="0" w:color="auto"/>
        <w:bottom w:val="none" w:sz="0" w:space="0" w:color="auto"/>
        <w:right w:val="none" w:sz="0" w:space="0" w:color="auto"/>
      </w:divBdr>
    </w:div>
    <w:div w:id="1963531456">
      <w:bodyDiv w:val="1"/>
      <w:marLeft w:val="0"/>
      <w:marRight w:val="0"/>
      <w:marTop w:val="0"/>
      <w:marBottom w:val="0"/>
      <w:divBdr>
        <w:top w:val="none" w:sz="0" w:space="0" w:color="auto"/>
        <w:left w:val="none" w:sz="0" w:space="0" w:color="auto"/>
        <w:bottom w:val="none" w:sz="0" w:space="0" w:color="auto"/>
        <w:right w:val="none" w:sz="0" w:space="0" w:color="auto"/>
      </w:divBdr>
    </w:div>
    <w:div w:id="1972250015">
      <w:bodyDiv w:val="1"/>
      <w:marLeft w:val="0"/>
      <w:marRight w:val="0"/>
      <w:marTop w:val="0"/>
      <w:marBottom w:val="0"/>
      <w:divBdr>
        <w:top w:val="none" w:sz="0" w:space="0" w:color="auto"/>
        <w:left w:val="none" w:sz="0" w:space="0" w:color="auto"/>
        <w:bottom w:val="none" w:sz="0" w:space="0" w:color="auto"/>
        <w:right w:val="none" w:sz="0" w:space="0" w:color="auto"/>
      </w:divBdr>
    </w:div>
    <w:div w:id="1985811171">
      <w:bodyDiv w:val="1"/>
      <w:marLeft w:val="0"/>
      <w:marRight w:val="0"/>
      <w:marTop w:val="0"/>
      <w:marBottom w:val="0"/>
      <w:divBdr>
        <w:top w:val="none" w:sz="0" w:space="0" w:color="auto"/>
        <w:left w:val="none" w:sz="0" w:space="0" w:color="auto"/>
        <w:bottom w:val="none" w:sz="0" w:space="0" w:color="auto"/>
        <w:right w:val="none" w:sz="0" w:space="0" w:color="auto"/>
      </w:divBdr>
    </w:div>
    <w:div w:id="1997297590">
      <w:bodyDiv w:val="1"/>
      <w:marLeft w:val="0"/>
      <w:marRight w:val="0"/>
      <w:marTop w:val="0"/>
      <w:marBottom w:val="0"/>
      <w:divBdr>
        <w:top w:val="none" w:sz="0" w:space="0" w:color="auto"/>
        <w:left w:val="none" w:sz="0" w:space="0" w:color="auto"/>
        <w:bottom w:val="none" w:sz="0" w:space="0" w:color="auto"/>
        <w:right w:val="none" w:sz="0" w:space="0" w:color="auto"/>
      </w:divBdr>
    </w:div>
    <w:div w:id="1999378333">
      <w:bodyDiv w:val="1"/>
      <w:marLeft w:val="0"/>
      <w:marRight w:val="0"/>
      <w:marTop w:val="0"/>
      <w:marBottom w:val="0"/>
      <w:divBdr>
        <w:top w:val="none" w:sz="0" w:space="0" w:color="auto"/>
        <w:left w:val="none" w:sz="0" w:space="0" w:color="auto"/>
        <w:bottom w:val="none" w:sz="0" w:space="0" w:color="auto"/>
        <w:right w:val="none" w:sz="0" w:space="0" w:color="auto"/>
      </w:divBdr>
    </w:div>
    <w:div w:id="2004236652">
      <w:bodyDiv w:val="1"/>
      <w:marLeft w:val="0"/>
      <w:marRight w:val="0"/>
      <w:marTop w:val="0"/>
      <w:marBottom w:val="0"/>
      <w:divBdr>
        <w:top w:val="none" w:sz="0" w:space="0" w:color="auto"/>
        <w:left w:val="none" w:sz="0" w:space="0" w:color="auto"/>
        <w:bottom w:val="none" w:sz="0" w:space="0" w:color="auto"/>
        <w:right w:val="none" w:sz="0" w:space="0" w:color="auto"/>
      </w:divBdr>
    </w:div>
    <w:div w:id="2005818918">
      <w:bodyDiv w:val="1"/>
      <w:marLeft w:val="0"/>
      <w:marRight w:val="0"/>
      <w:marTop w:val="0"/>
      <w:marBottom w:val="0"/>
      <w:divBdr>
        <w:top w:val="none" w:sz="0" w:space="0" w:color="auto"/>
        <w:left w:val="none" w:sz="0" w:space="0" w:color="auto"/>
        <w:bottom w:val="none" w:sz="0" w:space="0" w:color="auto"/>
        <w:right w:val="none" w:sz="0" w:space="0" w:color="auto"/>
      </w:divBdr>
    </w:div>
    <w:div w:id="2006474614">
      <w:bodyDiv w:val="1"/>
      <w:marLeft w:val="0"/>
      <w:marRight w:val="0"/>
      <w:marTop w:val="0"/>
      <w:marBottom w:val="0"/>
      <w:divBdr>
        <w:top w:val="none" w:sz="0" w:space="0" w:color="auto"/>
        <w:left w:val="none" w:sz="0" w:space="0" w:color="auto"/>
        <w:bottom w:val="none" w:sz="0" w:space="0" w:color="auto"/>
        <w:right w:val="none" w:sz="0" w:space="0" w:color="auto"/>
      </w:divBdr>
    </w:div>
    <w:div w:id="2028170158">
      <w:bodyDiv w:val="1"/>
      <w:marLeft w:val="0"/>
      <w:marRight w:val="0"/>
      <w:marTop w:val="0"/>
      <w:marBottom w:val="0"/>
      <w:divBdr>
        <w:top w:val="none" w:sz="0" w:space="0" w:color="auto"/>
        <w:left w:val="none" w:sz="0" w:space="0" w:color="auto"/>
        <w:bottom w:val="none" w:sz="0" w:space="0" w:color="auto"/>
        <w:right w:val="none" w:sz="0" w:space="0" w:color="auto"/>
      </w:divBdr>
    </w:div>
    <w:div w:id="2029021248">
      <w:bodyDiv w:val="1"/>
      <w:marLeft w:val="0"/>
      <w:marRight w:val="0"/>
      <w:marTop w:val="0"/>
      <w:marBottom w:val="0"/>
      <w:divBdr>
        <w:top w:val="none" w:sz="0" w:space="0" w:color="auto"/>
        <w:left w:val="none" w:sz="0" w:space="0" w:color="auto"/>
        <w:bottom w:val="none" w:sz="0" w:space="0" w:color="auto"/>
        <w:right w:val="none" w:sz="0" w:space="0" w:color="auto"/>
      </w:divBdr>
    </w:div>
    <w:div w:id="2031688037">
      <w:bodyDiv w:val="1"/>
      <w:marLeft w:val="0"/>
      <w:marRight w:val="0"/>
      <w:marTop w:val="0"/>
      <w:marBottom w:val="0"/>
      <w:divBdr>
        <w:top w:val="none" w:sz="0" w:space="0" w:color="auto"/>
        <w:left w:val="none" w:sz="0" w:space="0" w:color="auto"/>
        <w:bottom w:val="none" w:sz="0" w:space="0" w:color="auto"/>
        <w:right w:val="none" w:sz="0" w:space="0" w:color="auto"/>
      </w:divBdr>
    </w:div>
    <w:div w:id="2040664909">
      <w:bodyDiv w:val="1"/>
      <w:marLeft w:val="0"/>
      <w:marRight w:val="0"/>
      <w:marTop w:val="0"/>
      <w:marBottom w:val="0"/>
      <w:divBdr>
        <w:top w:val="none" w:sz="0" w:space="0" w:color="auto"/>
        <w:left w:val="none" w:sz="0" w:space="0" w:color="auto"/>
        <w:bottom w:val="none" w:sz="0" w:space="0" w:color="auto"/>
        <w:right w:val="none" w:sz="0" w:space="0" w:color="auto"/>
      </w:divBdr>
    </w:div>
    <w:div w:id="2047413234">
      <w:bodyDiv w:val="1"/>
      <w:marLeft w:val="0"/>
      <w:marRight w:val="0"/>
      <w:marTop w:val="0"/>
      <w:marBottom w:val="0"/>
      <w:divBdr>
        <w:top w:val="none" w:sz="0" w:space="0" w:color="auto"/>
        <w:left w:val="none" w:sz="0" w:space="0" w:color="auto"/>
        <w:bottom w:val="none" w:sz="0" w:space="0" w:color="auto"/>
        <w:right w:val="none" w:sz="0" w:space="0" w:color="auto"/>
      </w:divBdr>
    </w:div>
    <w:div w:id="2064521376">
      <w:bodyDiv w:val="1"/>
      <w:marLeft w:val="0"/>
      <w:marRight w:val="0"/>
      <w:marTop w:val="0"/>
      <w:marBottom w:val="0"/>
      <w:divBdr>
        <w:top w:val="none" w:sz="0" w:space="0" w:color="auto"/>
        <w:left w:val="none" w:sz="0" w:space="0" w:color="auto"/>
        <w:bottom w:val="none" w:sz="0" w:space="0" w:color="auto"/>
        <w:right w:val="none" w:sz="0" w:space="0" w:color="auto"/>
      </w:divBdr>
    </w:div>
    <w:div w:id="2074429232">
      <w:bodyDiv w:val="1"/>
      <w:marLeft w:val="0"/>
      <w:marRight w:val="0"/>
      <w:marTop w:val="0"/>
      <w:marBottom w:val="0"/>
      <w:divBdr>
        <w:top w:val="none" w:sz="0" w:space="0" w:color="auto"/>
        <w:left w:val="none" w:sz="0" w:space="0" w:color="auto"/>
        <w:bottom w:val="none" w:sz="0" w:space="0" w:color="auto"/>
        <w:right w:val="none" w:sz="0" w:space="0" w:color="auto"/>
      </w:divBdr>
    </w:div>
    <w:div w:id="2078015627">
      <w:bodyDiv w:val="1"/>
      <w:marLeft w:val="0"/>
      <w:marRight w:val="0"/>
      <w:marTop w:val="0"/>
      <w:marBottom w:val="0"/>
      <w:divBdr>
        <w:top w:val="none" w:sz="0" w:space="0" w:color="auto"/>
        <w:left w:val="none" w:sz="0" w:space="0" w:color="auto"/>
        <w:bottom w:val="none" w:sz="0" w:space="0" w:color="auto"/>
        <w:right w:val="none" w:sz="0" w:space="0" w:color="auto"/>
      </w:divBdr>
    </w:div>
    <w:div w:id="2079671105">
      <w:bodyDiv w:val="1"/>
      <w:marLeft w:val="0"/>
      <w:marRight w:val="0"/>
      <w:marTop w:val="0"/>
      <w:marBottom w:val="0"/>
      <w:divBdr>
        <w:top w:val="none" w:sz="0" w:space="0" w:color="auto"/>
        <w:left w:val="none" w:sz="0" w:space="0" w:color="auto"/>
        <w:bottom w:val="none" w:sz="0" w:space="0" w:color="auto"/>
        <w:right w:val="none" w:sz="0" w:space="0" w:color="auto"/>
      </w:divBdr>
    </w:div>
    <w:div w:id="2079741572">
      <w:bodyDiv w:val="1"/>
      <w:marLeft w:val="0"/>
      <w:marRight w:val="0"/>
      <w:marTop w:val="0"/>
      <w:marBottom w:val="0"/>
      <w:divBdr>
        <w:top w:val="none" w:sz="0" w:space="0" w:color="auto"/>
        <w:left w:val="none" w:sz="0" w:space="0" w:color="auto"/>
        <w:bottom w:val="none" w:sz="0" w:space="0" w:color="auto"/>
        <w:right w:val="none" w:sz="0" w:space="0" w:color="auto"/>
      </w:divBdr>
    </w:div>
    <w:div w:id="2085954531">
      <w:bodyDiv w:val="1"/>
      <w:marLeft w:val="0"/>
      <w:marRight w:val="0"/>
      <w:marTop w:val="0"/>
      <w:marBottom w:val="0"/>
      <w:divBdr>
        <w:top w:val="none" w:sz="0" w:space="0" w:color="auto"/>
        <w:left w:val="none" w:sz="0" w:space="0" w:color="auto"/>
        <w:bottom w:val="none" w:sz="0" w:space="0" w:color="auto"/>
        <w:right w:val="none" w:sz="0" w:space="0" w:color="auto"/>
      </w:divBdr>
    </w:div>
    <w:div w:id="2100519948">
      <w:bodyDiv w:val="1"/>
      <w:marLeft w:val="0"/>
      <w:marRight w:val="0"/>
      <w:marTop w:val="0"/>
      <w:marBottom w:val="0"/>
      <w:divBdr>
        <w:top w:val="none" w:sz="0" w:space="0" w:color="auto"/>
        <w:left w:val="none" w:sz="0" w:space="0" w:color="auto"/>
        <w:bottom w:val="none" w:sz="0" w:space="0" w:color="auto"/>
        <w:right w:val="none" w:sz="0" w:space="0" w:color="auto"/>
      </w:divBdr>
    </w:div>
    <w:div w:id="2108228381">
      <w:bodyDiv w:val="1"/>
      <w:marLeft w:val="0"/>
      <w:marRight w:val="0"/>
      <w:marTop w:val="0"/>
      <w:marBottom w:val="0"/>
      <w:divBdr>
        <w:top w:val="none" w:sz="0" w:space="0" w:color="auto"/>
        <w:left w:val="none" w:sz="0" w:space="0" w:color="auto"/>
        <w:bottom w:val="none" w:sz="0" w:space="0" w:color="auto"/>
        <w:right w:val="none" w:sz="0" w:space="0" w:color="auto"/>
      </w:divBdr>
    </w:div>
    <w:div w:id="2115250311">
      <w:bodyDiv w:val="1"/>
      <w:marLeft w:val="0"/>
      <w:marRight w:val="0"/>
      <w:marTop w:val="0"/>
      <w:marBottom w:val="0"/>
      <w:divBdr>
        <w:top w:val="none" w:sz="0" w:space="0" w:color="auto"/>
        <w:left w:val="none" w:sz="0" w:space="0" w:color="auto"/>
        <w:bottom w:val="none" w:sz="0" w:space="0" w:color="auto"/>
        <w:right w:val="none" w:sz="0" w:space="0" w:color="auto"/>
      </w:divBdr>
    </w:div>
    <w:div w:id="2128305054">
      <w:bodyDiv w:val="1"/>
      <w:marLeft w:val="0"/>
      <w:marRight w:val="0"/>
      <w:marTop w:val="0"/>
      <w:marBottom w:val="0"/>
      <w:divBdr>
        <w:top w:val="none" w:sz="0" w:space="0" w:color="auto"/>
        <w:left w:val="none" w:sz="0" w:space="0" w:color="auto"/>
        <w:bottom w:val="none" w:sz="0" w:space="0" w:color="auto"/>
        <w:right w:val="none" w:sz="0" w:space="0" w:color="auto"/>
      </w:divBdr>
    </w:div>
    <w:div w:id="21360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microsoft.com/office/2018/08/relationships/commentsExtensible" Target="commentsExtensible.xml"/><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footer" Target="footer3.xml"/><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5"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footer" Target="footer1.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fontTable" Target="fontTable.xml"/><Relationship Id="rId86"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8F11BDC41DB7D4F9F945297A936FBF3" ma:contentTypeVersion="1" ma:contentTypeDescription="Crie um novo documento." ma:contentTypeScope="" ma:versionID="077310c38954d617e053da517d454bf0">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AFBB8A-F451-4C5B-949E-CFF33549E907}">
  <ds:schemaRefs>
    <ds:schemaRef ds:uri="http://schemas.openxmlformats.org/officeDocument/2006/bibliography"/>
  </ds:schemaRefs>
</ds:datastoreItem>
</file>

<file path=customXml/itemProps2.xml><?xml version="1.0" encoding="utf-8"?>
<ds:datastoreItem xmlns:ds="http://schemas.openxmlformats.org/officeDocument/2006/customXml" ds:itemID="{1F51F7DE-74B4-4BD6-BE4E-5CFF50A918DF}"/>
</file>

<file path=customXml/itemProps3.xml><?xml version="1.0" encoding="utf-8"?>
<ds:datastoreItem xmlns:ds="http://schemas.openxmlformats.org/officeDocument/2006/customXml" ds:itemID="{2DB00CD1-0841-4AFB-95CA-9A3BDE945A9E}"/>
</file>

<file path=customXml/itemProps4.xml><?xml version="1.0" encoding="utf-8"?>
<ds:datastoreItem xmlns:ds="http://schemas.openxmlformats.org/officeDocument/2006/customXml" ds:itemID="{51A14AC8-5A70-4459-8040-0ECCC727DA88}"/>
</file>

<file path=docProps/app.xml><?xml version="1.0" encoding="utf-8"?>
<Properties xmlns="http://schemas.openxmlformats.org/officeDocument/2006/extended-properties" xmlns:vt="http://schemas.openxmlformats.org/officeDocument/2006/docPropsVTypes">
  <Template>Normal.dotm</Template>
  <TotalTime>205</TotalTime>
  <Pages>66</Pages>
  <Words>18393</Words>
  <Characters>100326</Characters>
  <Application>Microsoft Office Word</Application>
  <DocSecurity>0</DocSecurity>
  <Lines>836</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 DA ADMINISTRAÇÃO ÀS DEMONSTRAÇÕES CONTÁBEIS EM 31 DE DEZEMBRO DE 2010 E 2009</vt:lpstr>
      <vt:lpstr>NOTAS EXPLICATIVAS DA ADMINISTRAÇÃO ÀS DEMONSTRAÇÕES CONTÁBEIS EM 31 DE DEZEMBRO DE 2010 E 2009</vt:lpstr>
    </vt:vector>
  </TitlesOfParts>
  <Company>ETN</Company>
  <LinksUpToDate>false</LinksUpToDate>
  <CharactersWithSpaces>118483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DA ADMINISTRAÇÃO ÀS DEMONSTRAÇÕES CONTÁBEIS EM 31 DE DEZEMBRO DE 2010 E 2009</dc:title>
  <dc:subject/>
  <dc:creator>PricewaterhouseCoopers</dc:creator>
  <cp:keywords/>
  <dc:description/>
  <cp:lastModifiedBy>Beatriz Albino da Silva</cp:lastModifiedBy>
  <cp:revision>73</cp:revision>
  <cp:lastPrinted>2021-05-11T17:58:00Z</cp:lastPrinted>
  <dcterms:created xsi:type="dcterms:W3CDTF">2021-11-11T13:41:00Z</dcterms:created>
  <dcterms:modified xsi:type="dcterms:W3CDTF">2021-11-12T20:31:00Z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CxCLASSFICATION_LEVEL">
    <vt:lpwstr>3</vt:lpwstr>
  </property>
  <property fmtid="{D5CDD505-2E9C-101B-9397-08002B2CF9AE}" pid="3" name="SSDCxCLASSFICATION_USER">
    <vt:lpwstr>PWCGLB\iabreu004</vt:lpwstr>
  </property>
  <property fmtid="{D5CDD505-2E9C-101B-9397-08002B2CF9AE}" pid="4" name="SSDCxCLASSFICATION_DATE">
    <vt:lpwstr>30/07/2020 14:05:40</vt:lpwstr>
  </property>
  <property fmtid="{D5CDD505-2E9C-101B-9397-08002B2CF9AE}" pid="5" name="SSDCxCLASSFICATION_GUID">
    <vt:lpwstr>C3E1ABC2CDE5652F94452DF8862D8915</vt:lpwstr>
  </property>
  <property fmtid="{D5CDD505-2E9C-101B-9397-08002B2CF9AE}" pid="6" name="SSDCxCLASSFICATION_LANG">
    <vt:lpwstr>pt</vt:lpwstr>
  </property>
  <property fmtid="{D5CDD505-2E9C-101B-9397-08002B2CF9AE}" pid="7" name="DSLxDOC_SAVED">
    <vt:lpwstr>1</vt:lpwstr>
  </property>
  <property fmtid="{D5CDD505-2E9C-101B-9397-08002B2CF9AE}" pid="8" name="ContentTypeId">
    <vt:lpwstr>0x010100C8F11BDC41DB7D4F9F945297A936FBF3</vt:lpwstr>
  </property>
  <property fmtid="{D5CDD505-2E9C-101B-9397-08002B2CF9AE}" pid="9" name="Order">
    <vt:r8>47300</vt:r8>
  </property>
  <property fmtid="{D5CDD505-2E9C-101B-9397-08002B2CF9AE}" pid="10" name="Título">
    <vt:lpwstr>NOTAS EXPLICATIVAS DA ADMINISTRAÇÃO ÀS DEMONSTRAÇÕES CONTÁBEIS EM 31 DE DEZEMBRO DE 2010 E 2009</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