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6DAB" w14:textId="77777777" w:rsidR="004644A0" w:rsidRPr="00F45A1F" w:rsidRDefault="00796E77" w:rsidP="005144E2">
      <w:pPr>
        <w:widowControl/>
        <w:tabs>
          <w:tab w:val="left" w:pos="4111"/>
        </w:tabs>
        <w:jc w:val="center"/>
        <w:rPr>
          <w:rFonts w:ascii="Arial" w:hAnsi="Arial" w:cs="Arial"/>
          <w:b/>
          <w:sz w:val="28"/>
          <w:szCs w:val="28"/>
        </w:rPr>
      </w:pPr>
      <w:r w:rsidRPr="00F45A1F">
        <w:rPr>
          <w:rFonts w:ascii="Arial" w:hAnsi="Arial" w:cs="Arial"/>
          <w:b/>
          <w:sz w:val="28"/>
          <w:szCs w:val="28"/>
        </w:rPr>
        <w:t>NOTAS EXPLICATIVAS DA ADMINISTRAÇÃO ÀS DEMONSTRAÇÕES FINANCEIRAS</w:t>
      </w:r>
      <w:r w:rsidR="00BD56D9">
        <w:rPr>
          <w:rFonts w:ascii="Arial" w:hAnsi="Arial" w:cs="Arial"/>
          <w:b/>
          <w:sz w:val="28"/>
          <w:szCs w:val="28"/>
        </w:rPr>
        <w:t xml:space="preserve"> INTERMEDIÁRIAS</w:t>
      </w:r>
      <w:r w:rsidRPr="00F45A1F">
        <w:rPr>
          <w:rFonts w:ascii="Arial" w:hAnsi="Arial" w:cs="Arial"/>
          <w:b/>
          <w:sz w:val="28"/>
          <w:szCs w:val="28"/>
        </w:rPr>
        <w:t xml:space="preserve"> </w:t>
      </w:r>
      <w:r w:rsidR="00901037" w:rsidRPr="00F45A1F">
        <w:rPr>
          <w:rFonts w:ascii="Arial" w:hAnsi="Arial" w:cs="Arial"/>
          <w:b/>
          <w:sz w:val="28"/>
          <w:szCs w:val="28"/>
        </w:rPr>
        <w:t xml:space="preserve">EM </w:t>
      </w:r>
      <w:r w:rsidRPr="00F45A1F">
        <w:rPr>
          <w:rFonts w:ascii="Arial" w:hAnsi="Arial" w:cs="Arial"/>
          <w:b/>
          <w:sz w:val="28"/>
          <w:szCs w:val="28"/>
        </w:rPr>
        <w:t>3</w:t>
      </w:r>
      <w:r w:rsidR="00613660" w:rsidRPr="00F45A1F">
        <w:rPr>
          <w:rFonts w:ascii="Arial" w:hAnsi="Arial" w:cs="Arial"/>
          <w:b/>
          <w:sz w:val="28"/>
          <w:szCs w:val="28"/>
        </w:rPr>
        <w:t>1</w:t>
      </w:r>
      <w:r w:rsidRPr="00F45A1F">
        <w:rPr>
          <w:rFonts w:ascii="Arial" w:hAnsi="Arial" w:cs="Arial"/>
          <w:b/>
          <w:sz w:val="28"/>
          <w:szCs w:val="28"/>
        </w:rPr>
        <w:t xml:space="preserve"> DE </w:t>
      </w:r>
      <w:r w:rsidR="004D7D3C" w:rsidRPr="00F45A1F">
        <w:rPr>
          <w:rFonts w:ascii="Arial" w:hAnsi="Arial" w:cs="Arial"/>
          <w:b/>
          <w:sz w:val="28"/>
          <w:szCs w:val="28"/>
        </w:rPr>
        <w:t>MARÇO</w:t>
      </w:r>
      <w:r w:rsidR="00613660" w:rsidRPr="00F45A1F">
        <w:rPr>
          <w:rFonts w:ascii="Arial" w:hAnsi="Arial" w:cs="Arial"/>
          <w:b/>
          <w:sz w:val="28"/>
          <w:szCs w:val="28"/>
        </w:rPr>
        <w:t xml:space="preserve"> </w:t>
      </w:r>
      <w:r w:rsidRPr="00F45A1F">
        <w:rPr>
          <w:rFonts w:ascii="Arial" w:hAnsi="Arial" w:cs="Arial"/>
          <w:b/>
          <w:sz w:val="28"/>
          <w:szCs w:val="28"/>
        </w:rPr>
        <w:t>DE 20</w:t>
      </w:r>
      <w:r w:rsidR="004D7D3C" w:rsidRPr="00F45A1F">
        <w:rPr>
          <w:rFonts w:ascii="Arial" w:hAnsi="Arial" w:cs="Arial"/>
          <w:b/>
          <w:sz w:val="28"/>
          <w:szCs w:val="28"/>
        </w:rPr>
        <w:t>20</w:t>
      </w:r>
    </w:p>
    <w:p w14:paraId="69C8FBF4" w14:textId="77777777" w:rsidR="003F4719" w:rsidRPr="00F45A1F" w:rsidRDefault="003F4719" w:rsidP="005144E2">
      <w:pPr>
        <w:widowControl/>
        <w:jc w:val="center"/>
        <w:rPr>
          <w:rFonts w:ascii="Arial" w:hAnsi="Arial" w:cs="Arial"/>
          <w:b/>
          <w:sz w:val="22"/>
          <w:szCs w:val="22"/>
        </w:rPr>
      </w:pPr>
      <w:r w:rsidRPr="00F45A1F">
        <w:rPr>
          <w:rFonts w:ascii="Arial" w:hAnsi="Arial" w:cs="Arial"/>
          <w:b/>
          <w:sz w:val="22"/>
          <w:szCs w:val="22"/>
        </w:rPr>
        <w:t>(em milhares de reais, exceto quando indicado de outra forma</w:t>
      </w:r>
      <w:proofErr w:type="gramStart"/>
      <w:r w:rsidRPr="00F45A1F">
        <w:rPr>
          <w:rFonts w:ascii="Arial" w:hAnsi="Arial" w:cs="Arial"/>
          <w:b/>
          <w:sz w:val="22"/>
          <w:szCs w:val="22"/>
        </w:rPr>
        <w:t>)</w:t>
      </w:r>
      <w:proofErr w:type="gramEnd"/>
    </w:p>
    <w:p w14:paraId="5E76C0BE" w14:textId="77777777" w:rsidR="0020523C" w:rsidRPr="00F45A1F" w:rsidRDefault="0020523C" w:rsidP="005144E2">
      <w:pPr>
        <w:widowControl/>
        <w:jc w:val="both"/>
        <w:rPr>
          <w:rFonts w:ascii="Arial" w:hAnsi="Arial" w:cs="Arial"/>
          <w:b/>
        </w:rPr>
      </w:pPr>
    </w:p>
    <w:p w14:paraId="0CCD1198" w14:textId="77777777" w:rsidR="0001072E" w:rsidRPr="00F45A1F" w:rsidRDefault="0001072E" w:rsidP="005144E2">
      <w:pPr>
        <w:widowControl/>
        <w:jc w:val="both"/>
        <w:rPr>
          <w:rFonts w:ascii="Arial" w:hAnsi="Arial" w:cs="Arial"/>
          <w:b/>
        </w:rPr>
      </w:pPr>
    </w:p>
    <w:p w14:paraId="32289C28" w14:textId="77777777" w:rsidR="001171CF" w:rsidRPr="00F45A1F" w:rsidRDefault="001171CF" w:rsidP="005144E2">
      <w:pPr>
        <w:widowControl/>
        <w:jc w:val="both"/>
        <w:rPr>
          <w:rFonts w:ascii="Arial" w:hAnsi="Arial" w:cs="Arial"/>
          <w:b/>
        </w:rPr>
      </w:pPr>
    </w:p>
    <w:p w14:paraId="5AFB7D40" w14:textId="77777777" w:rsidR="003F4719" w:rsidRPr="00F45A1F" w:rsidRDefault="003F4719" w:rsidP="005144E2">
      <w:pPr>
        <w:widowControl/>
        <w:jc w:val="both"/>
        <w:rPr>
          <w:rFonts w:ascii="Arial" w:hAnsi="Arial" w:cs="Arial"/>
          <w:color w:val="00B0F0"/>
          <w:sz w:val="26"/>
          <w:szCs w:val="26"/>
        </w:rPr>
      </w:pPr>
      <w:r w:rsidRPr="00F45A1F">
        <w:rPr>
          <w:rFonts w:ascii="Arial" w:hAnsi="Arial" w:cs="Arial"/>
          <w:b/>
          <w:sz w:val="26"/>
          <w:szCs w:val="26"/>
        </w:rPr>
        <w:t>NOTA 1 – CONTEXTO OPERACIONAL</w:t>
      </w:r>
    </w:p>
    <w:p w14:paraId="7D00EE77" w14:textId="77777777" w:rsidR="002B44FD" w:rsidRPr="00F45A1F" w:rsidRDefault="002B44FD" w:rsidP="005144E2">
      <w:pPr>
        <w:widowControl/>
        <w:jc w:val="both"/>
        <w:rPr>
          <w:rFonts w:ascii="Arial" w:hAnsi="Arial" w:cs="Arial"/>
        </w:rPr>
      </w:pPr>
    </w:p>
    <w:p w14:paraId="27C952DA" w14:textId="77777777" w:rsidR="005C1E44" w:rsidRPr="00F45A1F" w:rsidRDefault="005C1E44" w:rsidP="005144E2">
      <w:pPr>
        <w:widowControl/>
        <w:jc w:val="both"/>
        <w:rPr>
          <w:rFonts w:ascii="Arial" w:hAnsi="Arial" w:cs="Arial"/>
        </w:rPr>
      </w:pPr>
    </w:p>
    <w:p w14:paraId="717C4657" w14:textId="4A553BAF" w:rsidR="003F4719" w:rsidRPr="00F45A1F" w:rsidRDefault="003F4719" w:rsidP="005144E2">
      <w:pPr>
        <w:widowControl/>
        <w:jc w:val="both"/>
        <w:rPr>
          <w:rFonts w:ascii="Arial" w:hAnsi="Arial" w:cs="Arial"/>
        </w:rPr>
      </w:pPr>
      <w:r w:rsidRPr="00F45A1F">
        <w:rPr>
          <w:rFonts w:ascii="Arial" w:hAnsi="Arial" w:cs="Arial"/>
        </w:rPr>
        <w:t xml:space="preserve">A ELETROBRAS TERMONUCLEAR S.A. - ELETRONUCLEAR, (denominada "ELETRONUCLEAR" ou "Companhia"), </w:t>
      </w:r>
      <w:r w:rsidR="00CC01D3">
        <w:rPr>
          <w:rFonts w:ascii="Arial" w:hAnsi="Arial" w:cs="Arial"/>
        </w:rPr>
        <w:t>c</w:t>
      </w:r>
      <w:r w:rsidR="00D52420" w:rsidRPr="00F45A1F">
        <w:rPr>
          <w:rFonts w:ascii="Arial" w:hAnsi="Arial" w:cs="Arial"/>
        </w:rPr>
        <w:t>o</w:t>
      </w:r>
      <w:r w:rsidR="00064290" w:rsidRPr="00F45A1F">
        <w:rPr>
          <w:rFonts w:ascii="Arial" w:hAnsi="Arial" w:cs="Arial"/>
        </w:rPr>
        <w:t>mpanhia</w:t>
      </w:r>
      <w:r w:rsidRPr="00F45A1F">
        <w:rPr>
          <w:rFonts w:ascii="Arial" w:hAnsi="Arial" w:cs="Arial"/>
        </w:rPr>
        <w:t xml:space="preserve"> de capital fechado, controlada pela Centrais Elétricas Brasileiras S.A. - ELETROBRAS, com sua sede fixada na Rua da Candelária, nº 65 - 2º ao 14º andares - Centro - Rio de Janeiro - RJ - CEP 20.091-020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w:t>
      </w:r>
      <w:r w:rsidR="00F83106" w:rsidRPr="00F45A1F">
        <w:rPr>
          <w:rFonts w:ascii="Arial" w:hAnsi="Arial" w:cs="Arial"/>
        </w:rPr>
        <w:t>neel</w:t>
      </w:r>
      <w:r w:rsidRPr="00F45A1F">
        <w:rPr>
          <w:rFonts w:ascii="Arial" w:hAnsi="Arial" w:cs="Arial"/>
        </w:rPr>
        <w:t>, vinculada ao Ministério de Minas e Energia</w:t>
      </w:r>
      <w:r w:rsidR="00D52420" w:rsidRPr="00F45A1F">
        <w:rPr>
          <w:rFonts w:ascii="Arial" w:hAnsi="Arial" w:cs="Arial"/>
        </w:rPr>
        <w:t xml:space="preserve"> - MME</w:t>
      </w:r>
      <w:r w:rsidRPr="00F45A1F">
        <w:rPr>
          <w:rFonts w:ascii="Arial" w:hAnsi="Arial" w:cs="Arial"/>
        </w:rPr>
        <w:t>. Dentro do escopo desse objeto, a Companhia vem exercendo basicamente a</w:t>
      </w:r>
      <w:r w:rsidR="00242066" w:rsidRPr="00F45A1F">
        <w:rPr>
          <w:rFonts w:ascii="Arial" w:hAnsi="Arial" w:cs="Arial"/>
        </w:rPr>
        <w:t>s atividades de exploração das U</w:t>
      </w:r>
      <w:r w:rsidRPr="00F45A1F">
        <w:rPr>
          <w:rFonts w:ascii="Arial" w:hAnsi="Arial" w:cs="Arial"/>
        </w:rPr>
        <w:t xml:space="preserve">sinas Angra 1 e Angra 2, com potência nominal de 1.990 MW, bem como a construção da terceira unidade </w:t>
      </w:r>
      <w:proofErr w:type="spellStart"/>
      <w:r w:rsidR="00064290" w:rsidRPr="00F45A1F">
        <w:rPr>
          <w:rFonts w:ascii="Arial" w:hAnsi="Arial" w:cs="Arial"/>
        </w:rPr>
        <w:t>nu</w:t>
      </w:r>
      <w:r w:rsidR="00564576" w:rsidRPr="00F45A1F">
        <w:rPr>
          <w:rFonts w:ascii="Arial" w:hAnsi="Arial" w:cs="Arial"/>
        </w:rPr>
        <w:t>cleo</w:t>
      </w:r>
      <w:r w:rsidR="00782DCE" w:rsidRPr="00F45A1F">
        <w:rPr>
          <w:rFonts w:ascii="Arial" w:hAnsi="Arial" w:cs="Arial"/>
        </w:rPr>
        <w:t>elétrica</w:t>
      </w:r>
      <w:proofErr w:type="spellEnd"/>
      <w:r w:rsidR="00782DCE" w:rsidRPr="00F45A1F">
        <w:rPr>
          <w:rFonts w:ascii="Arial" w:hAnsi="Arial" w:cs="Arial"/>
        </w:rPr>
        <w:t>, denominada U</w:t>
      </w:r>
      <w:r w:rsidRPr="00F45A1F">
        <w:rPr>
          <w:rFonts w:ascii="Arial" w:hAnsi="Arial" w:cs="Arial"/>
        </w:rPr>
        <w:t xml:space="preserve">sina Angra 3, cujo estágio está descrito na </w:t>
      </w:r>
      <w:r w:rsidR="00904EEC" w:rsidRPr="00F45A1F">
        <w:rPr>
          <w:rFonts w:ascii="Arial" w:hAnsi="Arial" w:cs="Arial"/>
        </w:rPr>
        <w:t>nota</w:t>
      </w:r>
      <w:r w:rsidRPr="00F45A1F">
        <w:rPr>
          <w:rFonts w:ascii="Arial" w:hAnsi="Arial" w:cs="Arial"/>
        </w:rPr>
        <w:t xml:space="preserve"> 14g, todas integrantes da Central Nuclear Almirante Álvaro Alberto - CNAAA.</w:t>
      </w:r>
    </w:p>
    <w:p w14:paraId="47A36CF1" w14:textId="77777777" w:rsidR="00F21038" w:rsidRPr="00F45A1F" w:rsidRDefault="00F21038" w:rsidP="005144E2">
      <w:pPr>
        <w:widowControl/>
        <w:jc w:val="both"/>
        <w:rPr>
          <w:rFonts w:ascii="Arial" w:hAnsi="Arial" w:cs="Arial"/>
        </w:rPr>
      </w:pPr>
    </w:p>
    <w:p w14:paraId="639744C5" w14:textId="77777777" w:rsidR="00986867" w:rsidRPr="00F45A1F" w:rsidRDefault="003F4719" w:rsidP="005144E2">
      <w:pPr>
        <w:jc w:val="both"/>
        <w:rPr>
          <w:rFonts w:ascii="Arial" w:hAnsi="Arial" w:cs="Arial"/>
          <w:snapToGrid w:val="0"/>
        </w:rPr>
      </w:pPr>
      <w:r w:rsidRPr="00F45A1F">
        <w:rPr>
          <w:rFonts w:ascii="Arial" w:hAnsi="Arial" w:cs="Arial"/>
          <w:snapToGrid w:val="0"/>
        </w:rPr>
        <w:t>A seguir, detalhes sobre as autorizações para construção e operação das usinas componentes da Central Nuclear:</w:t>
      </w:r>
    </w:p>
    <w:p w14:paraId="3D3636FF" w14:textId="77777777" w:rsidR="00447842" w:rsidRPr="00F45A1F" w:rsidRDefault="00D32A6C" w:rsidP="005144E2">
      <w:pPr>
        <w:jc w:val="both"/>
        <w:rPr>
          <w:rFonts w:ascii="Arial" w:hAnsi="Arial" w:cs="Arial"/>
          <w:snapToGrid w:val="0"/>
        </w:rPr>
      </w:pPr>
      <w:r w:rsidRPr="00F45A1F">
        <w:rPr>
          <w:rFonts w:ascii="Arial" w:hAnsi="Arial" w:cs="Arial"/>
          <w:snapToGrid w:val="0"/>
        </w:rPr>
        <w:object w:dxaOrig="11101" w:dyaOrig="3204" w14:anchorId="6EFEB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8.25pt" o:ole="">
            <v:imagedata r:id="rId9" o:title=""/>
          </v:shape>
          <o:OLEObject Type="Embed" ProgID="Excel.Sheet.8" ShapeID="_x0000_i1025" DrawAspect="Content" ObjectID="_1652110874" r:id="rId10"/>
        </w:object>
      </w:r>
    </w:p>
    <w:p w14:paraId="63E8B105" w14:textId="77777777" w:rsidR="002E3F1E" w:rsidRPr="00F45A1F" w:rsidRDefault="003F4719" w:rsidP="005144E2">
      <w:pPr>
        <w:widowControl/>
        <w:jc w:val="both"/>
        <w:rPr>
          <w:rFonts w:ascii="Arial" w:hAnsi="Arial" w:cs="Arial"/>
        </w:rPr>
      </w:pPr>
      <w:r w:rsidRPr="00F45A1F">
        <w:rPr>
          <w:rFonts w:ascii="Arial" w:hAnsi="Arial" w:cs="Arial"/>
        </w:rPr>
        <w:t>A energia elétrica gerada pela Companhia, a partir de 1º de janeiro de 2013, foi rateada entre todas as concessionárias, permissionárias ou autorizadas de serviço público de distribuição no Sistema Interligado Nacional – SIN, de acordo com a metodologia estabelecida na Resolução Normativa nº 530, editada em 21 de dezembro de 2012, pela A</w:t>
      </w:r>
      <w:r w:rsidR="00D35BCA" w:rsidRPr="00F45A1F">
        <w:rPr>
          <w:rFonts w:ascii="Arial" w:hAnsi="Arial" w:cs="Arial"/>
        </w:rPr>
        <w:t>neel</w:t>
      </w:r>
      <w:r w:rsidRPr="00F45A1F">
        <w:rPr>
          <w:rFonts w:ascii="Arial" w:hAnsi="Arial" w:cs="Arial"/>
        </w:rPr>
        <w:t>, para o cálculo das cotas-partes anuais referentes à energia das centrais de geração Angra 1 e Angra 2 e as condições para a comercialização dessa energia na forma do art.11, da Lei nº 12.111/2009.</w:t>
      </w:r>
    </w:p>
    <w:p w14:paraId="70DC0B98" w14:textId="77777777" w:rsidR="00C57A0A" w:rsidRPr="00F45A1F" w:rsidRDefault="00C57A0A" w:rsidP="00C57A0A">
      <w:pPr>
        <w:widowControl/>
        <w:ind w:left="360" w:hanging="360"/>
        <w:jc w:val="both"/>
        <w:rPr>
          <w:rFonts w:ascii="Arial" w:hAnsi="Arial" w:cs="Arial"/>
          <w:i/>
          <w:sz w:val="16"/>
          <w:szCs w:val="16"/>
        </w:rPr>
      </w:pPr>
    </w:p>
    <w:p w14:paraId="44B5ACF2" w14:textId="77777777" w:rsidR="003F4719" w:rsidRPr="00F45A1F" w:rsidRDefault="003F4719" w:rsidP="005144E2">
      <w:pPr>
        <w:widowControl/>
        <w:tabs>
          <w:tab w:val="left" w:pos="142"/>
        </w:tabs>
        <w:jc w:val="both"/>
        <w:rPr>
          <w:rFonts w:ascii="Arial" w:hAnsi="Arial" w:cs="Arial"/>
        </w:rPr>
      </w:pPr>
      <w:r w:rsidRPr="00F45A1F">
        <w:rPr>
          <w:rFonts w:ascii="Arial" w:hAnsi="Arial" w:cs="Arial"/>
        </w:rPr>
        <w:t xml:space="preserve">Essas cotas-partes representam o percentual da energia proveniente das usinas, a ser alocado a cada distribuidora, calculado pela razão entre o seu mercado faturado dos </w:t>
      </w:r>
      <w:r w:rsidRPr="00F45A1F">
        <w:rPr>
          <w:rFonts w:ascii="Arial" w:hAnsi="Arial" w:cs="Arial"/>
        </w:rPr>
        <w:lastRenderedPageBreak/>
        <w:t>consumidores e a soma dos mercados faturados dos consumidores cativos de todas as distribuidoras do Sistema Interligado Nacional - SIN.</w:t>
      </w:r>
    </w:p>
    <w:p w14:paraId="08B89AF5" w14:textId="77777777" w:rsidR="003F4719" w:rsidRPr="00F45A1F" w:rsidRDefault="003F4719" w:rsidP="005144E2">
      <w:pPr>
        <w:widowControl/>
        <w:tabs>
          <w:tab w:val="left" w:pos="142"/>
        </w:tabs>
        <w:jc w:val="both"/>
        <w:rPr>
          <w:rFonts w:ascii="Arial" w:hAnsi="Arial" w:cs="Arial"/>
        </w:rPr>
      </w:pPr>
    </w:p>
    <w:p w14:paraId="2D1D50B8" w14:textId="13B13CAC" w:rsidR="003F4719" w:rsidRPr="00F45A1F" w:rsidRDefault="003F4719" w:rsidP="005144E2">
      <w:pPr>
        <w:widowControl/>
        <w:tabs>
          <w:tab w:val="left" w:pos="142"/>
        </w:tabs>
        <w:jc w:val="both"/>
        <w:rPr>
          <w:rFonts w:ascii="Arial" w:hAnsi="Arial" w:cs="Arial"/>
        </w:rPr>
      </w:pPr>
      <w:r w:rsidRPr="00F45A1F">
        <w:rPr>
          <w:rFonts w:ascii="Arial" w:hAnsi="Arial" w:cs="Arial"/>
        </w:rPr>
        <w:t>A A</w:t>
      </w:r>
      <w:r w:rsidR="0094209A" w:rsidRPr="00F45A1F">
        <w:rPr>
          <w:rFonts w:ascii="Arial" w:hAnsi="Arial" w:cs="Arial"/>
        </w:rPr>
        <w:t>neel</w:t>
      </w:r>
      <w:r w:rsidRPr="00F45A1F">
        <w:rPr>
          <w:rFonts w:ascii="Arial" w:hAnsi="Arial" w:cs="Arial"/>
        </w:rPr>
        <w:t xml:space="preserve"> estabeleceu as cotas-partes anuais referentes à geração para os anos de 2013 a 202</w:t>
      </w:r>
      <w:r w:rsidR="0065043F">
        <w:rPr>
          <w:rFonts w:ascii="Arial" w:hAnsi="Arial" w:cs="Arial"/>
        </w:rPr>
        <w:t>7</w:t>
      </w:r>
      <w:r w:rsidRPr="00F45A1F">
        <w:rPr>
          <w:rFonts w:ascii="Arial" w:hAnsi="Arial" w:cs="Arial"/>
        </w:rPr>
        <w:t>, bem como os montantes de energia a serem alocadas às distribuidoras do SIN, através das Resoluções Homologatórias:</w:t>
      </w:r>
    </w:p>
    <w:p w14:paraId="58AE60A9" w14:textId="77777777" w:rsidR="003F4719" w:rsidRPr="00F45A1F" w:rsidRDefault="003F4719" w:rsidP="005144E2">
      <w:pPr>
        <w:widowControl/>
        <w:tabs>
          <w:tab w:val="left" w:pos="142"/>
        </w:tabs>
        <w:jc w:val="both"/>
        <w:rPr>
          <w:rFonts w:ascii="Arial" w:hAnsi="Arial" w:cs="Arial"/>
        </w:rPr>
      </w:pPr>
    </w:p>
    <w:p w14:paraId="09BE3730" w14:textId="77777777" w:rsidR="003F4719" w:rsidRPr="00F45A1F" w:rsidRDefault="003F4719" w:rsidP="005144E2">
      <w:pPr>
        <w:widowControl/>
        <w:tabs>
          <w:tab w:val="left" w:pos="142"/>
        </w:tabs>
        <w:jc w:val="both"/>
        <w:rPr>
          <w:rFonts w:ascii="Arial" w:hAnsi="Arial" w:cs="Arial"/>
        </w:rPr>
      </w:pPr>
      <w:r w:rsidRPr="00F45A1F">
        <w:rPr>
          <w:rFonts w:ascii="Arial" w:hAnsi="Arial" w:cs="Arial"/>
        </w:rPr>
        <w:t>- 1.830/2014 de 25 de novembro de 2014</w:t>
      </w:r>
      <w:r w:rsidR="0064292C" w:rsidRPr="00F45A1F">
        <w:rPr>
          <w:rFonts w:ascii="Arial" w:hAnsi="Arial" w:cs="Arial"/>
        </w:rPr>
        <w:t xml:space="preserve"> (cotas-partes de 2020)</w:t>
      </w:r>
    </w:p>
    <w:p w14:paraId="6157DE90" w14:textId="77777777" w:rsidR="00364C39" w:rsidRPr="00F45A1F" w:rsidRDefault="00364C39" w:rsidP="005144E2">
      <w:pPr>
        <w:widowControl/>
        <w:tabs>
          <w:tab w:val="left" w:pos="142"/>
        </w:tabs>
        <w:jc w:val="both"/>
        <w:rPr>
          <w:rFonts w:ascii="Arial" w:hAnsi="Arial" w:cs="Arial"/>
        </w:rPr>
      </w:pPr>
      <w:r w:rsidRPr="00F45A1F">
        <w:rPr>
          <w:rFonts w:ascii="Arial" w:hAnsi="Arial" w:cs="Arial"/>
        </w:rPr>
        <w:t>- 2.011/2015 de 15 de dezembro de 2015</w:t>
      </w:r>
      <w:r w:rsidR="0064292C" w:rsidRPr="00F45A1F">
        <w:rPr>
          <w:rFonts w:ascii="Arial" w:hAnsi="Arial" w:cs="Arial"/>
        </w:rPr>
        <w:t xml:space="preserve"> (cotas-partes de 2021)</w:t>
      </w:r>
    </w:p>
    <w:p w14:paraId="03022803" w14:textId="77777777" w:rsidR="00BB1E41" w:rsidRPr="00F45A1F" w:rsidRDefault="00BB1E41" w:rsidP="005144E2">
      <w:pPr>
        <w:widowControl/>
        <w:tabs>
          <w:tab w:val="left" w:pos="142"/>
        </w:tabs>
        <w:jc w:val="both"/>
        <w:rPr>
          <w:rFonts w:ascii="Arial" w:hAnsi="Arial" w:cs="Arial"/>
        </w:rPr>
      </w:pPr>
      <w:r w:rsidRPr="00F45A1F">
        <w:rPr>
          <w:rFonts w:ascii="Arial" w:hAnsi="Arial" w:cs="Arial"/>
        </w:rPr>
        <w:t>- 2.179/2016 de 29 de novembro de 2016 (cotas-partes de 2022)</w:t>
      </w:r>
    </w:p>
    <w:p w14:paraId="04C5AB93" w14:textId="77777777" w:rsidR="007C59F8" w:rsidRPr="00F45A1F" w:rsidRDefault="007C59F8" w:rsidP="005144E2">
      <w:pPr>
        <w:widowControl/>
        <w:tabs>
          <w:tab w:val="left" w:pos="142"/>
        </w:tabs>
        <w:jc w:val="both"/>
        <w:rPr>
          <w:rFonts w:ascii="Arial" w:hAnsi="Arial" w:cs="Arial"/>
        </w:rPr>
      </w:pPr>
      <w:r w:rsidRPr="00F45A1F">
        <w:rPr>
          <w:rFonts w:ascii="Arial" w:hAnsi="Arial" w:cs="Arial"/>
        </w:rPr>
        <w:t>- 2.354/2017 de 05 de dezembro</w:t>
      </w:r>
      <w:r w:rsidR="00825B3D" w:rsidRPr="00F45A1F">
        <w:rPr>
          <w:rFonts w:ascii="Arial" w:hAnsi="Arial" w:cs="Arial"/>
        </w:rPr>
        <w:t xml:space="preserve"> de 2017 (cotas-partes de 2023)</w:t>
      </w:r>
    </w:p>
    <w:p w14:paraId="2E53C786" w14:textId="77777777" w:rsidR="00825B3D" w:rsidRDefault="00825B3D" w:rsidP="005144E2">
      <w:pPr>
        <w:widowControl/>
        <w:tabs>
          <w:tab w:val="left" w:pos="142"/>
        </w:tabs>
        <w:jc w:val="both"/>
        <w:rPr>
          <w:rFonts w:ascii="Arial" w:hAnsi="Arial" w:cs="Arial"/>
        </w:rPr>
      </w:pPr>
      <w:r w:rsidRPr="00F45A1F">
        <w:rPr>
          <w:rFonts w:ascii="Arial" w:hAnsi="Arial" w:cs="Arial"/>
        </w:rPr>
        <w:t>- 2.499/2018 de 18 de dezembro de 2018 (cotas-partes de 2024 a 2026)</w:t>
      </w:r>
    </w:p>
    <w:p w14:paraId="5B8501C4" w14:textId="77777777" w:rsidR="00CF471E" w:rsidRDefault="00CF471E" w:rsidP="00CF471E">
      <w:pPr>
        <w:widowControl/>
        <w:tabs>
          <w:tab w:val="left" w:pos="142"/>
        </w:tabs>
        <w:jc w:val="both"/>
        <w:rPr>
          <w:rFonts w:ascii="Arial" w:hAnsi="Arial" w:cs="Arial"/>
        </w:rPr>
      </w:pPr>
      <w:r w:rsidRPr="004A7B59">
        <w:rPr>
          <w:rFonts w:ascii="Arial" w:hAnsi="Arial" w:cs="Arial"/>
        </w:rPr>
        <w:t>- 2.</w:t>
      </w:r>
      <w:r>
        <w:rPr>
          <w:rFonts w:ascii="Arial" w:hAnsi="Arial" w:cs="Arial"/>
        </w:rPr>
        <w:t>643</w:t>
      </w:r>
      <w:r w:rsidRPr="004A7B59">
        <w:rPr>
          <w:rFonts w:ascii="Arial" w:hAnsi="Arial" w:cs="Arial"/>
        </w:rPr>
        <w:t>/20</w:t>
      </w:r>
      <w:r>
        <w:rPr>
          <w:rFonts w:ascii="Arial" w:hAnsi="Arial" w:cs="Arial"/>
        </w:rPr>
        <w:t>19</w:t>
      </w:r>
      <w:r w:rsidRPr="004A7B59">
        <w:rPr>
          <w:rFonts w:ascii="Arial" w:hAnsi="Arial" w:cs="Arial"/>
        </w:rPr>
        <w:t xml:space="preserve"> de </w:t>
      </w:r>
      <w:r>
        <w:rPr>
          <w:rFonts w:ascii="Arial" w:hAnsi="Arial" w:cs="Arial"/>
        </w:rPr>
        <w:t>26 de novembro</w:t>
      </w:r>
      <w:r w:rsidRPr="004A7B59">
        <w:rPr>
          <w:rFonts w:ascii="Arial" w:hAnsi="Arial" w:cs="Arial"/>
        </w:rPr>
        <w:t xml:space="preserve"> de 201</w:t>
      </w:r>
      <w:r>
        <w:rPr>
          <w:rFonts w:ascii="Arial" w:hAnsi="Arial" w:cs="Arial"/>
        </w:rPr>
        <w:t>9</w:t>
      </w:r>
      <w:r w:rsidRPr="004A7B59">
        <w:rPr>
          <w:rFonts w:ascii="Arial" w:hAnsi="Arial" w:cs="Arial"/>
        </w:rPr>
        <w:t xml:space="preserve"> (cotas-partes de 202</w:t>
      </w:r>
      <w:r>
        <w:rPr>
          <w:rFonts w:ascii="Arial" w:hAnsi="Arial" w:cs="Arial"/>
        </w:rPr>
        <w:t>7</w:t>
      </w:r>
      <w:r w:rsidRPr="004A7B59">
        <w:rPr>
          <w:rFonts w:ascii="Arial" w:hAnsi="Arial" w:cs="Arial"/>
        </w:rPr>
        <w:t>)</w:t>
      </w:r>
    </w:p>
    <w:p w14:paraId="5FBC7297" w14:textId="77777777" w:rsidR="00CF471E" w:rsidRPr="00F45A1F" w:rsidRDefault="00CF471E" w:rsidP="005144E2">
      <w:pPr>
        <w:widowControl/>
        <w:tabs>
          <w:tab w:val="left" w:pos="142"/>
        </w:tabs>
        <w:jc w:val="both"/>
        <w:rPr>
          <w:rFonts w:ascii="Arial" w:hAnsi="Arial" w:cs="Arial"/>
        </w:rPr>
      </w:pPr>
    </w:p>
    <w:p w14:paraId="5F1A3516" w14:textId="77777777" w:rsidR="00825B3D" w:rsidRPr="00F45A1F" w:rsidRDefault="00825B3D" w:rsidP="005144E2">
      <w:pPr>
        <w:widowControl/>
        <w:tabs>
          <w:tab w:val="left" w:pos="142"/>
        </w:tabs>
        <w:jc w:val="both"/>
        <w:rPr>
          <w:rFonts w:ascii="Arial" w:hAnsi="Arial" w:cs="Arial"/>
        </w:rPr>
      </w:pPr>
    </w:p>
    <w:p w14:paraId="0B7380A6" w14:textId="3BD3441A" w:rsidR="003F4719" w:rsidRPr="00F45A1F" w:rsidRDefault="003F4719" w:rsidP="005144E2">
      <w:pPr>
        <w:jc w:val="both"/>
        <w:rPr>
          <w:rFonts w:ascii="Arial" w:hAnsi="Arial" w:cs="Arial"/>
        </w:rPr>
      </w:pPr>
      <w:r w:rsidRPr="00F45A1F">
        <w:rPr>
          <w:rFonts w:ascii="Arial" w:hAnsi="Arial" w:cs="Arial"/>
        </w:rPr>
        <w:t xml:space="preserve">A Companhia apresenta capital circulante líquido </w:t>
      </w:r>
      <w:r w:rsidR="00453CC0" w:rsidRPr="00F45A1F">
        <w:rPr>
          <w:rFonts w:ascii="Arial" w:hAnsi="Arial" w:cs="Arial"/>
        </w:rPr>
        <w:t>negativo</w:t>
      </w:r>
      <w:r w:rsidRPr="00F45A1F">
        <w:rPr>
          <w:rFonts w:ascii="Arial" w:hAnsi="Arial" w:cs="Arial"/>
        </w:rPr>
        <w:t xml:space="preserve"> de </w:t>
      </w:r>
      <w:r w:rsidR="005031C8" w:rsidRPr="00F45A1F">
        <w:rPr>
          <w:rFonts w:ascii="Arial" w:hAnsi="Arial" w:cs="Arial"/>
        </w:rPr>
        <w:t>R</w:t>
      </w:r>
      <w:r w:rsidR="00132377" w:rsidRPr="00F45A1F">
        <w:rPr>
          <w:rFonts w:ascii="Arial" w:hAnsi="Arial" w:cs="Arial"/>
        </w:rPr>
        <w:t xml:space="preserve">$ </w:t>
      </w:r>
      <w:r w:rsidR="00FD6C4F" w:rsidRPr="00F45A1F">
        <w:rPr>
          <w:rFonts w:ascii="Arial" w:hAnsi="Arial" w:cs="Arial"/>
        </w:rPr>
        <w:t>8</w:t>
      </w:r>
      <w:r w:rsidR="000C160A">
        <w:rPr>
          <w:rFonts w:ascii="Arial" w:hAnsi="Arial" w:cs="Arial"/>
        </w:rPr>
        <w:t>09.739</w:t>
      </w:r>
      <w:r w:rsidRPr="00F45A1F">
        <w:rPr>
          <w:rFonts w:ascii="Arial" w:hAnsi="Arial" w:cs="Arial"/>
        </w:rPr>
        <w:t xml:space="preserve"> em 3</w:t>
      </w:r>
      <w:r w:rsidR="00613660" w:rsidRPr="00F45A1F">
        <w:rPr>
          <w:rFonts w:ascii="Arial" w:hAnsi="Arial" w:cs="Arial"/>
        </w:rPr>
        <w:t xml:space="preserve">1 de </w:t>
      </w:r>
      <w:r w:rsidR="004D7D3C" w:rsidRPr="00F45A1F">
        <w:rPr>
          <w:rFonts w:ascii="Arial" w:hAnsi="Arial" w:cs="Arial"/>
        </w:rPr>
        <w:t>março</w:t>
      </w:r>
      <w:r w:rsidR="00613660" w:rsidRPr="00F45A1F">
        <w:rPr>
          <w:rFonts w:ascii="Arial" w:hAnsi="Arial" w:cs="Arial"/>
        </w:rPr>
        <w:t xml:space="preserve"> </w:t>
      </w:r>
      <w:r w:rsidRPr="00F45A1F">
        <w:rPr>
          <w:rFonts w:ascii="Arial" w:hAnsi="Arial" w:cs="Arial"/>
        </w:rPr>
        <w:t>de 20</w:t>
      </w:r>
      <w:r w:rsidR="004D7D3C" w:rsidRPr="00F45A1F">
        <w:rPr>
          <w:rFonts w:ascii="Arial" w:hAnsi="Arial" w:cs="Arial"/>
        </w:rPr>
        <w:t>20</w:t>
      </w:r>
      <w:r w:rsidRPr="00F45A1F">
        <w:rPr>
          <w:rFonts w:ascii="Arial" w:hAnsi="Arial" w:cs="Arial"/>
        </w:rPr>
        <w:t xml:space="preserve"> (R$ </w:t>
      </w:r>
      <w:r w:rsidR="008B2C63" w:rsidRPr="00F45A1F">
        <w:rPr>
          <w:rFonts w:ascii="Arial" w:hAnsi="Arial" w:cs="Arial"/>
        </w:rPr>
        <w:t>6</w:t>
      </w:r>
      <w:r w:rsidR="004D7D3C" w:rsidRPr="00F45A1F">
        <w:rPr>
          <w:rFonts w:ascii="Arial" w:hAnsi="Arial" w:cs="Arial"/>
        </w:rPr>
        <w:t>74.316</w:t>
      </w:r>
      <w:r w:rsidRPr="00F45A1F">
        <w:rPr>
          <w:rFonts w:ascii="Arial" w:hAnsi="Arial" w:cs="Arial"/>
        </w:rPr>
        <w:t xml:space="preserve">, em 31 de </w:t>
      </w:r>
      <w:r w:rsidR="007D37D9" w:rsidRPr="00F45A1F">
        <w:rPr>
          <w:rFonts w:ascii="Arial" w:hAnsi="Arial" w:cs="Arial"/>
        </w:rPr>
        <w:t>d</w:t>
      </w:r>
      <w:r w:rsidRPr="00F45A1F">
        <w:rPr>
          <w:rFonts w:ascii="Arial" w:hAnsi="Arial" w:cs="Arial"/>
        </w:rPr>
        <w:t>ezembro de 201</w:t>
      </w:r>
      <w:r w:rsidR="004D7D3C" w:rsidRPr="00F45A1F">
        <w:rPr>
          <w:rFonts w:ascii="Arial" w:hAnsi="Arial" w:cs="Arial"/>
        </w:rPr>
        <w:t>9</w:t>
      </w:r>
      <w:r w:rsidRPr="00F45A1F">
        <w:rPr>
          <w:rFonts w:ascii="Arial" w:hAnsi="Arial" w:cs="Arial"/>
        </w:rPr>
        <w:t>)</w:t>
      </w:r>
      <w:r w:rsidR="00A21423" w:rsidRPr="00F45A1F">
        <w:rPr>
          <w:rFonts w:ascii="Arial" w:hAnsi="Arial" w:cs="Arial"/>
        </w:rPr>
        <w:t>.</w:t>
      </w:r>
      <w:r w:rsidR="0032123A" w:rsidRPr="00F45A1F">
        <w:rPr>
          <w:rFonts w:ascii="Arial" w:hAnsi="Arial" w:cs="Arial"/>
        </w:rPr>
        <w:t xml:space="preserve"> As tratativas </w:t>
      </w:r>
      <w:r w:rsidR="00950652">
        <w:rPr>
          <w:rFonts w:ascii="Arial" w:hAnsi="Arial" w:cs="Arial"/>
        </w:rPr>
        <w:t xml:space="preserve">sobre essa questão </w:t>
      </w:r>
      <w:r w:rsidR="0032123A" w:rsidRPr="00F45A1F">
        <w:rPr>
          <w:rFonts w:ascii="Arial" w:hAnsi="Arial" w:cs="Arial"/>
        </w:rPr>
        <w:t>podem ser observadas na nota 4.1d.</w:t>
      </w:r>
    </w:p>
    <w:p w14:paraId="691B0E75" w14:textId="77777777" w:rsidR="00B45FA5" w:rsidRDefault="00B45FA5" w:rsidP="005144E2">
      <w:pPr>
        <w:widowControl/>
        <w:tabs>
          <w:tab w:val="left" w:pos="142"/>
        </w:tabs>
        <w:jc w:val="both"/>
        <w:rPr>
          <w:rFonts w:ascii="Arial" w:hAnsi="Arial" w:cs="Arial"/>
        </w:rPr>
      </w:pPr>
    </w:p>
    <w:p w14:paraId="20311B78" w14:textId="77777777" w:rsidR="00501427" w:rsidRPr="00A35743" w:rsidRDefault="00501427" w:rsidP="00501427">
      <w:pPr>
        <w:pStyle w:val="yiv6459758197msolistparagraph"/>
        <w:shd w:val="clear" w:color="auto" w:fill="FFFFFF"/>
        <w:spacing w:before="0" w:beforeAutospacing="0" w:after="0" w:afterAutospacing="0"/>
        <w:jc w:val="both"/>
        <w:rPr>
          <w:rFonts w:ascii="Arial" w:hAnsi="Arial" w:cs="Arial"/>
          <w:color w:val="000000" w:themeColor="text1"/>
          <w:u w:val="single"/>
        </w:rPr>
      </w:pPr>
      <w:r w:rsidRPr="00A35743">
        <w:rPr>
          <w:rFonts w:ascii="Arial" w:hAnsi="Arial" w:cs="Arial"/>
          <w:color w:val="000000" w:themeColor="text1"/>
          <w:u w:val="single"/>
        </w:rPr>
        <w:t xml:space="preserve">COVID-19 </w:t>
      </w:r>
    </w:p>
    <w:p w14:paraId="16F78112" w14:textId="77777777" w:rsidR="00501427" w:rsidRPr="00A35743" w:rsidRDefault="00501427" w:rsidP="00501427">
      <w:pPr>
        <w:pStyle w:val="yiv6459758197msolistparagraph"/>
        <w:shd w:val="clear" w:color="auto" w:fill="FFFFFF"/>
        <w:spacing w:before="0" w:beforeAutospacing="0" w:after="0" w:afterAutospacing="0"/>
        <w:jc w:val="both"/>
        <w:rPr>
          <w:rFonts w:ascii="Arial" w:hAnsi="Arial" w:cs="Arial"/>
          <w:color w:val="000000" w:themeColor="text1"/>
        </w:rPr>
      </w:pPr>
    </w:p>
    <w:p w14:paraId="301F450A" w14:textId="0483D689" w:rsidR="00501427" w:rsidRPr="00A35743" w:rsidRDefault="00A35743" w:rsidP="00501427">
      <w:pPr>
        <w:jc w:val="both"/>
        <w:rPr>
          <w:rFonts w:ascii="Arial" w:hAnsi="Arial" w:cs="Arial"/>
          <w:color w:val="000000" w:themeColor="text1"/>
        </w:rPr>
      </w:pPr>
      <w:r w:rsidRPr="00A35743">
        <w:rPr>
          <w:rFonts w:ascii="Arial" w:hAnsi="Arial" w:cs="Arial"/>
          <w:color w:val="000000"/>
        </w:rPr>
        <w:t>A Companhia vem seguindo as recomendações do Ministério da Saúde, do Governo do Estado do Rio de Janeiro e das cidades onde se encontram suas unidades administrativas e operacionais, e vem adotando todas as medidas para manter a normalidade de suas atividades, dado o setor estratégico em que está inserida</w:t>
      </w:r>
      <w:r w:rsidR="00501427" w:rsidRPr="00A35743">
        <w:rPr>
          <w:rFonts w:ascii="Arial" w:hAnsi="Arial" w:cs="Arial"/>
          <w:color w:val="000000" w:themeColor="text1"/>
        </w:rPr>
        <w:t>.</w:t>
      </w:r>
    </w:p>
    <w:p w14:paraId="3AA85EA2" w14:textId="50CA06E6" w:rsidR="00501427" w:rsidRPr="00A35743" w:rsidRDefault="00501427" w:rsidP="00501427">
      <w:pPr>
        <w:jc w:val="both"/>
        <w:rPr>
          <w:rFonts w:ascii="Arial" w:hAnsi="Arial" w:cs="Arial"/>
          <w:color w:val="000000" w:themeColor="text1"/>
        </w:rPr>
      </w:pPr>
    </w:p>
    <w:p w14:paraId="68434A0F"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A principal característica da pandemia até este momento, sob a ótica econômico financeira, é a incerteza, fato que não favorece análises probabilísticas para a determinação de cenários a partir da precariedade de informações macroeconômicas cruciais a este tipo de exercício. Nessa conjuntura, surge a necessidade de avaliar-se impacto sobre as atividades da Companhia para fins das demonstrações financeiras do primeiro trimestre de 2020. </w:t>
      </w:r>
    </w:p>
    <w:p w14:paraId="787D2026"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734757EC"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A Companhia mantém acompanhamento diligente das suas operações, tendo aprimorado os protocolos originais de operação e ações emergenciais a serem adotadas. A força de trabalho tem desempenhado com êxito suas atividades e, não se observou até o momento, nenhum impacto operacional significativo causado pela pandemia da COVID-19.</w:t>
      </w:r>
    </w:p>
    <w:p w14:paraId="1304FE56"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419DD79F"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No que diz respeito aos impactos da redução de mercado, observa-se que a partir do isolamento social imposto em meados do mês de março de 2020, o consumo no Brasil vem sendo reduzido se comparado ao observado em semanas anteriores.</w:t>
      </w:r>
    </w:p>
    <w:p w14:paraId="5F65D94F"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614E90C7"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xml:space="preserve">Diante do cenário atual, a Companhia vem acompanhando o planejado para sua receita </w:t>
      </w:r>
      <w:r w:rsidRPr="00A35743">
        <w:rPr>
          <w:rFonts w:ascii="Arial" w:hAnsi="Arial" w:cs="Arial"/>
          <w:color w:val="000000" w:themeColor="text1"/>
        </w:rPr>
        <w:lastRenderedPageBreak/>
        <w:t>de Geração com o realizado. Até o momento não houve evidências de perdas, sejam operacionais ou financeiras ocorridas por inadimplência. Acredita-se que se houver perdas, estas serão momentâneas, com gradual recuperação conforme melhora da situação econômica em geral.</w:t>
      </w:r>
    </w:p>
    <w:p w14:paraId="1E14FD68"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264A53D4" w14:textId="77777777" w:rsidR="00501427" w:rsidRPr="00025D69" w:rsidRDefault="00501427" w:rsidP="00501427">
      <w:pPr>
        <w:jc w:val="both"/>
        <w:rPr>
          <w:rFonts w:ascii="Arial" w:hAnsi="Arial" w:cs="Arial"/>
          <w:color w:val="000000" w:themeColor="text1"/>
        </w:rPr>
      </w:pPr>
      <w:r w:rsidRPr="00A35743">
        <w:rPr>
          <w:rFonts w:ascii="Arial" w:hAnsi="Arial" w:cs="Arial"/>
          <w:color w:val="000000" w:themeColor="text1"/>
        </w:rPr>
        <w:t>Adicionalmente, o Governo Federal, por meio do Decreto nº10.350 de 2020, contempla medidas adicionais destinadas a cobrir o possível déficit de arrecadação das distribuidoras de energia elétrica, denominado “Conta-COVID”. As medidas serão via empréstimos tomados pela Câmara de Comercialização de Energia Elétrica (CCEE), de forma que as dívidas não impactem balanços das empresas distribuidoras e servirão para cobrir déficits ou antecipar receitas das distribuidoras com diversos itens de abril a dezembro de 2020. Apesar da não evidência de eventuais inadimplências decorrentes da pandemia, a Companhia entende que esse Decreto representa um reforço de caixa das distribuidoras de energia e poderá mitigar eventuais inadimplências futuras.</w:t>
      </w:r>
    </w:p>
    <w:p w14:paraId="0C7EA5B7" w14:textId="77777777" w:rsidR="00501427" w:rsidRPr="00837D5A" w:rsidRDefault="00501427" w:rsidP="00501427">
      <w:pPr>
        <w:pStyle w:val="yiv6459758197msolistparagraph"/>
        <w:shd w:val="clear" w:color="auto" w:fill="FFFFFF"/>
        <w:spacing w:before="0" w:beforeAutospacing="0" w:after="0" w:afterAutospacing="0"/>
        <w:jc w:val="both"/>
        <w:rPr>
          <w:rFonts w:ascii="Arial" w:hAnsi="Arial" w:cs="Arial"/>
          <w:color w:val="000000" w:themeColor="text1"/>
        </w:rPr>
      </w:pPr>
    </w:p>
    <w:p w14:paraId="71A80BB5" w14:textId="77777777" w:rsidR="00501427" w:rsidRPr="00837D5A" w:rsidRDefault="00501427" w:rsidP="00501427">
      <w:pPr>
        <w:widowControl/>
        <w:tabs>
          <w:tab w:val="num" w:pos="360"/>
        </w:tabs>
        <w:jc w:val="both"/>
        <w:rPr>
          <w:rFonts w:ascii="Arial" w:hAnsi="Arial" w:cs="Arial"/>
          <w:color w:val="000000" w:themeColor="text1"/>
        </w:rPr>
      </w:pPr>
      <w:r w:rsidRPr="00837D5A">
        <w:rPr>
          <w:rFonts w:ascii="Arial" w:hAnsi="Arial" w:cs="Arial"/>
          <w:color w:val="000000" w:themeColor="text1"/>
        </w:rPr>
        <w:t>A União Federal reconheceu estado de calamidade pública em todo o território nacional, com vigência de 23.03.2020 a 20.12.2020, por conta da emergência de saúde pública de importância internacional relacionada ao </w:t>
      </w:r>
      <w:proofErr w:type="spellStart"/>
      <w:r w:rsidRPr="00837D5A">
        <w:rPr>
          <w:rFonts w:ascii="Arial" w:hAnsi="Arial" w:cs="Arial"/>
          <w:color w:val="000000" w:themeColor="text1"/>
        </w:rPr>
        <w:t>coronavírus</w:t>
      </w:r>
      <w:proofErr w:type="spellEnd"/>
      <w:r w:rsidRPr="00837D5A">
        <w:rPr>
          <w:rFonts w:ascii="Arial" w:hAnsi="Arial" w:cs="Arial"/>
          <w:color w:val="000000" w:themeColor="text1"/>
        </w:rPr>
        <w:t> (Covid-19) – pandemia declarada pela Organização Mundial da Saúde - OMS. Os governos (federal, estaduais e municipais), vêm adotando medidas para o enfrentamento desta emergência, tais como distanciamento social e suspensão de atividades econômicas, tendo como foco a preservação da saúde da população, além de outras de natureza de social, trabalhista, tributária e de contenção, visando o suporte e a saúde financeira das famílias e das empresas. Dentro deste contexto, a Eletronuclear, seguindo recomendações de sua Holding Eletrobras, e em linha com as medidas estabelecidas pelo governo federal, está adotando medidas administrativas e econômico-financeiras, buscando preservação do seu fluxo de caixa para sua sustentabilidade empresarial, está usufruindo os benefícios oferecidos no âmbito do governo federal, entre outras medidas para contenções de gastos:</w:t>
      </w:r>
    </w:p>
    <w:p w14:paraId="56D621BA" w14:textId="77777777" w:rsidR="00501427" w:rsidRPr="00837D5A" w:rsidRDefault="00501427" w:rsidP="00501427">
      <w:pPr>
        <w:pStyle w:val="yiv6459758197msolistparagraph"/>
        <w:shd w:val="clear" w:color="auto" w:fill="FFFFFF"/>
        <w:spacing w:before="0" w:beforeAutospacing="0" w:after="0" w:afterAutospacing="0"/>
        <w:ind w:left="720"/>
        <w:jc w:val="both"/>
        <w:rPr>
          <w:rFonts w:ascii="Arial" w:hAnsi="Arial" w:cs="Arial"/>
          <w:color w:val="000000" w:themeColor="text1"/>
        </w:rPr>
      </w:pPr>
      <w:r w:rsidRPr="00837D5A">
        <w:rPr>
          <w:rFonts w:ascii="Arial" w:hAnsi="Arial" w:cs="Arial"/>
          <w:color w:val="000000" w:themeColor="text1"/>
        </w:rPr>
        <w:t> </w:t>
      </w:r>
    </w:p>
    <w:p w14:paraId="6FD8C9E3" w14:textId="77777777" w:rsidR="00501427" w:rsidRDefault="00501427" w:rsidP="00501427">
      <w:pPr>
        <w:pStyle w:val="yiv6459758197msolistparagraph"/>
        <w:numPr>
          <w:ilvl w:val="0"/>
          <w:numId w:val="41"/>
        </w:numPr>
        <w:shd w:val="clear" w:color="auto" w:fill="FFFFFF"/>
        <w:spacing w:before="0" w:beforeAutospacing="0" w:after="0" w:afterAutospacing="0"/>
        <w:ind w:left="284"/>
        <w:jc w:val="both"/>
        <w:rPr>
          <w:rFonts w:ascii="Arial" w:hAnsi="Arial" w:cs="Arial"/>
          <w:color w:val="000000" w:themeColor="text1"/>
        </w:rPr>
      </w:pPr>
      <w:r w:rsidRPr="00837D5A">
        <w:rPr>
          <w:rFonts w:ascii="Arial" w:hAnsi="Arial" w:cs="Arial"/>
          <w:color w:val="000000" w:themeColor="text1"/>
        </w:rPr>
        <w:t>Redução de alíquotas do Sistema S (SESI/SENAI)</w:t>
      </w:r>
    </w:p>
    <w:p w14:paraId="2445DCFD" w14:textId="77777777" w:rsidR="00F82BE5" w:rsidRPr="00837D5A" w:rsidRDefault="00F82BE5" w:rsidP="00F82BE5">
      <w:pPr>
        <w:pStyle w:val="yiv6459758197msolistparagraph"/>
        <w:shd w:val="clear" w:color="auto" w:fill="FFFFFF"/>
        <w:spacing w:before="0" w:beforeAutospacing="0" w:after="0" w:afterAutospacing="0"/>
        <w:ind w:left="284"/>
        <w:jc w:val="both"/>
        <w:rPr>
          <w:rFonts w:ascii="Arial" w:hAnsi="Arial" w:cs="Arial"/>
          <w:color w:val="000000" w:themeColor="text1"/>
        </w:rPr>
      </w:pPr>
    </w:p>
    <w:p w14:paraId="6AC60A30" w14:textId="77777777" w:rsidR="00501427" w:rsidRPr="00837D5A" w:rsidRDefault="00501427" w:rsidP="00501427">
      <w:pPr>
        <w:pStyle w:val="yiv6459758197msolistparagraph"/>
        <w:shd w:val="clear" w:color="auto" w:fill="FFFFFF"/>
        <w:spacing w:before="0" w:beforeAutospacing="0" w:after="0" w:afterAutospacing="0"/>
        <w:ind w:left="284"/>
        <w:jc w:val="both"/>
        <w:rPr>
          <w:rFonts w:ascii="Arial" w:hAnsi="Arial" w:cs="Arial"/>
          <w:color w:val="000000" w:themeColor="text1"/>
        </w:rPr>
      </w:pPr>
      <w:r w:rsidRPr="00837D5A">
        <w:rPr>
          <w:rFonts w:ascii="Arial" w:hAnsi="Arial" w:cs="Arial"/>
          <w:color w:val="000000" w:themeColor="text1"/>
        </w:rPr>
        <w:t>Por meio da Medida Provisória nº 932, de 31.03.2020, foram reduzidas em 50% as alíquotas das contribuições aos serviços sociais autônomos, beneficiando a ELETRONUCLEAR em suas contribuições efetuadas para o Serviço Social da Indústria – Sesi e Serviço Nacional de Aprendizagem Industrial – Senai, para os meses de abril a junho de 2020, representando economias estimadas na ordem de R$ 1,1 milhão;</w:t>
      </w:r>
    </w:p>
    <w:p w14:paraId="4A81D60A" w14:textId="77777777" w:rsidR="00501427" w:rsidRPr="00837D5A" w:rsidRDefault="00501427" w:rsidP="00501427">
      <w:pPr>
        <w:pStyle w:val="yiv6459758197msolistparagraph"/>
        <w:shd w:val="clear" w:color="auto" w:fill="FFFFFF"/>
        <w:spacing w:before="0" w:beforeAutospacing="0" w:after="0" w:afterAutospacing="0"/>
        <w:ind w:left="284" w:firstLine="60"/>
        <w:jc w:val="both"/>
        <w:rPr>
          <w:rFonts w:ascii="Arial" w:hAnsi="Arial" w:cs="Arial"/>
          <w:color w:val="000000" w:themeColor="text1"/>
        </w:rPr>
      </w:pPr>
    </w:p>
    <w:p w14:paraId="71FD082F" w14:textId="77777777" w:rsidR="00501427" w:rsidRDefault="00501427" w:rsidP="00501427">
      <w:pPr>
        <w:pStyle w:val="yiv6459758197msolistparagraph"/>
        <w:numPr>
          <w:ilvl w:val="0"/>
          <w:numId w:val="41"/>
        </w:numPr>
        <w:shd w:val="clear" w:color="auto" w:fill="FFFFFF"/>
        <w:spacing w:before="0" w:beforeAutospacing="0" w:after="0" w:afterAutospacing="0"/>
        <w:ind w:left="284"/>
        <w:jc w:val="both"/>
        <w:rPr>
          <w:rFonts w:ascii="Arial" w:hAnsi="Arial" w:cs="Arial"/>
          <w:color w:val="000000" w:themeColor="text1"/>
        </w:rPr>
      </w:pPr>
      <w:r w:rsidRPr="00837D5A">
        <w:rPr>
          <w:rFonts w:ascii="Arial" w:hAnsi="Arial" w:cs="Arial"/>
          <w:color w:val="000000" w:themeColor="text1"/>
        </w:rPr>
        <w:t>Contribuição patronal ao Instituto Nacional do Seguro Social – INSS</w:t>
      </w:r>
    </w:p>
    <w:p w14:paraId="273B8BC9" w14:textId="77777777" w:rsidR="00F82BE5" w:rsidRPr="00837D5A" w:rsidRDefault="00F82BE5" w:rsidP="00F82BE5">
      <w:pPr>
        <w:pStyle w:val="yiv6459758197msolistparagraph"/>
        <w:shd w:val="clear" w:color="auto" w:fill="FFFFFF"/>
        <w:spacing w:before="0" w:beforeAutospacing="0" w:after="0" w:afterAutospacing="0"/>
        <w:ind w:left="284"/>
        <w:jc w:val="both"/>
        <w:rPr>
          <w:rFonts w:ascii="Arial" w:hAnsi="Arial" w:cs="Arial"/>
          <w:color w:val="000000" w:themeColor="text1"/>
        </w:rPr>
      </w:pPr>
    </w:p>
    <w:p w14:paraId="132FE904" w14:textId="77777777" w:rsidR="00501427" w:rsidRPr="00837D5A" w:rsidRDefault="00501427" w:rsidP="00501427">
      <w:pPr>
        <w:pStyle w:val="yiv6459758197msolistparagraph"/>
        <w:shd w:val="clear" w:color="auto" w:fill="FFFFFF"/>
        <w:spacing w:before="0" w:beforeAutospacing="0" w:after="0" w:afterAutospacing="0"/>
        <w:ind w:left="284"/>
        <w:jc w:val="both"/>
        <w:rPr>
          <w:rFonts w:ascii="Arial" w:hAnsi="Arial" w:cs="Arial"/>
          <w:color w:val="000000" w:themeColor="text1"/>
        </w:rPr>
      </w:pPr>
      <w:r w:rsidRPr="00837D5A">
        <w:rPr>
          <w:rFonts w:ascii="Arial" w:hAnsi="Arial" w:cs="Arial"/>
          <w:color w:val="000000" w:themeColor="text1"/>
        </w:rPr>
        <w:t>Por meio da Portaria nº 139 do Ministério da Economia, de 03.04.2020, foram prorrogados os prazos para o recolhimento das contribuições previdenciárias patronais, relativas as competências de março e abril de 2020, para serem recolhidas juntamente com as competências referente a julho e setembro de 2020, postergando pagamentos estimados na ordem de R$ 12,8 milhões;</w:t>
      </w:r>
    </w:p>
    <w:p w14:paraId="300AEE55" w14:textId="77777777" w:rsidR="00501427" w:rsidRPr="00837D5A" w:rsidRDefault="00501427" w:rsidP="00501427">
      <w:pPr>
        <w:pStyle w:val="yiv6459758197msolistparagraph"/>
        <w:shd w:val="clear" w:color="auto" w:fill="FFFFFF"/>
        <w:spacing w:before="0" w:beforeAutospacing="0" w:after="0" w:afterAutospacing="0"/>
        <w:ind w:left="284" w:firstLine="60"/>
        <w:jc w:val="both"/>
        <w:rPr>
          <w:rFonts w:ascii="Arial" w:hAnsi="Arial" w:cs="Arial"/>
          <w:color w:val="000000" w:themeColor="text1"/>
        </w:rPr>
      </w:pPr>
    </w:p>
    <w:p w14:paraId="2E660F58" w14:textId="78DAD92D" w:rsidR="00501427" w:rsidRDefault="00501427" w:rsidP="00501427">
      <w:pPr>
        <w:pStyle w:val="yiv6459758197msolistparagraph"/>
        <w:numPr>
          <w:ilvl w:val="0"/>
          <w:numId w:val="41"/>
        </w:numPr>
        <w:shd w:val="clear" w:color="auto" w:fill="FFFFFF"/>
        <w:spacing w:before="0" w:beforeAutospacing="0" w:after="0" w:afterAutospacing="0"/>
        <w:ind w:left="284"/>
        <w:jc w:val="both"/>
        <w:rPr>
          <w:rFonts w:ascii="Arial" w:hAnsi="Arial" w:cs="Arial"/>
          <w:color w:val="000000" w:themeColor="text1"/>
        </w:rPr>
      </w:pPr>
      <w:r w:rsidRPr="00837D5A">
        <w:rPr>
          <w:rFonts w:ascii="Arial" w:hAnsi="Arial" w:cs="Arial"/>
          <w:color w:val="000000" w:themeColor="text1"/>
        </w:rPr>
        <w:t xml:space="preserve">Contribuições para o Programa de Formação do Patrimônio do Servidor Público - PASEP e Contribuição para o Financiamento da Seguridade Social </w:t>
      </w:r>
      <w:r w:rsidR="00F82BE5">
        <w:rPr>
          <w:rFonts w:ascii="Arial" w:hAnsi="Arial" w:cs="Arial"/>
          <w:color w:val="000000" w:themeColor="text1"/>
        </w:rPr>
        <w:t>–</w:t>
      </w:r>
      <w:r w:rsidRPr="00837D5A">
        <w:rPr>
          <w:rFonts w:ascii="Arial" w:hAnsi="Arial" w:cs="Arial"/>
          <w:color w:val="000000" w:themeColor="text1"/>
        </w:rPr>
        <w:t xml:space="preserve"> COFINS</w:t>
      </w:r>
    </w:p>
    <w:p w14:paraId="074AE7DC" w14:textId="77777777" w:rsidR="00F82BE5" w:rsidRPr="00837D5A" w:rsidRDefault="00F82BE5" w:rsidP="00F82BE5">
      <w:pPr>
        <w:pStyle w:val="yiv6459758197msolistparagraph"/>
        <w:shd w:val="clear" w:color="auto" w:fill="FFFFFF"/>
        <w:spacing w:before="0" w:beforeAutospacing="0" w:after="0" w:afterAutospacing="0"/>
        <w:ind w:left="284"/>
        <w:jc w:val="both"/>
        <w:rPr>
          <w:rFonts w:ascii="Arial" w:hAnsi="Arial" w:cs="Arial"/>
          <w:color w:val="000000" w:themeColor="text1"/>
        </w:rPr>
      </w:pPr>
    </w:p>
    <w:p w14:paraId="1C675BFE" w14:textId="77777777" w:rsidR="00501427" w:rsidRPr="00837D5A" w:rsidRDefault="00501427" w:rsidP="00501427">
      <w:pPr>
        <w:pStyle w:val="yiv6459758197msolistparagraph"/>
        <w:shd w:val="clear" w:color="auto" w:fill="FFFFFF"/>
        <w:spacing w:before="0" w:beforeAutospacing="0" w:after="0" w:afterAutospacing="0"/>
        <w:ind w:left="284"/>
        <w:jc w:val="both"/>
        <w:rPr>
          <w:rFonts w:ascii="Arial" w:hAnsi="Arial" w:cs="Arial"/>
          <w:color w:val="000000" w:themeColor="text1"/>
        </w:rPr>
      </w:pPr>
      <w:r w:rsidRPr="00837D5A">
        <w:rPr>
          <w:rFonts w:ascii="Arial" w:hAnsi="Arial" w:cs="Arial"/>
          <w:color w:val="000000" w:themeColor="text1"/>
        </w:rPr>
        <w:t>Por meio da Portaria nº 139 do Ministério da Economia, de 03.04.2020, foram prorrogados os prazos para o recolhimento das contribuições para o PASEP e COFINS, relativas as competências de março e abril de 2020, para serem recolhidas juntamente com as competências referente a julho e setembro de 2020, postergando pagamentos estimados da ordem de R$ 50 milhões;</w:t>
      </w:r>
    </w:p>
    <w:p w14:paraId="4440DB84" w14:textId="77777777" w:rsidR="00501427" w:rsidRPr="00837D5A" w:rsidRDefault="00501427" w:rsidP="00501427">
      <w:pPr>
        <w:pStyle w:val="yiv6459758197msolistparagraph"/>
        <w:shd w:val="clear" w:color="auto" w:fill="FFFFFF"/>
        <w:spacing w:before="0" w:beforeAutospacing="0" w:after="0" w:afterAutospacing="0"/>
        <w:ind w:left="284" w:firstLine="60"/>
        <w:jc w:val="both"/>
        <w:rPr>
          <w:rFonts w:ascii="Arial" w:hAnsi="Arial" w:cs="Arial"/>
          <w:color w:val="000000" w:themeColor="text1"/>
        </w:rPr>
      </w:pPr>
    </w:p>
    <w:p w14:paraId="0732324B" w14:textId="77777777" w:rsidR="00501427" w:rsidRDefault="00501427" w:rsidP="00501427">
      <w:pPr>
        <w:pStyle w:val="yiv6459758197msolistparagraph"/>
        <w:numPr>
          <w:ilvl w:val="0"/>
          <w:numId w:val="41"/>
        </w:numPr>
        <w:shd w:val="clear" w:color="auto" w:fill="FFFFFF"/>
        <w:spacing w:before="0" w:beforeAutospacing="0" w:after="0" w:afterAutospacing="0"/>
        <w:ind w:left="284"/>
        <w:jc w:val="both"/>
        <w:rPr>
          <w:rFonts w:ascii="Arial" w:hAnsi="Arial" w:cs="Arial"/>
          <w:color w:val="000000" w:themeColor="text1"/>
        </w:rPr>
      </w:pPr>
      <w:r w:rsidRPr="00837D5A">
        <w:rPr>
          <w:rFonts w:ascii="Arial" w:hAnsi="Arial" w:cs="Arial"/>
          <w:color w:val="000000" w:themeColor="text1"/>
        </w:rPr>
        <w:t>Fundo de Garantia do Tempo de Serviço – FGTS</w:t>
      </w:r>
    </w:p>
    <w:p w14:paraId="16042B1F" w14:textId="77777777" w:rsidR="00F82BE5" w:rsidRPr="00837D5A" w:rsidRDefault="00F82BE5" w:rsidP="00F82BE5">
      <w:pPr>
        <w:pStyle w:val="yiv6459758197msolistparagraph"/>
        <w:shd w:val="clear" w:color="auto" w:fill="FFFFFF"/>
        <w:spacing w:before="0" w:beforeAutospacing="0" w:after="0" w:afterAutospacing="0"/>
        <w:ind w:left="284"/>
        <w:jc w:val="both"/>
        <w:rPr>
          <w:rFonts w:ascii="Arial" w:hAnsi="Arial" w:cs="Arial"/>
          <w:color w:val="000000" w:themeColor="text1"/>
        </w:rPr>
      </w:pPr>
    </w:p>
    <w:p w14:paraId="2BC02AD5" w14:textId="77777777" w:rsidR="00501427" w:rsidRPr="00837D5A" w:rsidRDefault="00501427" w:rsidP="00501427">
      <w:pPr>
        <w:pStyle w:val="yiv6459758197msolistparagraph"/>
        <w:shd w:val="clear" w:color="auto" w:fill="FFFFFF"/>
        <w:spacing w:before="0" w:beforeAutospacing="0" w:after="0" w:afterAutospacing="0"/>
        <w:ind w:left="284"/>
        <w:jc w:val="both"/>
        <w:rPr>
          <w:rFonts w:ascii="Arial" w:hAnsi="Arial" w:cs="Arial"/>
          <w:color w:val="000000" w:themeColor="text1"/>
        </w:rPr>
      </w:pPr>
      <w:r w:rsidRPr="00837D5A">
        <w:rPr>
          <w:rFonts w:ascii="Arial" w:hAnsi="Arial" w:cs="Arial"/>
          <w:color w:val="000000" w:themeColor="text1"/>
        </w:rPr>
        <w:t>Por meio da Medida Provisória nº 927, de 22.03.2020, foi autorizado o diferimento do pagamento das competências referentes a abril, maio e junho de 2020 do Fundo de Garantia do Tempo de Serviço – FGTS, em 6 (seis) parcelas, com início em 7 (sete) de julho de 2020, postergando desembolsos estimados em R$ 7,8 milhões, aproximadamente;</w:t>
      </w:r>
    </w:p>
    <w:p w14:paraId="06380114" w14:textId="77777777" w:rsidR="00501427" w:rsidRPr="00837D5A" w:rsidRDefault="00501427" w:rsidP="00501427">
      <w:pPr>
        <w:pStyle w:val="yiv6459758197msolistparagraph"/>
        <w:shd w:val="clear" w:color="auto" w:fill="FFFFFF"/>
        <w:spacing w:before="0" w:beforeAutospacing="0" w:after="0" w:afterAutospacing="0"/>
        <w:ind w:left="284" w:firstLine="60"/>
        <w:jc w:val="both"/>
        <w:rPr>
          <w:rFonts w:ascii="Arial" w:hAnsi="Arial" w:cs="Arial"/>
          <w:color w:val="000000" w:themeColor="text1"/>
        </w:rPr>
      </w:pPr>
    </w:p>
    <w:p w14:paraId="2D8E0B9F" w14:textId="77777777" w:rsidR="00501427" w:rsidRDefault="00501427" w:rsidP="00501427">
      <w:pPr>
        <w:pStyle w:val="yiv6459758197msolistparagraph"/>
        <w:numPr>
          <w:ilvl w:val="0"/>
          <w:numId w:val="41"/>
        </w:numPr>
        <w:shd w:val="clear" w:color="auto" w:fill="FFFFFF"/>
        <w:spacing w:before="0" w:beforeAutospacing="0" w:after="0" w:afterAutospacing="0"/>
        <w:ind w:left="284"/>
        <w:jc w:val="both"/>
        <w:rPr>
          <w:rFonts w:ascii="Arial" w:hAnsi="Arial" w:cs="Arial"/>
          <w:color w:val="000000" w:themeColor="text1"/>
        </w:rPr>
      </w:pPr>
      <w:r w:rsidRPr="00837D5A">
        <w:rPr>
          <w:rFonts w:ascii="Arial" w:hAnsi="Arial" w:cs="Arial"/>
          <w:color w:val="000000" w:themeColor="text1"/>
        </w:rPr>
        <w:t xml:space="preserve">Fundo de </w:t>
      </w:r>
      <w:proofErr w:type="spellStart"/>
      <w:r w:rsidRPr="00837D5A">
        <w:rPr>
          <w:rFonts w:ascii="Arial" w:hAnsi="Arial" w:cs="Arial"/>
          <w:color w:val="000000" w:themeColor="text1"/>
        </w:rPr>
        <w:t>Descomissionamento</w:t>
      </w:r>
      <w:proofErr w:type="spellEnd"/>
    </w:p>
    <w:p w14:paraId="38F70DD8" w14:textId="77777777" w:rsidR="00F82BE5" w:rsidRPr="00837D5A" w:rsidRDefault="00F82BE5" w:rsidP="00F82BE5">
      <w:pPr>
        <w:pStyle w:val="yiv6459758197msolistparagraph"/>
        <w:shd w:val="clear" w:color="auto" w:fill="FFFFFF"/>
        <w:spacing w:before="0" w:beforeAutospacing="0" w:after="0" w:afterAutospacing="0"/>
        <w:ind w:left="284"/>
        <w:jc w:val="both"/>
        <w:rPr>
          <w:rFonts w:ascii="Arial" w:hAnsi="Arial" w:cs="Arial"/>
          <w:color w:val="000000" w:themeColor="text1"/>
        </w:rPr>
      </w:pPr>
    </w:p>
    <w:p w14:paraId="3D60A4CF" w14:textId="77777777" w:rsidR="00501427" w:rsidRPr="00837D5A" w:rsidRDefault="00501427" w:rsidP="00501427">
      <w:pPr>
        <w:pStyle w:val="yiv6459758197msolistparagraph"/>
        <w:shd w:val="clear" w:color="auto" w:fill="FFFFFF"/>
        <w:spacing w:before="0" w:beforeAutospacing="0" w:after="0" w:afterAutospacing="0"/>
        <w:ind w:left="284"/>
        <w:jc w:val="both"/>
        <w:rPr>
          <w:rFonts w:ascii="Arial" w:hAnsi="Arial" w:cs="Arial"/>
          <w:color w:val="000000" w:themeColor="text1"/>
        </w:rPr>
      </w:pPr>
      <w:r w:rsidRPr="00837D5A">
        <w:rPr>
          <w:rFonts w:ascii="Arial" w:hAnsi="Arial" w:cs="Arial"/>
          <w:color w:val="000000" w:themeColor="text1"/>
        </w:rPr>
        <w:t xml:space="preserve">Suspensão temporária do pagamento das parcelas mensais do Fundo de </w:t>
      </w:r>
      <w:proofErr w:type="spellStart"/>
      <w:r w:rsidRPr="00837D5A">
        <w:rPr>
          <w:rFonts w:ascii="Arial" w:hAnsi="Arial" w:cs="Arial"/>
          <w:color w:val="000000" w:themeColor="text1"/>
        </w:rPr>
        <w:t>Descomissionamento</w:t>
      </w:r>
      <w:proofErr w:type="spellEnd"/>
      <w:r w:rsidRPr="00837D5A">
        <w:rPr>
          <w:rFonts w:ascii="Arial" w:hAnsi="Arial" w:cs="Arial"/>
          <w:color w:val="000000" w:themeColor="text1"/>
        </w:rPr>
        <w:t>, referentes aos meses de abril, maio e junho, com pagamento futuro ainda no exercício de 2020, representando recursos diferidos de aproximadamente R$ 45 milhões. A Companhia notificou a Comissão Nacional de Energia Nuclear - CNEN, por meio da Carta P-069/20 de 17 de abril de 2020, sobre esta situação.</w:t>
      </w:r>
    </w:p>
    <w:p w14:paraId="3F9F6F11" w14:textId="77777777" w:rsidR="00501427" w:rsidRDefault="00501427" w:rsidP="00501427">
      <w:pPr>
        <w:widowControl/>
        <w:tabs>
          <w:tab w:val="num" w:pos="360"/>
        </w:tabs>
        <w:jc w:val="both"/>
        <w:rPr>
          <w:rFonts w:ascii="Arial" w:hAnsi="Arial" w:cs="Arial"/>
        </w:rPr>
      </w:pPr>
    </w:p>
    <w:p w14:paraId="6274BF28" w14:textId="77777777" w:rsidR="00501427" w:rsidRDefault="00501427" w:rsidP="00501427">
      <w:pPr>
        <w:widowControl/>
        <w:tabs>
          <w:tab w:val="num" w:pos="360"/>
        </w:tabs>
        <w:jc w:val="both"/>
        <w:rPr>
          <w:rFonts w:ascii="Arial" w:hAnsi="Arial" w:cs="Arial"/>
        </w:rPr>
      </w:pPr>
    </w:p>
    <w:p w14:paraId="33D65585"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xml:space="preserve">- Análise de </w:t>
      </w:r>
      <w:proofErr w:type="spellStart"/>
      <w:r w:rsidRPr="00A35743">
        <w:rPr>
          <w:rFonts w:ascii="Arial" w:hAnsi="Arial" w:cs="Arial"/>
          <w:color w:val="000000" w:themeColor="text1"/>
        </w:rPr>
        <w:t>recuperabilidade</w:t>
      </w:r>
      <w:proofErr w:type="spellEnd"/>
      <w:r w:rsidRPr="00A35743">
        <w:rPr>
          <w:rFonts w:ascii="Arial" w:hAnsi="Arial" w:cs="Arial"/>
          <w:color w:val="000000" w:themeColor="text1"/>
        </w:rPr>
        <w:t xml:space="preserve"> de ativos de longo prazo – </w:t>
      </w:r>
      <w:proofErr w:type="spellStart"/>
      <w:r w:rsidRPr="00A35743">
        <w:rPr>
          <w:rFonts w:ascii="Arial" w:hAnsi="Arial" w:cs="Arial"/>
          <w:color w:val="000000" w:themeColor="text1"/>
        </w:rPr>
        <w:t>Impairment</w:t>
      </w:r>
      <w:proofErr w:type="spellEnd"/>
    </w:p>
    <w:p w14:paraId="409BB00D"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2FBDA94E"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xml:space="preserve">Conforme o disposto no CPC-01 – Redução de valor recuperável, é necessário verificar a </w:t>
      </w:r>
      <w:proofErr w:type="spellStart"/>
      <w:r w:rsidRPr="00A35743">
        <w:rPr>
          <w:rFonts w:ascii="Arial" w:hAnsi="Arial" w:cs="Arial"/>
          <w:color w:val="000000" w:themeColor="text1"/>
        </w:rPr>
        <w:t>recuperabilidade</w:t>
      </w:r>
      <w:proofErr w:type="spellEnd"/>
      <w:r w:rsidRPr="00A35743">
        <w:rPr>
          <w:rFonts w:ascii="Arial" w:hAnsi="Arial" w:cs="Arial"/>
          <w:color w:val="000000" w:themeColor="text1"/>
        </w:rPr>
        <w:t xml:space="preserve"> dos ativos quando mudanças significativas ocorreram durante o período (ou ocorrerão em futuro próximo) no mercado ou no ambiente econômico em que a entidade opera e essas mudanças terão um efeito adverso sobre a entidade, ou quando o valor contábil do patrimônio líquido da entidade for superior à sua capitalização de mercado.</w:t>
      </w:r>
    </w:p>
    <w:p w14:paraId="1A14F339"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30C39C0A"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No panorama atual devido à pandemia, de fato observa-se mudança significativa no ambiente econômico do País, porém, até o momento, vislumbra-se pouco impacto nas projeções de receita e operacionais da companhia. </w:t>
      </w:r>
    </w:p>
    <w:p w14:paraId="5B45E64D"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23A0FA6E"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Desta forma, no momento não se vislumbra necessidade de atualização do teste de </w:t>
      </w:r>
      <w:proofErr w:type="spellStart"/>
      <w:r w:rsidRPr="00A35743">
        <w:rPr>
          <w:rFonts w:ascii="Arial" w:hAnsi="Arial" w:cs="Arial"/>
          <w:color w:val="000000" w:themeColor="text1"/>
        </w:rPr>
        <w:t>impairment</w:t>
      </w:r>
      <w:proofErr w:type="spellEnd"/>
      <w:r w:rsidRPr="00A35743">
        <w:rPr>
          <w:rFonts w:ascii="Arial" w:hAnsi="Arial" w:cs="Arial"/>
          <w:color w:val="000000" w:themeColor="text1"/>
        </w:rPr>
        <w:t xml:space="preserve"> realizado com as informações financeiras do quarto trimestre de 2019. Entretanto, a Companhia sensibilizou os testes de seus ativos relevantes, em especial Angra 3, que já possui provisão de </w:t>
      </w:r>
      <w:proofErr w:type="spellStart"/>
      <w:r w:rsidRPr="00A35743">
        <w:rPr>
          <w:rFonts w:ascii="Arial" w:hAnsi="Arial" w:cs="Arial"/>
          <w:color w:val="000000" w:themeColor="text1"/>
        </w:rPr>
        <w:t>recuperabilidade</w:t>
      </w:r>
      <w:proofErr w:type="spellEnd"/>
      <w:r w:rsidRPr="00A35743">
        <w:rPr>
          <w:rFonts w:ascii="Arial" w:hAnsi="Arial" w:cs="Arial"/>
          <w:color w:val="000000" w:themeColor="text1"/>
        </w:rPr>
        <w:t xml:space="preserve"> registrada e não foi encontrada necessidade de incremento de provisão em relação às provisões ora registradas. </w:t>
      </w:r>
    </w:p>
    <w:p w14:paraId="71B41B5C"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258A8A9D"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4EF47BFB" w14:textId="77777777" w:rsidR="00501427" w:rsidRPr="00A35743" w:rsidRDefault="00501427" w:rsidP="00501427">
      <w:pPr>
        <w:widowControl/>
        <w:spacing w:line="240" w:lineRule="auto"/>
        <w:jc w:val="both"/>
        <w:rPr>
          <w:rFonts w:ascii="Arial" w:hAnsi="Arial" w:cs="Arial"/>
          <w:color w:val="000000" w:themeColor="text1"/>
        </w:rPr>
      </w:pPr>
      <w:r w:rsidRPr="00A35743">
        <w:rPr>
          <w:rFonts w:ascii="Arial" w:hAnsi="Arial" w:cs="Arial"/>
          <w:color w:val="000000" w:themeColor="text1"/>
        </w:rPr>
        <w:t>- Perdas esperadas de créditos de liquidação duvidosa</w:t>
      </w:r>
    </w:p>
    <w:p w14:paraId="144528F3"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3C40A0CF"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A emergência de saúde pública de caráter internacional causada pela COVID-19 terá sérios impactos na economia mundial assim como na economia brasileira. Ademais, vem sendo esperada uma queda de faturamento dos agentes do setor elétrico decorrente da retração da atividade econômica, principalmente dos segmentos comercial e industrial.</w:t>
      </w:r>
    </w:p>
    <w:p w14:paraId="1665F753" w14:textId="77777777" w:rsidR="00501427" w:rsidRPr="00A35743" w:rsidRDefault="00501427" w:rsidP="00501427">
      <w:pPr>
        <w:jc w:val="both"/>
        <w:rPr>
          <w:rFonts w:ascii="Arial" w:hAnsi="Arial" w:cs="Arial"/>
          <w:color w:val="000000" w:themeColor="text1"/>
        </w:rPr>
      </w:pPr>
    </w:p>
    <w:p w14:paraId="60CDE1A0"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xml:space="preserve">Há uma preocupação em especial com as Distribuidoras de energia em caso de inadimplência dos consumidores. O mesmo se diga quanto a potencial queda de demanda de energia e </w:t>
      </w:r>
      <w:proofErr w:type="spellStart"/>
      <w:r w:rsidRPr="00A35743">
        <w:rPr>
          <w:rFonts w:ascii="Arial" w:hAnsi="Arial" w:cs="Arial"/>
          <w:color w:val="000000" w:themeColor="text1"/>
        </w:rPr>
        <w:t>sobrecontratação</w:t>
      </w:r>
      <w:proofErr w:type="spellEnd"/>
      <w:r w:rsidRPr="00A35743">
        <w:rPr>
          <w:rFonts w:ascii="Arial" w:hAnsi="Arial" w:cs="Arial"/>
          <w:color w:val="000000" w:themeColor="text1"/>
        </w:rPr>
        <w:t xml:space="preserve"> das Distribuidoras nos ambientes livre e regulado de comercialização.</w:t>
      </w:r>
    </w:p>
    <w:p w14:paraId="555592FC"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4EF4C1E9"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Em virtude da possibilidade de uma crise sistêmica, a ANEEL e o MME têm procurado soluções de contorno e recentemente por meio do Decreto nº10.350 de 2020 promulgou uma série de medidas destinadas a cobrir o possível déficit de arrecadação das distribuidoras de energia elétrica, denominado “Conta-COVID”. As medidas serão via empréstimos tomados pela Câmara de Comercialização de Energia Elétrica (CCEE) e servirão para cobrir déficits ou antecipar receitas das distribuidoras com diversos itens de abril a dezembro de 2020. A Companhia entende que esse Decreto representa um reforço de caixa para o segmento de distribuição de energia e mitigará eventuais inadimplências futuras.</w:t>
      </w:r>
    </w:p>
    <w:p w14:paraId="1EBFE4DC" w14:textId="77777777" w:rsidR="00501427" w:rsidRPr="00A35743" w:rsidRDefault="00501427" w:rsidP="00501427">
      <w:pPr>
        <w:jc w:val="both"/>
        <w:rPr>
          <w:rFonts w:ascii="Arial" w:hAnsi="Arial" w:cs="Arial"/>
          <w:color w:val="000000" w:themeColor="text1"/>
        </w:rPr>
      </w:pPr>
    </w:p>
    <w:p w14:paraId="42BB7DE6"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 Avaliação atuarial dos planos de benefício pós-emprego</w:t>
      </w:r>
    </w:p>
    <w:p w14:paraId="2DD9C051"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15B39C26"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xml:space="preserve">Em virtude do cenário econômico observado na data base de 31 de março de 2020, a Companhia sensibilizou dois dos principais componentes utilizados para a mensuração dos passivos atuariais dos benefícios pós-emprego, notadamente aqueles relacionados aos benefícios de aposentadoria. Os componentes para os quais foram observadas alterações significativas foram o valor justo dos ativos e as taxas de descontos utilizadas para descontar as obrigações de benefícios pós-emprego, substancialmente mensuradas pela NTN-B e não foi identificado efeitos relevantes. </w:t>
      </w:r>
    </w:p>
    <w:p w14:paraId="267A248A" w14:textId="77777777" w:rsidR="00501427" w:rsidRPr="00A35743" w:rsidRDefault="00501427" w:rsidP="00501427">
      <w:pPr>
        <w:jc w:val="both"/>
        <w:rPr>
          <w:rFonts w:ascii="Arial" w:hAnsi="Arial" w:cs="Arial"/>
          <w:color w:val="000000" w:themeColor="text1"/>
        </w:rPr>
      </w:pPr>
      <w:r w:rsidRPr="00A35743">
        <w:rPr>
          <w:rFonts w:ascii="Arial" w:hAnsi="Arial" w:cs="Arial"/>
          <w:color w:val="000000" w:themeColor="text1"/>
        </w:rPr>
        <w:t> </w:t>
      </w:r>
    </w:p>
    <w:p w14:paraId="36D88798" w14:textId="77777777" w:rsidR="00501427" w:rsidRPr="001B7721" w:rsidRDefault="00501427" w:rsidP="00501427">
      <w:pPr>
        <w:jc w:val="both"/>
        <w:rPr>
          <w:rFonts w:ascii="Arial" w:hAnsi="Arial" w:cs="Arial"/>
          <w:color w:val="000000" w:themeColor="text1"/>
        </w:rPr>
      </w:pPr>
      <w:r w:rsidRPr="00A35743">
        <w:rPr>
          <w:rFonts w:ascii="Arial" w:hAnsi="Arial" w:cs="Arial"/>
          <w:color w:val="000000" w:themeColor="text1"/>
        </w:rPr>
        <w:t>A Companhia irá manter o acompanhamento de seus saldos atuariais e realizará ajustes no passivo atuarial quando se apresentarem relevantes.</w:t>
      </w:r>
    </w:p>
    <w:p w14:paraId="59FEEC5B" w14:textId="77777777" w:rsidR="00501427" w:rsidRDefault="00501427" w:rsidP="005144E2">
      <w:pPr>
        <w:widowControl/>
        <w:tabs>
          <w:tab w:val="left" w:pos="142"/>
        </w:tabs>
        <w:jc w:val="both"/>
        <w:rPr>
          <w:rFonts w:ascii="Arial" w:hAnsi="Arial" w:cs="Arial"/>
        </w:rPr>
      </w:pPr>
    </w:p>
    <w:p w14:paraId="23BE3587" w14:textId="77777777" w:rsidR="00501427" w:rsidRDefault="00501427" w:rsidP="005144E2">
      <w:pPr>
        <w:widowControl/>
        <w:tabs>
          <w:tab w:val="left" w:pos="142"/>
        </w:tabs>
        <w:jc w:val="both"/>
        <w:rPr>
          <w:rFonts w:ascii="Arial" w:hAnsi="Arial" w:cs="Arial"/>
        </w:rPr>
      </w:pPr>
    </w:p>
    <w:p w14:paraId="5A1EA501" w14:textId="77777777" w:rsidR="00564B7A" w:rsidRDefault="00564B7A" w:rsidP="005144E2">
      <w:pPr>
        <w:widowControl/>
        <w:tabs>
          <w:tab w:val="left" w:pos="142"/>
        </w:tabs>
        <w:jc w:val="both"/>
        <w:rPr>
          <w:rFonts w:ascii="Arial" w:hAnsi="Arial" w:cs="Arial"/>
        </w:rPr>
      </w:pPr>
    </w:p>
    <w:p w14:paraId="64ACF240" w14:textId="77777777" w:rsidR="00564B7A" w:rsidRPr="00F45A1F" w:rsidRDefault="00564B7A" w:rsidP="005144E2">
      <w:pPr>
        <w:widowControl/>
        <w:tabs>
          <w:tab w:val="left" w:pos="142"/>
        </w:tabs>
        <w:jc w:val="both"/>
        <w:rPr>
          <w:rFonts w:ascii="Arial" w:hAnsi="Arial" w:cs="Arial"/>
        </w:rPr>
      </w:pPr>
    </w:p>
    <w:p w14:paraId="6E625EAA" w14:textId="77777777" w:rsidR="00BB3E7B" w:rsidRPr="00F45A1F" w:rsidRDefault="00BB3E7B" w:rsidP="005144E2">
      <w:pPr>
        <w:widowControl/>
        <w:tabs>
          <w:tab w:val="left" w:pos="142"/>
        </w:tabs>
        <w:jc w:val="both"/>
        <w:rPr>
          <w:rFonts w:ascii="Arial" w:hAnsi="Arial" w:cs="Arial"/>
        </w:rPr>
      </w:pPr>
    </w:p>
    <w:p w14:paraId="4ED6A01C" w14:textId="3FC52065" w:rsidR="003F4719" w:rsidRPr="00F45A1F" w:rsidRDefault="003F4719" w:rsidP="005144E2">
      <w:pPr>
        <w:widowControl/>
        <w:tabs>
          <w:tab w:val="left" w:pos="142"/>
        </w:tabs>
        <w:jc w:val="both"/>
        <w:rPr>
          <w:rFonts w:ascii="Arial" w:hAnsi="Arial" w:cs="Arial"/>
          <w:b/>
          <w:sz w:val="26"/>
          <w:szCs w:val="26"/>
        </w:rPr>
      </w:pPr>
      <w:r w:rsidRPr="00F45A1F">
        <w:rPr>
          <w:rFonts w:ascii="Arial" w:hAnsi="Arial" w:cs="Arial"/>
          <w:b/>
          <w:sz w:val="26"/>
          <w:szCs w:val="26"/>
        </w:rPr>
        <w:t>NOTA 2 – PREPARAÇÃO E APRESENTAÇÃO DAS DEMONSTRAÇÕES FINANCEIRAS</w:t>
      </w:r>
      <w:r w:rsidR="00950652">
        <w:rPr>
          <w:rFonts w:ascii="Arial" w:hAnsi="Arial" w:cs="Arial"/>
          <w:b/>
          <w:sz w:val="26"/>
          <w:szCs w:val="26"/>
        </w:rPr>
        <w:t xml:space="preserve"> INTERMEDIÁRIAS</w:t>
      </w:r>
    </w:p>
    <w:p w14:paraId="1AC931DC" w14:textId="77777777" w:rsidR="003F4719" w:rsidRPr="00F45A1F" w:rsidRDefault="003F4719" w:rsidP="005144E2">
      <w:pPr>
        <w:widowControl/>
        <w:tabs>
          <w:tab w:val="left" w:pos="142"/>
        </w:tabs>
        <w:jc w:val="both"/>
        <w:rPr>
          <w:rFonts w:ascii="Arial" w:hAnsi="Arial" w:cs="Arial"/>
          <w:b/>
        </w:rPr>
      </w:pPr>
    </w:p>
    <w:p w14:paraId="7F1F3074" w14:textId="77777777" w:rsidR="0085155A" w:rsidRPr="00F45A1F" w:rsidRDefault="0085155A" w:rsidP="005144E2">
      <w:pPr>
        <w:jc w:val="both"/>
        <w:rPr>
          <w:rFonts w:ascii="Arial" w:hAnsi="Arial" w:cs="Arial"/>
          <w:sz w:val="16"/>
          <w:szCs w:val="16"/>
        </w:rPr>
      </w:pPr>
    </w:p>
    <w:p w14:paraId="6A92D08B" w14:textId="77777777" w:rsidR="00DF5D8C" w:rsidRDefault="00DF5D8C" w:rsidP="005144E2">
      <w:pPr>
        <w:widowControl/>
        <w:tabs>
          <w:tab w:val="left" w:pos="142"/>
        </w:tabs>
        <w:jc w:val="both"/>
        <w:rPr>
          <w:rFonts w:ascii="Arial" w:hAnsi="Arial" w:cs="Arial"/>
          <w:b/>
        </w:rPr>
      </w:pPr>
      <w:r w:rsidRPr="00F45A1F">
        <w:rPr>
          <w:rFonts w:ascii="Arial" w:hAnsi="Arial" w:cs="Arial"/>
          <w:b/>
        </w:rPr>
        <w:t>a) Base de preparação</w:t>
      </w:r>
    </w:p>
    <w:p w14:paraId="1D574ED2" w14:textId="77777777" w:rsidR="002E0711" w:rsidRPr="00F45A1F" w:rsidRDefault="002E0711" w:rsidP="005144E2">
      <w:pPr>
        <w:widowControl/>
        <w:tabs>
          <w:tab w:val="left" w:pos="142"/>
        </w:tabs>
        <w:jc w:val="both"/>
        <w:rPr>
          <w:rFonts w:ascii="Arial" w:hAnsi="Arial" w:cs="Arial"/>
          <w:b/>
        </w:rPr>
      </w:pPr>
    </w:p>
    <w:p w14:paraId="39779E77" w14:textId="77777777" w:rsidR="002E0711" w:rsidRPr="0092576D" w:rsidRDefault="002E0711" w:rsidP="002E0711">
      <w:pPr>
        <w:jc w:val="both"/>
        <w:rPr>
          <w:rFonts w:ascii="Arial" w:hAnsi="Arial"/>
          <w:szCs w:val="20"/>
        </w:rPr>
      </w:pPr>
      <w:r w:rsidRPr="0092576D">
        <w:rPr>
          <w:rFonts w:ascii="Arial" w:hAnsi="Arial"/>
          <w:szCs w:val="20"/>
        </w:rPr>
        <w:t xml:space="preserve">As demonstrações </w:t>
      </w:r>
      <w:r w:rsidRPr="0092576D">
        <w:rPr>
          <w:rFonts w:ascii="Arial" w:hAnsi="Arial" w:cs="Arial"/>
        </w:rPr>
        <w:t>financeiras</w:t>
      </w:r>
      <w:r>
        <w:rPr>
          <w:rFonts w:ascii="Arial" w:hAnsi="Arial" w:cs="Arial"/>
        </w:rPr>
        <w:t xml:space="preserve"> intermediárias relativas ao período de três meses findos em 31 de março de 2020 foram elaboradas e</w:t>
      </w:r>
      <w:r w:rsidRPr="0092576D">
        <w:rPr>
          <w:rFonts w:ascii="Arial" w:hAnsi="Arial" w:cs="Arial"/>
        </w:rPr>
        <w:t xml:space="preserve"> </w:t>
      </w:r>
      <w:r w:rsidRPr="0092576D">
        <w:rPr>
          <w:rFonts w:ascii="Arial" w:hAnsi="Arial"/>
          <w:szCs w:val="20"/>
        </w:rPr>
        <w:t>estão</w:t>
      </w:r>
      <w:proofErr w:type="gramStart"/>
      <w:r w:rsidRPr="0092576D">
        <w:rPr>
          <w:rFonts w:ascii="Arial" w:hAnsi="Arial"/>
          <w:szCs w:val="20"/>
        </w:rPr>
        <w:t xml:space="preserve">  </w:t>
      </w:r>
      <w:proofErr w:type="gramEnd"/>
      <w:r w:rsidRPr="0092576D">
        <w:rPr>
          <w:rFonts w:ascii="Arial" w:hAnsi="Arial"/>
          <w:szCs w:val="20"/>
        </w:rPr>
        <w:t xml:space="preserve">apresentadas conforme as práticas contábeis adotadas no Brasil </w:t>
      </w:r>
      <w:r>
        <w:rPr>
          <w:rFonts w:ascii="Arial" w:hAnsi="Arial"/>
          <w:szCs w:val="20"/>
        </w:rPr>
        <w:t xml:space="preserve">(BR GAAP) </w:t>
      </w:r>
      <w:r w:rsidRPr="0092576D">
        <w:rPr>
          <w:rFonts w:ascii="Arial" w:hAnsi="Arial"/>
          <w:szCs w:val="20"/>
        </w:rPr>
        <w:t>emitidas pelo Comitê de Pronunciamentos Contábeis - CPC</w:t>
      </w:r>
      <w:r>
        <w:rPr>
          <w:rFonts w:ascii="Arial" w:hAnsi="Arial"/>
          <w:szCs w:val="20"/>
        </w:rPr>
        <w:t>.</w:t>
      </w:r>
    </w:p>
    <w:p w14:paraId="3D06FC58" w14:textId="77777777" w:rsidR="00DF5D8C" w:rsidRPr="00F45A1F" w:rsidRDefault="00DF5D8C" w:rsidP="005144E2">
      <w:pPr>
        <w:tabs>
          <w:tab w:val="left" w:pos="1470"/>
        </w:tabs>
        <w:jc w:val="both"/>
        <w:rPr>
          <w:rFonts w:ascii="Arial" w:hAnsi="Arial" w:cs="Arial"/>
        </w:rPr>
      </w:pPr>
    </w:p>
    <w:p w14:paraId="053D520B" w14:textId="3A9F42D9" w:rsidR="00724ABD" w:rsidRPr="00F45A1F" w:rsidRDefault="00724ABD" w:rsidP="005144E2">
      <w:pPr>
        <w:jc w:val="both"/>
        <w:rPr>
          <w:rFonts w:ascii="Arial" w:hAnsi="Arial" w:cs="Arial"/>
        </w:rPr>
      </w:pPr>
      <w:r w:rsidRPr="00F45A1F">
        <w:rPr>
          <w:rFonts w:ascii="Arial" w:hAnsi="Arial" w:cs="Arial"/>
        </w:rPr>
        <w:t xml:space="preserve">As demonstrações financeiras </w:t>
      </w:r>
      <w:r w:rsidR="00CC01D3">
        <w:rPr>
          <w:rFonts w:ascii="Arial" w:hAnsi="Arial" w:cs="Arial"/>
        </w:rPr>
        <w:t xml:space="preserve">intermediárias </w:t>
      </w:r>
      <w:r w:rsidRPr="00F45A1F">
        <w:rPr>
          <w:rFonts w:ascii="Arial" w:hAnsi="Arial" w:cs="Arial"/>
        </w:rPr>
        <w:t xml:space="preserve">foram preparadas considerando o custo histórico como base de valor, </w:t>
      </w:r>
      <w:r w:rsidR="00447842" w:rsidRPr="00F45A1F">
        <w:rPr>
          <w:rFonts w:ascii="Arial" w:hAnsi="Arial" w:cs="Arial"/>
        </w:rPr>
        <w:t>com</w:t>
      </w:r>
      <w:r w:rsidRPr="00F45A1F">
        <w:rPr>
          <w:rFonts w:ascii="Arial" w:hAnsi="Arial" w:cs="Arial"/>
        </w:rPr>
        <w:t xml:space="preserve"> exceção de certos ativos e passivos financeiros (inclusive instrumentos derivativos) mensurados a valor justo</w:t>
      </w:r>
      <w:r w:rsidR="00AD3BF1" w:rsidRPr="00F45A1F">
        <w:rPr>
          <w:rFonts w:ascii="Arial" w:hAnsi="Arial" w:cs="Arial"/>
        </w:rPr>
        <w:t>.</w:t>
      </w:r>
    </w:p>
    <w:p w14:paraId="1C8120A1" w14:textId="77777777" w:rsidR="00724ABD" w:rsidRPr="00F45A1F" w:rsidRDefault="00724ABD" w:rsidP="005144E2">
      <w:pPr>
        <w:jc w:val="both"/>
        <w:rPr>
          <w:rFonts w:ascii="Arial" w:hAnsi="Arial" w:cs="Arial"/>
        </w:rPr>
      </w:pPr>
    </w:p>
    <w:p w14:paraId="20CD6F8C" w14:textId="4562970A" w:rsidR="00D201D3" w:rsidRDefault="00D201D3" w:rsidP="005144E2">
      <w:pPr>
        <w:widowControl/>
        <w:tabs>
          <w:tab w:val="left" w:pos="142"/>
        </w:tabs>
        <w:jc w:val="both"/>
        <w:rPr>
          <w:rFonts w:ascii="Arial" w:hAnsi="Arial" w:cs="Arial"/>
        </w:rPr>
      </w:pPr>
      <w:proofErr w:type="gramStart"/>
      <w:r w:rsidRPr="00F45A1F">
        <w:rPr>
          <w:rFonts w:ascii="Arial" w:hAnsi="Arial" w:cs="Arial"/>
        </w:rPr>
        <w:t>As presentes</w:t>
      </w:r>
      <w:proofErr w:type="gramEnd"/>
      <w:r w:rsidRPr="00F45A1F">
        <w:rPr>
          <w:rFonts w:ascii="Arial" w:hAnsi="Arial" w:cs="Arial"/>
        </w:rPr>
        <w:t xml:space="preserve"> demonstrações financeiras</w:t>
      </w:r>
      <w:r w:rsidR="00CC01D3">
        <w:rPr>
          <w:rFonts w:ascii="Arial" w:hAnsi="Arial" w:cs="Arial"/>
        </w:rPr>
        <w:t xml:space="preserve"> intermediárias</w:t>
      </w:r>
      <w:r w:rsidRPr="00F45A1F">
        <w:rPr>
          <w:rFonts w:ascii="Arial" w:hAnsi="Arial" w:cs="Arial"/>
        </w:rPr>
        <w:t xml:space="preserve"> foram aprovadas pel</w:t>
      </w:r>
      <w:r w:rsidR="00F52580" w:rsidRPr="00F45A1F">
        <w:rPr>
          <w:rFonts w:ascii="Arial" w:hAnsi="Arial" w:cs="Arial"/>
        </w:rPr>
        <w:t>a</w:t>
      </w:r>
      <w:r w:rsidR="00A90330" w:rsidRPr="00F45A1F">
        <w:rPr>
          <w:rFonts w:ascii="Arial" w:hAnsi="Arial" w:cs="Arial"/>
        </w:rPr>
        <w:t xml:space="preserve"> </w:t>
      </w:r>
      <w:r w:rsidR="00F52580" w:rsidRPr="00F45A1F">
        <w:rPr>
          <w:rFonts w:ascii="Arial" w:hAnsi="Arial" w:cs="Arial"/>
        </w:rPr>
        <w:t>Diretoria Executiva</w:t>
      </w:r>
      <w:r w:rsidRPr="00F45A1F">
        <w:rPr>
          <w:rFonts w:ascii="Arial" w:hAnsi="Arial" w:cs="Arial"/>
        </w:rPr>
        <w:t xml:space="preserve"> em </w:t>
      </w:r>
      <w:r w:rsidR="001F3865">
        <w:rPr>
          <w:rFonts w:ascii="Arial" w:hAnsi="Arial" w:cs="Arial"/>
        </w:rPr>
        <w:t>2</w:t>
      </w:r>
      <w:r w:rsidR="00A06E95">
        <w:rPr>
          <w:rFonts w:ascii="Arial" w:hAnsi="Arial" w:cs="Arial"/>
        </w:rPr>
        <w:t>8</w:t>
      </w:r>
      <w:r w:rsidR="00A90330" w:rsidRPr="00F45A1F">
        <w:rPr>
          <w:rFonts w:ascii="Arial" w:hAnsi="Arial" w:cs="Arial"/>
        </w:rPr>
        <w:t xml:space="preserve"> </w:t>
      </w:r>
      <w:r w:rsidR="00A66E6B" w:rsidRPr="00F45A1F">
        <w:rPr>
          <w:rFonts w:ascii="Arial" w:hAnsi="Arial" w:cs="Arial"/>
        </w:rPr>
        <w:t xml:space="preserve">de </w:t>
      </w:r>
      <w:r w:rsidR="005C2072" w:rsidRPr="00F45A1F">
        <w:rPr>
          <w:rFonts w:ascii="Arial" w:hAnsi="Arial" w:cs="Arial"/>
        </w:rPr>
        <w:t>m</w:t>
      </w:r>
      <w:r w:rsidR="008324BC" w:rsidRPr="00F45A1F">
        <w:rPr>
          <w:rFonts w:ascii="Arial" w:hAnsi="Arial" w:cs="Arial"/>
        </w:rPr>
        <w:t>a</w:t>
      </w:r>
      <w:r w:rsidR="008917F0" w:rsidRPr="00F45A1F">
        <w:rPr>
          <w:rFonts w:ascii="Arial" w:hAnsi="Arial" w:cs="Arial"/>
        </w:rPr>
        <w:t>io</w:t>
      </w:r>
      <w:r w:rsidR="008324BC" w:rsidRPr="00F45A1F">
        <w:rPr>
          <w:rFonts w:ascii="Arial" w:hAnsi="Arial" w:cs="Arial"/>
        </w:rPr>
        <w:t xml:space="preserve"> </w:t>
      </w:r>
      <w:r w:rsidR="00A66E6B" w:rsidRPr="00F45A1F">
        <w:rPr>
          <w:rFonts w:ascii="Arial" w:hAnsi="Arial" w:cs="Arial"/>
        </w:rPr>
        <w:t xml:space="preserve">de </w:t>
      </w:r>
      <w:r w:rsidR="00447842" w:rsidRPr="00F45A1F">
        <w:rPr>
          <w:rFonts w:ascii="Arial" w:hAnsi="Arial" w:cs="Arial"/>
        </w:rPr>
        <w:t>20</w:t>
      </w:r>
      <w:r w:rsidR="008324BC" w:rsidRPr="00F45A1F">
        <w:rPr>
          <w:rFonts w:ascii="Arial" w:hAnsi="Arial" w:cs="Arial"/>
        </w:rPr>
        <w:t>20</w:t>
      </w:r>
      <w:r w:rsidRPr="00F45A1F">
        <w:rPr>
          <w:rFonts w:ascii="Arial" w:hAnsi="Arial" w:cs="Arial"/>
        </w:rPr>
        <w:t>.</w:t>
      </w:r>
      <w:r w:rsidR="004D7D3C" w:rsidRPr="00F45A1F">
        <w:rPr>
          <w:rFonts w:ascii="Arial" w:hAnsi="Arial" w:cs="Arial"/>
        </w:rPr>
        <w:t xml:space="preserve"> </w:t>
      </w:r>
    </w:p>
    <w:p w14:paraId="043D0409" w14:textId="77777777" w:rsidR="002E0711" w:rsidRDefault="002E0711" w:rsidP="005144E2">
      <w:pPr>
        <w:widowControl/>
        <w:tabs>
          <w:tab w:val="left" w:pos="142"/>
        </w:tabs>
        <w:jc w:val="both"/>
        <w:rPr>
          <w:rFonts w:ascii="Arial" w:hAnsi="Arial" w:cs="Arial"/>
        </w:rPr>
      </w:pPr>
    </w:p>
    <w:p w14:paraId="62C7FB76" w14:textId="79DB06D1" w:rsidR="002E0711" w:rsidRDefault="002E0711" w:rsidP="005144E2">
      <w:pPr>
        <w:widowControl/>
        <w:tabs>
          <w:tab w:val="left" w:pos="142"/>
        </w:tabs>
        <w:jc w:val="both"/>
        <w:rPr>
          <w:rFonts w:ascii="Arial" w:hAnsi="Arial" w:cs="Arial"/>
        </w:rPr>
      </w:pPr>
      <w:r w:rsidRPr="0092576D">
        <w:rPr>
          <w:rFonts w:ascii="Arial" w:hAnsi="Arial" w:cs="Arial"/>
        </w:rPr>
        <w:t>A preparação de demonstrações financeiras</w:t>
      </w:r>
      <w:r w:rsidR="00CC01D3">
        <w:rPr>
          <w:rFonts w:ascii="Arial" w:hAnsi="Arial" w:cs="Arial"/>
        </w:rPr>
        <w:t xml:space="preserve"> intermediárias</w:t>
      </w:r>
      <w:r w:rsidRPr="0092576D">
        <w:rPr>
          <w:rFonts w:ascii="Arial" w:hAnsi="Arial" w:cs="Arial"/>
        </w:rPr>
        <w:t xml:space="preserve"> requer o uso de certas estimativas contábeis críticas e, também, o exercício de julgamento por parte da administração da Companhia no processo de apli</w:t>
      </w:r>
      <w:bookmarkStart w:id="0" w:name="_GoBack"/>
      <w:bookmarkEnd w:id="0"/>
      <w:r w:rsidRPr="0092576D">
        <w:rPr>
          <w:rFonts w:ascii="Arial" w:hAnsi="Arial" w:cs="Arial"/>
        </w:rPr>
        <w:t>cação das políticas contábeis. Aquelas áreas que requerem maior nível de julgamento e possuem maior complexidade, bem como as áreas nas quais premissas e estimativas são significativas para as demonstrações financeiras, estão divulgadas na Nota 3.1.</w:t>
      </w:r>
      <w:r>
        <w:rPr>
          <w:rFonts w:ascii="Arial" w:hAnsi="Arial" w:cs="Arial"/>
        </w:rPr>
        <w:t xml:space="preserve"> </w:t>
      </w:r>
      <w:proofErr w:type="gramStart"/>
      <w:r>
        <w:rPr>
          <w:rFonts w:ascii="Arial" w:hAnsi="Arial" w:cs="Arial"/>
        </w:rPr>
        <w:t>das</w:t>
      </w:r>
      <w:proofErr w:type="gramEnd"/>
      <w:r>
        <w:rPr>
          <w:rFonts w:ascii="Arial" w:hAnsi="Arial" w:cs="Arial"/>
        </w:rPr>
        <w:t xml:space="preserve"> </w:t>
      </w:r>
      <w:r w:rsidRPr="003F087B">
        <w:rPr>
          <w:rFonts w:ascii="Arial" w:hAnsi="Arial" w:cs="Arial"/>
        </w:rPr>
        <w:t xml:space="preserve">demonstrações financeiras da Companhia </w:t>
      </w:r>
      <w:r>
        <w:rPr>
          <w:rFonts w:ascii="Arial" w:hAnsi="Arial" w:cs="Arial"/>
        </w:rPr>
        <w:t xml:space="preserve">para </w:t>
      </w:r>
      <w:r w:rsidRPr="003F087B">
        <w:rPr>
          <w:rFonts w:ascii="Arial" w:hAnsi="Arial" w:cs="Arial"/>
        </w:rPr>
        <w:t>o exercício findo em 31 de dezembro de 201</w:t>
      </w:r>
      <w:r>
        <w:rPr>
          <w:rFonts w:ascii="Arial" w:hAnsi="Arial" w:cs="Arial"/>
        </w:rPr>
        <w:t>9, divulgadas no jornal Valor Econômico</w:t>
      </w:r>
      <w:r w:rsidRPr="00160C87">
        <w:rPr>
          <w:rFonts w:ascii="Arial" w:hAnsi="Arial" w:cs="Arial"/>
        </w:rPr>
        <w:t xml:space="preserve">, no dia </w:t>
      </w:r>
      <w:r>
        <w:rPr>
          <w:rFonts w:ascii="Arial" w:hAnsi="Arial" w:cs="Arial"/>
        </w:rPr>
        <w:t>20</w:t>
      </w:r>
      <w:r w:rsidRPr="00160C87">
        <w:rPr>
          <w:rFonts w:ascii="Arial" w:hAnsi="Arial" w:cs="Arial"/>
        </w:rPr>
        <w:t xml:space="preserve"> de abril de 20</w:t>
      </w:r>
      <w:r>
        <w:rPr>
          <w:rFonts w:ascii="Arial" w:hAnsi="Arial" w:cs="Arial"/>
        </w:rPr>
        <w:t>20</w:t>
      </w:r>
      <w:r w:rsidRPr="00160C87">
        <w:rPr>
          <w:rFonts w:ascii="Arial" w:hAnsi="Arial" w:cs="Arial"/>
        </w:rPr>
        <w:t xml:space="preserve"> e no website da Companhia. </w:t>
      </w:r>
      <w:r w:rsidRPr="00F41C77">
        <w:rPr>
          <w:rFonts w:ascii="Arial" w:hAnsi="Arial" w:cs="Arial"/>
        </w:rPr>
        <w:t>Não houve alteração significativa em relação a essas premissas e estimativas ao longo do período findo em 3</w:t>
      </w:r>
      <w:r>
        <w:rPr>
          <w:rFonts w:ascii="Arial" w:hAnsi="Arial" w:cs="Arial"/>
        </w:rPr>
        <w:t>1</w:t>
      </w:r>
      <w:r w:rsidRPr="00F41C77">
        <w:rPr>
          <w:rFonts w:ascii="Arial" w:hAnsi="Arial" w:cs="Arial"/>
        </w:rPr>
        <w:t xml:space="preserve"> de </w:t>
      </w:r>
      <w:r>
        <w:rPr>
          <w:rFonts w:ascii="Arial" w:hAnsi="Arial" w:cs="Arial"/>
        </w:rPr>
        <w:t>março d</w:t>
      </w:r>
      <w:r w:rsidRPr="00F41C77">
        <w:rPr>
          <w:rFonts w:ascii="Arial" w:hAnsi="Arial" w:cs="Arial"/>
        </w:rPr>
        <w:t>e 2019</w:t>
      </w:r>
    </w:p>
    <w:p w14:paraId="03A6C242" w14:textId="77777777" w:rsidR="00D201D3" w:rsidRPr="00F45A1F" w:rsidRDefault="00D201D3" w:rsidP="005144E2">
      <w:pPr>
        <w:widowControl/>
        <w:tabs>
          <w:tab w:val="left" w:pos="142"/>
        </w:tabs>
        <w:jc w:val="both"/>
        <w:rPr>
          <w:rFonts w:ascii="Arial" w:hAnsi="Arial" w:cs="Arial"/>
        </w:rPr>
      </w:pPr>
    </w:p>
    <w:p w14:paraId="2F770F5B" w14:textId="12D1831A" w:rsidR="00D201D3" w:rsidRPr="00F45A1F" w:rsidRDefault="00D201D3" w:rsidP="005144E2">
      <w:pPr>
        <w:jc w:val="both"/>
        <w:rPr>
          <w:rFonts w:ascii="Arial" w:hAnsi="Arial" w:cs="Arial"/>
        </w:rPr>
      </w:pPr>
      <w:r w:rsidRPr="00F45A1F">
        <w:rPr>
          <w:rFonts w:ascii="Arial" w:hAnsi="Arial" w:cs="Arial"/>
        </w:rPr>
        <w:t xml:space="preserve">A Administração da </w:t>
      </w:r>
      <w:r w:rsidR="00564576" w:rsidRPr="00F45A1F">
        <w:rPr>
          <w:rFonts w:ascii="Arial" w:hAnsi="Arial" w:cs="Arial"/>
        </w:rPr>
        <w:t>C</w:t>
      </w:r>
      <w:r w:rsidRPr="00F45A1F">
        <w:rPr>
          <w:rFonts w:ascii="Arial" w:hAnsi="Arial" w:cs="Arial"/>
        </w:rPr>
        <w:t>ompanhia confirma que todas as informações relevantes próprias das Demonstrações Financeiras</w:t>
      </w:r>
      <w:r w:rsidR="00CC01D3">
        <w:rPr>
          <w:rFonts w:ascii="Arial" w:hAnsi="Arial" w:cs="Arial"/>
        </w:rPr>
        <w:t xml:space="preserve"> Intermediárias</w:t>
      </w:r>
      <w:r w:rsidRPr="00F45A1F">
        <w:rPr>
          <w:rFonts w:ascii="Arial" w:hAnsi="Arial" w:cs="Arial"/>
        </w:rPr>
        <w:t>, e somente elas, estão sendo evidenciadas, e que correspondem às utilizadas por ela na sua gestão.</w:t>
      </w:r>
    </w:p>
    <w:p w14:paraId="0594E470" w14:textId="77777777" w:rsidR="006A28C5" w:rsidRPr="00F45A1F" w:rsidRDefault="006A28C5" w:rsidP="005144E2">
      <w:pPr>
        <w:jc w:val="both"/>
        <w:rPr>
          <w:rFonts w:ascii="Arial" w:hAnsi="Arial" w:cs="Arial"/>
        </w:rPr>
      </w:pPr>
    </w:p>
    <w:p w14:paraId="3C0C5004" w14:textId="77777777" w:rsidR="0085155A" w:rsidRPr="00F45A1F" w:rsidRDefault="0085155A" w:rsidP="005144E2">
      <w:pPr>
        <w:jc w:val="both"/>
        <w:rPr>
          <w:rFonts w:ascii="Arial" w:hAnsi="Arial" w:cs="Arial"/>
          <w:sz w:val="16"/>
          <w:szCs w:val="16"/>
        </w:rPr>
      </w:pPr>
    </w:p>
    <w:p w14:paraId="3F666D30" w14:textId="77777777" w:rsidR="005D014B" w:rsidRPr="00F45A1F" w:rsidRDefault="005A785B" w:rsidP="005144E2">
      <w:pPr>
        <w:jc w:val="both"/>
        <w:rPr>
          <w:rFonts w:ascii="Arial" w:hAnsi="Arial" w:cs="Arial"/>
          <w:b/>
        </w:rPr>
      </w:pPr>
      <w:r w:rsidRPr="00F45A1F">
        <w:rPr>
          <w:rFonts w:ascii="Arial" w:hAnsi="Arial" w:cs="Arial"/>
          <w:b/>
        </w:rPr>
        <w:t>Moeda funcional e de apresentação</w:t>
      </w:r>
    </w:p>
    <w:p w14:paraId="5777AC11" w14:textId="77777777" w:rsidR="003F4719" w:rsidRPr="00F45A1F" w:rsidRDefault="003F4719" w:rsidP="005144E2">
      <w:pPr>
        <w:jc w:val="both"/>
        <w:rPr>
          <w:rFonts w:ascii="Arial" w:hAnsi="Arial" w:cs="Arial"/>
        </w:rPr>
      </w:pPr>
    </w:p>
    <w:p w14:paraId="2510FC04" w14:textId="77777777" w:rsidR="005D014B" w:rsidRPr="00F45A1F" w:rsidRDefault="005D014B" w:rsidP="005144E2">
      <w:pPr>
        <w:widowControl/>
        <w:jc w:val="both"/>
        <w:rPr>
          <w:rFonts w:ascii="Arial" w:hAnsi="Arial" w:cs="Arial"/>
        </w:rPr>
      </w:pPr>
      <w:r w:rsidRPr="00F45A1F">
        <w:rPr>
          <w:rFonts w:ascii="Arial" w:hAnsi="Arial" w:cs="Arial"/>
        </w:rPr>
        <w:t>A moeda funcional da Companhia é o Real. Transações em moeda estrangeira são convertidas para a moeda funcional pelas taxas de câmbio nas datas das transações. Ativos e passivos monetários denominados e apurados em moedas estrangeiras na data do balanço são convertidos para a moeda funcional à taxa de câmbio naquela data. Ativos e passivos não monetários que são mensurados pelo valor justo em moeda estrangeira são convertidos para a moeda funcional à taxa de câmbio na data em que o valor justo foi determinado. Itens não monetários que são mensurados com base no custo histórico em moeda estrangeira são convertidos pela taxa de câmbio na data da transação. As diferenças de moedas estrangeiras resultantes da conversão são geralmente reconhecidas no resultado.</w:t>
      </w:r>
    </w:p>
    <w:p w14:paraId="17A0F840" w14:textId="77777777" w:rsidR="008167EF" w:rsidRPr="00F45A1F" w:rsidRDefault="008167EF" w:rsidP="005144E2">
      <w:pPr>
        <w:widowControl/>
        <w:jc w:val="both"/>
        <w:rPr>
          <w:rFonts w:ascii="Arial" w:hAnsi="Arial" w:cs="Arial"/>
        </w:rPr>
      </w:pPr>
    </w:p>
    <w:p w14:paraId="15607E14" w14:textId="77777777" w:rsidR="005D014B" w:rsidRPr="00F45A1F" w:rsidRDefault="005D014B" w:rsidP="005144E2">
      <w:pPr>
        <w:widowControl/>
        <w:jc w:val="both"/>
        <w:rPr>
          <w:rFonts w:ascii="Arial" w:hAnsi="Arial" w:cs="Arial"/>
        </w:rPr>
      </w:pPr>
      <w:r w:rsidRPr="00F45A1F">
        <w:rPr>
          <w:rFonts w:ascii="Arial" w:hAnsi="Arial" w:cs="Arial"/>
        </w:rPr>
        <w:t>As taxas utilizadas na conversão da moeda estrangeira para a moeda funcional da Companhia estão apresentadas abaixo:</w:t>
      </w:r>
    </w:p>
    <w:p w14:paraId="31D17C0A" w14:textId="77777777" w:rsidR="00B22721" w:rsidRPr="00F45A1F" w:rsidRDefault="00B22721" w:rsidP="005144E2">
      <w:pPr>
        <w:widowControl/>
        <w:jc w:val="both"/>
        <w:rPr>
          <w:rFonts w:ascii="Arial" w:hAnsi="Arial" w:cs="Arial"/>
          <w:sz w:val="16"/>
          <w:szCs w:val="16"/>
        </w:rPr>
      </w:pPr>
    </w:p>
    <w:p w14:paraId="4C905D01" w14:textId="77777777" w:rsidR="00371848" w:rsidRPr="00F45A1F" w:rsidRDefault="00B22721" w:rsidP="005144E2">
      <w:pPr>
        <w:widowControl/>
        <w:jc w:val="both"/>
        <w:rPr>
          <w:rFonts w:ascii="Arial" w:hAnsi="Arial" w:cs="Arial"/>
        </w:rPr>
      </w:pPr>
      <w:r w:rsidRPr="00F45A1F">
        <w:rPr>
          <w:noProof/>
        </w:rPr>
        <w:drawing>
          <wp:inline distT="0" distB="0" distL="0" distR="0" wp14:anchorId="3E125134" wp14:editId="5FC2176C">
            <wp:extent cx="6073140" cy="1146046"/>
            <wp:effectExtent l="0" t="0" r="381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3140" cy="1146046"/>
                    </a:xfrm>
                    <a:prstGeom prst="rect">
                      <a:avLst/>
                    </a:prstGeom>
                    <a:noFill/>
                    <a:ln>
                      <a:noFill/>
                    </a:ln>
                  </pic:spPr>
                </pic:pic>
              </a:graphicData>
            </a:graphic>
          </wp:inline>
        </w:drawing>
      </w:r>
    </w:p>
    <w:p w14:paraId="594CD33E" w14:textId="77777777" w:rsidR="00333A6A" w:rsidRPr="00F45A1F" w:rsidRDefault="00333A6A" w:rsidP="005144E2">
      <w:pPr>
        <w:widowControl/>
        <w:jc w:val="both"/>
        <w:rPr>
          <w:rFonts w:ascii="Arial" w:hAnsi="Arial" w:cs="Arial"/>
        </w:rPr>
      </w:pPr>
    </w:p>
    <w:p w14:paraId="7350D03B" w14:textId="77777777" w:rsidR="00333A6A" w:rsidRPr="00F45A1F" w:rsidRDefault="00333A6A" w:rsidP="005144E2">
      <w:pPr>
        <w:widowControl/>
        <w:jc w:val="both"/>
        <w:rPr>
          <w:rFonts w:ascii="Arial" w:hAnsi="Arial" w:cs="Arial"/>
          <w:sz w:val="16"/>
          <w:szCs w:val="16"/>
        </w:rPr>
      </w:pPr>
    </w:p>
    <w:p w14:paraId="7E51580C" w14:textId="77777777" w:rsidR="00876D35" w:rsidRPr="00F45A1F" w:rsidRDefault="00876D35" w:rsidP="00876D35">
      <w:pPr>
        <w:rPr>
          <w:rFonts w:ascii="Arial" w:hAnsi="Arial" w:cs="Arial"/>
          <w:b/>
          <w:bCs/>
        </w:rPr>
      </w:pPr>
      <w:r w:rsidRPr="00F45A1F">
        <w:rPr>
          <w:rFonts w:ascii="Arial" w:hAnsi="Arial" w:cs="Arial"/>
          <w:b/>
          <w:bCs/>
        </w:rPr>
        <w:t>- Demonstração do Valor Adicionado (“DVA”)</w:t>
      </w:r>
      <w:r w:rsidR="00545AE5" w:rsidRPr="00F45A1F">
        <w:rPr>
          <w:rFonts w:ascii="Arial" w:hAnsi="Arial" w:cs="Arial"/>
          <w:b/>
          <w:bCs/>
        </w:rPr>
        <w:t xml:space="preserve"> </w:t>
      </w:r>
    </w:p>
    <w:p w14:paraId="11ABC4DD" w14:textId="77777777" w:rsidR="00876D35" w:rsidRPr="00F45A1F" w:rsidRDefault="00876D35" w:rsidP="00876D35">
      <w:pPr>
        <w:jc w:val="both"/>
        <w:rPr>
          <w:rFonts w:ascii="Arial" w:hAnsi="Arial" w:cs="Arial"/>
          <w:sz w:val="16"/>
          <w:szCs w:val="16"/>
        </w:rPr>
      </w:pPr>
    </w:p>
    <w:p w14:paraId="05AC198C" w14:textId="0BA9ACBA" w:rsidR="00876D35" w:rsidRPr="00F45A1F" w:rsidRDefault="00876D35" w:rsidP="00876D35">
      <w:pPr>
        <w:jc w:val="both"/>
        <w:rPr>
          <w:rFonts w:ascii="Arial" w:hAnsi="Arial" w:cs="Arial"/>
        </w:rPr>
      </w:pPr>
      <w:r w:rsidRPr="00F45A1F">
        <w:rPr>
          <w:rFonts w:ascii="Arial" w:hAnsi="Arial" w:cs="Arial"/>
        </w:rPr>
        <w:t>A Companhia elaborou Demonstração do Valor Adicionado (DVA) nos termos do pronunciamento técnico CPC 09 - Demonstração do Valor Adicionado, as quais são apresentadas como informação suplementar das demonstrações financeiras</w:t>
      </w:r>
      <w:r w:rsidR="00950652">
        <w:rPr>
          <w:rFonts w:ascii="Arial" w:hAnsi="Arial" w:cs="Arial"/>
        </w:rPr>
        <w:t xml:space="preserve"> intermediárias</w:t>
      </w:r>
      <w:r w:rsidRPr="00F45A1F">
        <w:rPr>
          <w:rFonts w:ascii="Arial" w:hAnsi="Arial" w:cs="Arial"/>
        </w:rPr>
        <w:t>.</w:t>
      </w:r>
    </w:p>
    <w:p w14:paraId="365CB95F" w14:textId="77777777" w:rsidR="00876D35" w:rsidRPr="00F45A1F" w:rsidRDefault="00876D35" w:rsidP="00350320">
      <w:pPr>
        <w:ind w:left="1134"/>
        <w:jc w:val="both"/>
        <w:rPr>
          <w:rFonts w:ascii="Arial" w:hAnsi="Arial" w:cs="Arial"/>
        </w:rPr>
      </w:pPr>
    </w:p>
    <w:p w14:paraId="1E403D1E" w14:textId="77777777" w:rsidR="003F7AA5" w:rsidRPr="00F45A1F" w:rsidRDefault="003F7AA5" w:rsidP="00350320">
      <w:pPr>
        <w:ind w:left="1134"/>
        <w:jc w:val="both"/>
        <w:rPr>
          <w:rFonts w:ascii="Arial" w:hAnsi="Arial" w:cs="Arial"/>
        </w:rPr>
      </w:pPr>
    </w:p>
    <w:p w14:paraId="1068F3C9" w14:textId="77777777" w:rsidR="00CC01D3" w:rsidRPr="00F45A1F" w:rsidRDefault="00CC01D3" w:rsidP="00350320">
      <w:pPr>
        <w:ind w:left="1134"/>
        <w:jc w:val="both"/>
        <w:rPr>
          <w:rFonts w:ascii="Arial" w:hAnsi="Arial" w:cs="Arial"/>
        </w:rPr>
      </w:pPr>
    </w:p>
    <w:p w14:paraId="2FD49150" w14:textId="77777777" w:rsidR="00333A6A" w:rsidRPr="00F45A1F" w:rsidRDefault="00333A6A" w:rsidP="00350320">
      <w:pPr>
        <w:ind w:left="1134"/>
        <w:jc w:val="both"/>
        <w:rPr>
          <w:rFonts w:ascii="Arial" w:hAnsi="Arial" w:cs="Arial"/>
        </w:rPr>
      </w:pPr>
    </w:p>
    <w:p w14:paraId="08D77DD6" w14:textId="77777777" w:rsidR="003F7AA5" w:rsidRPr="00F45A1F" w:rsidRDefault="003F7AA5" w:rsidP="003F7AA5">
      <w:pPr>
        <w:widowControl/>
        <w:ind w:left="505" w:hanging="505"/>
        <w:jc w:val="both"/>
        <w:outlineLvl w:val="0"/>
        <w:rPr>
          <w:rFonts w:ascii="Arial" w:hAnsi="Arial" w:cs="Arial"/>
          <w:b/>
          <w:bCs/>
          <w:sz w:val="26"/>
          <w:szCs w:val="26"/>
        </w:rPr>
      </w:pPr>
      <w:r w:rsidRPr="00F45A1F">
        <w:rPr>
          <w:rFonts w:ascii="Arial" w:hAnsi="Arial" w:cs="Arial"/>
          <w:b/>
          <w:bCs/>
          <w:sz w:val="26"/>
          <w:szCs w:val="26"/>
        </w:rPr>
        <w:t>NOTA 3 – DESCRIÇÃO DAS PRINCIPAIS PRÁTICAS CONTÁBEIS ADOTADAS</w:t>
      </w:r>
    </w:p>
    <w:p w14:paraId="4E033111" w14:textId="77777777" w:rsidR="003F7AA5" w:rsidRPr="00F45A1F" w:rsidRDefault="003F7AA5" w:rsidP="003F7AA5">
      <w:pPr>
        <w:widowControl/>
        <w:ind w:left="505" w:hanging="505"/>
        <w:jc w:val="both"/>
        <w:outlineLvl w:val="0"/>
        <w:rPr>
          <w:rFonts w:ascii="Arial" w:hAnsi="Arial" w:cs="Arial"/>
          <w:b/>
          <w:bCs/>
        </w:rPr>
      </w:pPr>
    </w:p>
    <w:p w14:paraId="61AEE6B0" w14:textId="77777777" w:rsidR="003334D3" w:rsidRPr="00F45A1F" w:rsidRDefault="00C27B98" w:rsidP="00333A6A">
      <w:pPr>
        <w:jc w:val="both"/>
        <w:rPr>
          <w:rFonts w:ascii="Arial" w:hAnsi="Arial" w:cs="Arial"/>
          <w:b/>
        </w:rPr>
      </w:pPr>
      <w:r w:rsidRPr="00F45A1F">
        <w:rPr>
          <w:rFonts w:ascii="Arial" w:hAnsi="Arial" w:cs="Arial"/>
          <w:szCs w:val="20"/>
        </w:rPr>
        <w:t xml:space="preserve">As práticas contábeis e os métodos de cálculo utilizados na preparação dessas demonstrações </w:t>
      </w:r>
      <w:r w:rsidRPr="00F45A1F">
        <w:rPr>
          <w:rFonts w:ascii="Arial" w:hAnsi="Arial" w:cs="Arial"/>
        </w:rPr>
        <w:t>financeiras intermediárias são os mesmos adotados na preparação das demonstrações financeiras da Companhia do exercício findo em 31 de dezembro de 201</w:t>
      </w:r>
      <w:r w:rsidR="00333A6A" w:rsidRPr="00F45A1F">
        <w:rPr>
          <w:rFonts w:ascii="Arial" w:hAnsi="Arial" w:cs="Arial"/>
        </w:rPr>
        <w:t>9</w:t>
      </w:r>
      <w:r w:rsidRPr="00F45A1F">
        <w:rPr>
          <w:rFonts w:ascii="Arial" w:hAnsi="Arial" w:cs="Arial"/>
        </w:rPr>
        <w:t>, divulgadas no jornal Valor Econômico, no dia 20 de abril de 2020 e no website da Companhia</w:t>
      </w:r>
      <w:r w:rsidR="00333A6A" w:rsidRPr="00F45A1F">
        <w:rPr>
          <w:rFonts w:ascii="Arial" w:hAnsi="Arial" w:cs="Arial"/>
        </w:rPr>
        <w:t>.</w:t>
      </w:r>
      <w:r w:rsidR="00333A6A" w:rsidRPr="00F45A1F">
        <w:rPr>
          <w:rFonts w:ascii="Arial" w:hAnsi="Arial" w:cs="Arial"/>
          <w:b/>
        </w:rPr>
        <w:t xml:space="preserve"> </w:t>
      </w:r>
    </w:p>
    <w:p w14:paraId="0DD4CA7A" w14:textId="77777777" w:rsidR="003334D3" w:rsidRPr="00F45A1F" w:rsidRDefault="003334D3" w:rsidP="005144E2">
      <w:pPr>
        <w:widowControl/>
        <w:jc w:val="both"/>
        <w:rPr>
          <w:rFonts w:ascii="Arial" w:hAnsi="Arial" w:cs="Arial"/>
          <w:b/>
        </w:rPr>
      </w:pPr>
    </w:p>
    <w:p w14:paraId="3BC3372F" w14:textId="77777777" w:rsidR="00333A6A" w:rsidRDefault="00333A6A" w:rsidP="005144E2">
      <w:pPr>
        <w:widowControl/>
        <w:jc w:val="both"/>
        <w:rPr>
          <w:rFonts w:ascii="Arial" w:hAnsi="Arial" w:cs="Arial"/>
          <w:b/>
        </w:rPr>
      </w:pPr>
    </w:p>
    <w:p w14:paraId="036A7799" w14:textId="77777777" w:rsidR="000663DC" w:rsidRDefault="000663DC" w:rsidP="005144E2">
      <w:pPr>
        <w:widowControl/>
        <w:jc w:val="both"/>
        <w:rPr>
          <w:rFonts w:ascii="Arial" w:hAnsi="Arial" w:cs="Arial"/>
          <w:b/>
        </w:rPr>
      </w:pPr>
    </w:p>
    <w:p w14:paraId="267AE74D" w14:textId="77777777" w:rsidR="000663DC" w:rsidRPr="00F45A1F" w:rsidRDefault="000663DC" w:rsidP="005144E2">
      <w:pPr>
        <w:widowControl/>
        <w:jc w:val="both"/>
        <w:rPr>
          <w:rFonts w:ascii="Arial" w:hAnsi="Arial" w:cs="Arial"/>
          <w:b/>
        </w:rPr>
      </w:pPr>
    </w:p>
    <w:p w14:paraId="4B28E1C9" w14:textId="77777777" w:rsidR="003F4719" w:rsidRPr="00F45A1F" w:rsidRDefault="003F4719" w:rsidP="005144E2">
      <w:pPr>
        <w:widowControl/>
        <w:jc w:val="both"/>
        <w:rPr>
          <w:rFonts w:ascii="Arial" w:hAnsi="Arial" w:cs="Arial"/>
          <w:b/>
          <w:sz w:val="26"/>
          <w:szCs w:val="26"/>
        </w:rPr>
      </w:pPr>
      <w:r w:rsidRPr="00F45A1F">
        <w:rPr>
          <w:rFonts w:ascii="Arial" w:hAnsi="Arial" w:cs="Arial"/>
          <w:b/>
          <w:sz w:val="26"/>
          <w:szCs w:val="26"/>
        </w:rPr>
        <w:t>NOTA 4 – INSTRUMENTOS FINANCEIROS E GESTÃO DE RISCO</w:t>
      </w:r>
    </w:p>
    <w:p w14:paraId="7A6AC271" w14:textId="77777777" w:rsidR="002B44FD" w:rsidRPr="00F45A1F" w:rsidRDefault="002B44FD" w:rsidP="005144E2">
      <w:pPr>
        <w:widowControl/>
        <w:jc w:val="both"/>
        <w:rPr>
          <w:rFonts w:ascii="Arial" w:hAnsi="Arial" w:cs="Arial"/>
          <w:b/>
        </w:rPr>
      </w:pPr>
    </w:p>
    <w:p w14:paraId="153A4064" w14:textId="3CC128D4" w:rsidR="0071601B" w:rsidRPr="00F45A1F" w:rsidRDefault="0071601B" w:rsidP="005144E2">
      <w:pPr>
        <w:widowControl/>
        <w:jc w:val="both"/>
        <w:rPr>
          <w:rFonts w:ascii="Arial" w:hAnsi="Arial" w:cs="Arial"/>
        </w:rPr>
      </w:pPr>
      <w:r w:rsidRPr="00F45A1F">
        <w:rPr>
          <w:rFonts w:ascii="Arial" w:hAnsi="Arial" w:cs="Arial"/>
        </w:rPr>
        <w:t xml:space="preserve">As descrições dos saldos contábeis </w:t>
      </w:r>
      <w:r w:rsidR="00447842" w:rsidRPr="00F45A1F">
        <w:rPr>
          <w:rFonts w:ascii="Arial" w:hAnsi="Arial" w:cs="Arial"/>
        </w:rPr>
        <w:t xml:space="preserve">por categoria </w:t>
      </w:r>
      <w:r w:rsidRPr="00F45A1F">
        <w:rPr>
          <w:rFonts w:ascii="Arial" w:hAnsi="Arial" w:cs="Arial"/>
        </w:rPr>
        <w:t xml:space="preserve">dos instrumentos financeiros inclusos nas demonstrações financeiras </w:t>
      </w:r>
      <w:r w:rsidR="00950652">
        <w:rPr>
          <w:rFonts w:ascii="Arial" w:hAnsi="Arial" w:cs="Arial"/>
        </w:rPr>
        <w:t xml:space="preserve">intermediárias </w:t>
      </w:r>
      <w:r w:rsidRPr="00F45A1F">
        <w:rPr>
          <w:rFonts w:ascii="Arial" w:hAnsi="Arial" w:cs="Arial"/>
        </w:rPr>
        <w:t>estão identificadas a seguir:</w:t>
      </w:r>
    </w:p>
    <w:p w14:paraId="76C50AC6" w14:textId="77777777" w:rsidR="001061A3" w:rsidRPr="00F45A1F" w:rsidRDefault="001061A3" w:rsidP="005144E2">
      <w:pPr>
        <w:widowControl/>
        <w:jc w:val="both"/>
        <w:rPr>
          <w:rFonts w:ascii="Arial" w:hAnsi="Arial" w:cs="Arial"/>
          <w:sz w:val="16"/>
          <w:szCs w:val="16"/>
        </w:rPr>
      </w:pPr>
    </w:p>
    <w:p w14:paraId="003B54F4" w14:textId="77777777" w:rsidR="006424F0" w:rsidRPr="00F45A1F" w:rsidRDefault="00B34CC6" w:rsidP="005144E2">
      <w:pPr>
        <w:widowControl/>
        <w:jc w:val="both"/>
        <w:rPr>
          <w:rFonts w:ascii="Arial" w:hAnsi="Arial" w:cs="Arial"/>
        </w:rPr>
      </w:pPr>
      <w:r w:rsidRPr="00F45A1F">
        <w:rPr>
          <w:noProof/>
        </w:rPr>
        <w:drawing>
          <wp:inline distT="0" distB="0" distL="0" distR="0" wp14:anchorId="34097AC7" wp14:editId="6AB7F763">
            <wp:extent cx="6073140" cy="3576579"/>
            <wp:effectExtent l="0" t="0" r="3810" b="508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3140" cy="3576579"/>
                    </a:xfrm>
                    <a:prstGeom prst="rect">
                      <a:avLst/>
                    </a:prstGeom>
                    <a:noFill/>
                    <a:ln>
                      <a:noFill/>
                    </a:ln>
                  </pic:spPr>
                </pic:pic>
              </a:graphicData>
            </a:graphic>
          </wp:inline>
        </w:drawing>
      </w:r>
    </w:p>
    <w:p w14:paraId="7F36D467" w14:textId="77777777" w:rsidR="00A86614" w:rsidRPr="00F45A1F" w:rsidRDefault="00A86614" w:rsidP="005144E2">
      <w:pPr>
        <w:widowControl/>
        <w:jc w:val="both"/>
        <w:rPr>
          <w:rFonts w:ascii="Arial" w:hAnsi="Arial" w:cs="Arial"/>
        </w:rPr>
      </w:pPr>
    </w:p>
    <w:p w14:paraId="757F635C" w14:textId="77777777" w:rsidR="000F6F1C" w:rsidRPr="00F45A1F" w:rsidRDefault="000F6F1C" w:rsidP="005144E2">
      <w:pPr>
        <w:widowControl/>
        <w:jc w:val="both"/>
        <w:rPr>
          <w:rFonts w:ascii="Arial" w:hAnsi="Arial" w:cs="Arial"/>
          <w:sz w:val="16"/>
          <w:szCs w:val="16"/>
        </w:rPr>
      </w:pPr>
    </w:p>
    <w:p w14:paraId="3313B6E2" w14:textId="77777777" w:rsidR="003F4719" w:rsidRPr="00F45A1F" w:rsidRDefault="003F4719" w:rsidP="005144E2">
      <w:pPr>
        <w:widowControl/>
        <w:jc w:val="both"/>
        <w:rPr>
          <w:rFonts w:ascii="Arial" w:hAnsi="Arial" w:cs="Arial"/>
          <w:b/>
        </w:rPr>
      </w:pPr>
      <w:r w:rsidRPr="00F45A1F">
        <w:rPr>
          <w:rFonts w:ascii="Arial" w:hAnsi="Arial" w:cs="Arial"/>
          <w:b/>
        </w:rPr>
        <w:t>4.1 -</w:t>
      </w:r>
      <w:r w:rsidRPr="00F45A1F">
        <w:rPr>
          <w:rFonts w:ascii="Arial" w:hAnsi="Arial" w:cs="Arial"/>
          <w:b/>
        </w:rPr>
        <w:tab/>
        <w:t>Fatores de risco</w:t>
      </w:r>
    </w:p>
    <w:p w14:paraId="165BDCB0" w14:textId="77777777" w:rsidR="0020523C" w:rsidRPr="00F45A1F" w:rsidRDefault="0020523C" w:rsidP="005144E2">
      <w:pPr>
        <w:widowControl/>
        <w:jc w:val="both"/>
        <w:rPr>
          <w:rFonts w:ascii="Arial" w:hAnsi="Arial" w:cs="Arial"/>
          <w:b/>
        </w:rPr>
      </w:pPr>
    </w:p>
    <w:p w14:paraId="5D2E0495" w14:textId="77777777" w:rsidR="003F4719" w:rsidRPr="00F45A1F" w:rsidRDefault="003F4719" w:rsidP="005144E2">
      <w:pPr>
        <w:jc w:val="both"/>
        <w:rPr>
          <w:rFonts w:ascii="Arial" w:hAnsi="Arial" w:cs="Arial"/>
        </w:rPr>
      </w:pPr>
      <w:r w:rsidRPr="00F45A1F">
        <w:rPr>
          <w:rFonts w:ascii="Arial" w:hAnsi="Arial" w:cs="Arial"/>
        </w:rPr>
        <w:t xml:space="preserve">O Conselho de Administração da Companhia </w:t>
      </w:r>
      <w:r w:rsidR="00F56EE3" w:rsidRPr="00F45A1F">
        <w:rPr>
          <w:rFonts w:ascii="Arial" w:hAnsi="Arial" w:cs="Arial"/>
        </w:rPr>
        <w:t xml:space="preserve">- </w:t>
      </w:r>
      <w:r w:rsidRPr="00F45A1F">
        <w:rPr>
          <w:rFonts w:ascii="Arial" w:hAnsi="Arial" w:cs="Arial"/>
        </w:rPr>
        <w:t>CA tem a responsabilidade global para o estabelecimento e supervisão da estrutura de gerenciamento de risco da Companhia. A Auditoria Interna</w:t>
      </w:r>
      <w:r w:rsidR="001061A3" w:rsidRPr="00F45A1F">
        <w:rPr>
          <w:rFonts w:ascii="Arial" w:hAnsi="Arial" w:cs="Arial"/>
        </w:rPr>
        <w:t>,</w:t>
      </w:r>
      <w:r w:rsidRPr="00F45A1F">
        <w:rPr>
          <w:rFonts w:ascii="Arial" w:hAnsi="Arial" w:cs="Arial"/>
        </w:rPr>
        <w:t xml:space="preserve"> a </w:t>
      </w:r>
      <w:r w:rsidR="00A074F4" w:rsidRPr="00F45A1F">
        <w:rPr>
          <w:rFonts w:ascii="Arial" w:hAnsi="Arial" w:cs="Arial"/>
        </w:rPr>
        <w:t>Superintendência de Governança, Gestão de Riscos e Conformidade</w:t>
      </w:r>
      <w:r w:rsidRPr="00F45A1F">
        <w:rPr>
          <w:rFonts w:ascii="Arial" w:hAnsi="Arial" w:cs="Arial"/>
        </w:rPr>
        <w:t xml:space="preserve"> são responsáveis pelo desenvolvimento e acompanhamento das políticas de gerenciamento de risco da Companhia. O reporte de suas atividades é feito regularmente ao Conselho de Administração. </w:t>
      </w:r>
    </w:p>
    <w:p w14:paraId="4972AE42" w14:textId="77777777" w:rsidR="003F4719" w:rsidRPr="00F45A1F" w:rsidRDefault="003F4719" w:rsidP="005144E2">
      <w:pPr>
        <w:widowControl/>
        <w:jc w:val="both"/>
        <w:rPr>
          <w:rFonts w:ascii="Arial" w:hAnsi="Arial" w:cs="Arial"/>
        </w:rPr>
      </w:pPr>
    </w:p>
    <w:p w14:paraId="4F93E38E" w14:textId="77777777" w:rsidR="003F4719" w:rsidRPr="00F45A1F" w:rsidRDefault="003F4719" w:rsidP="005144E2">
      <w:pPr>
        <w:widowControl/>
        <w:jc w:val="both"/>
        <w:rPr>
          <w:rFonts w:ascii="Arial" w:hAnsi="Arial" w:cs="Arial"/>
        </w:rPr>
      </w:pPr>
      <w:r w:rsidRPr="00F45A1F">
        <w:rPr>
          <w:rFonts w:ascii="Arial" w:hAnsi="Arial" w:cs="Arial"/>
        </w:rPr>
        <w:t>As políticas de gerenciamento de risco da Companhia são estabelecidas para identificar e analisar os riscos aos quais a E</w:t>
      </w:r>
      <w:r w:rsidR="00683FE2" w:rsidRPr="00F45A1F">
        <w:rPr>
          <w:rFonts w:ascii="Arial" w:hAnsi="Arial" w:cs="Arial"/>
        </w:rPr>
        <w:t>LETRONUCLEAR</w:t>
      </w:r>
      <w:r w:rsidRPr="00F45A1F">
        <w:rPr>
          <w:rFonts w:ascii="Arial" w:hAnsi="Arial" w:cs="Arial"/>
        </w:rPr>
        <w:t xml:space="preserve"> está exposta, para definir limites de riscos e controles apropriados, e para monitorar os riscos e a aderência aos limites definidos. As políticas de gerenciamento de risco e os sistemas são revisados regularmente para refletir mudanças nas condições de mercado e nas atividades da Companhia. A </w:t>
      </w:r>
      <w:r w:rsidR="007D4391" w:rsidRPr="00F45A1F">
        <w:rPr>
          <w:rFonts w:ascii="Arial" w:hAnsi="Arial" w:cs="Arial"/>
        </w:rPr>
        <w:t>ELETRONUCLEAR</w:t>
      </w:r>
      <w:r w:rsidRPr="00F45A1F">
        <w:rPr>
          <w:rFonts w:ascii="Arial" w:hAnsi="Arial" w:cs="Arial"/>
        </w:rPr>
        <w:t>, através de suas normas e procedimentos de treinamento e gerenciamento, busca manter um ambiente de disciplina e controle, no qual todos os funcionários tenham consciência de suas atribuições e obrigações.</w:t>
      </w:r>
    </w:p>
    <w:p w14:paraId="778DA6A9" w14:textId="77777777" w:rsidR="00D35B83" w:rsidRPr="00F45A1F" w:rsidRDefault="00D35B83" w:rsidP="005144E2">
      <w:pPr>
        <w:widowControl/>
        <w:jc w:val="both"/>
        <w:rPr>
          <w:rFonts w:ascii="Arial" w:hAnsi="Arial" w:cs="Arial"/>
        </w:rPr>
      </w:pPr>
    </w:p>
    <w:p w14:paraId="103F86B3" w14:textId="77777777" w:rsidR="003F4719" w:rsidRPr="00F45A1F" w:rsidRDefault="003F4719" w:rsidP="005144E2">
      <w:pPr>
        <w:widowControl/>
        <w:jc w:val="both"/>
        <w:rPr>
          <w:rFonts w:ascii="Arial" w:hAnsi="Arial" w:cs="Arial"/>
        </w:rPr>
      </w:pPr>
      <w:r w:rsidRPr="00F45A1F">
        <w:rPr>
          <w:rFonts w:ascii="Arial" w:hAnsi="Arial" w:cs="Arial"/>
        </w:rPr>
        <w:t>A Companhia possui exposição aos seguintes riscos:</w:t>
      </w:r>
    </w:p>
    <w:p w14:paraId="701F4AAE" w14:textId="77777777" w:rsidR="006D1F76" w:rsidRPr="00F45A1F" w:rsidRDefault="006D1F76" w:rsidP="005144E2">
      <w:pPr>
        <w:widowControl/>
        <w:jc w:val="both"/>
        <w:rPr>
          <w:rFonts w:ascii="Arial" w:hAnsi="Arial" w:cs="Arial"/>
        </w:rPr>
      </w:pPr>
    </w:p>
    <w:p w14:paraId="7B80E440" w14:textId="77777777" w:rsidR="003F4719" w:rsidRPr="00F45A1F" w:rsidRDefault="003F4719" w:rsidP="005144E2">
      <w:pPr>
        <w:pStyle w:val="PargrafodaLista"/>
        <w:widowControl/>
        <w:numPr>
          <w:ilvl w:val="0"/>
          <w:numId w:val="10"/>
        </w:numPr>
        <w:ind w:left="357" w:hanging="357"/>
        <w:jc w:val="both"/>
        <w:rPr>
          <w:rFonts w:ascii="Arial" w:hAnsi="Arial" w:cs="Arial"/>
        </w:rPr>
      </w:pPr>
      <w:r w:rsidRPr="00F45A1F">
        <w:rPr>
          <w:rFonts w:ascii="Arial" w:hAnsi="Arial" w:cs="Arial"/>
        </w:rPr>
        <w:t>Riscos de mercado</w:t>
      </w:r>
    </w:p>
    <w:p w14:paraId="1AC172F3" w14:textId="77777777" w:rsidR="003F4719" w:rsidRPr="00F45A1F" w:rsidRDefault="003F4719" w:rsidP="005144E2">
      <w:pPr>
        <w:pStyle w:val="PargrafodaLista"/>
        <w:widowControl/>
        <w:numPr>
          <w:ilvl w:val="0"/>
          <w:numId w:val="10"/>
        </w:numPr>
        <w:ind w:left="357" w:hanging="357"/>
        <w:jc w:val="both"/>
        <w:rPr>
          <w:rFonts w:ascii="Arial" w:hAnsi="Arial" w:cs="Arial"/>
        </w:rPr>
      </w:pPr>
      <w:r w:rsidRPr="00F45A1F">
        <w:rPr>
          <w:rFonts w:ascii="Arial" w:hAnsi="Arial" w:cs="Arial"/>
        </w:rPr>
        <w:t>Risco de crédito</w:t>
      </w:r>
    </w:p>
    <w:p w14:paraId="0A6385F5" w14:textId="77777777" w:rsidR="003F4719" w:rsidRPr="00F45A1F" w:rsidRDefault="003F4719" w:rsidP="005144E2">
      <w:pPr>
        <w:pStyle w:val="PargrafodaLista"/>
        <w:widowControl/>
        <w:numPr>
          <w:ilvl w:val="0"/>
          <w:numId w:val="10"/>
        </w:numPr>
        <w:ind w:left="357" w:hanging="357"/>
        <w:jc w:val="both"/>
        <w:rPr>
          <w:rFonts w:ascii="Arial" w:hAnsi="Arial" w:cs="Arial"/>
        </w:rPr>
      </w:pPr>
      <w:r w:rsidRPr="00F45A1F">
        <w:rPr>
          <w:rFonts w:ascii="Arial" w:hAnsi="Arial" w:cs="Arial"/>
        </w:rPr>
        <w:t>Risco de liquidez</w:t>
      </w:r>
    </w:p>
    <w:p w14:paraId="2716CBE4" w14:textId="77777777" w:rsidR="003F4719" w:rsidRPr="00F45A1F" w:rsidRDefault="003F4719" w:rsidP="005144E2">
      <w:pPr>
        <w:pStyle w:val="PargrafodaLista"/>
        <w:widowControl/>
        <w:numPr>
          <w:ilvl w:val="0"/>
          <w:numId w:val="10"/>
        </w:numPr>
        <w:ind w:left="357" w:hanging="357"/>
        <w:jc w:val="both"/>
        <w:rPr>
          <w:rFonts w:ascii="Arial" w:hAnsi="Arial" w:cs="Arial"/>
        </w:rPr>
      </w:pPr>
      <w:r w:rsidRPr="00F45A1F">
        <w:rPr>
          <w:rFonts w:ascii="Arial" w:hAnsi="Arial" w:cs="Arial"/>
        </w:rPr>
        <w:t>Risco operacional</w:t>
      </w:r>
    </w:p>
    <w:p w14:paraId="3098B309" w14:textId="77777777" w:rsidR="00F56EE3" w:rsidRPr="00F45A1F" w:rsidRDefault="00F56EE3" w:rsidP="005144E2">
      <w:pPr>
        <w:pStyle w:val="PargrafodaLista"/>
        <w:widowControl/>
        <w:ind w:left="357"/>
        <w:jc w:val="both"/>
        <w:rPr>
          <w:rFonts w:ascii="Arial" w:hAnsi="Arial" w:cs="Arial"/>
        </w:rPr>
      </w:pPr>
    </w:p>
    <w:p w14:paraId="6D192580" w14:textId="77777777" w:rsidR="00B34CC6" w:rsidRPr="00F45A1F" w:rsidRDefault="00B34CC6" w:rsidP="005144E2">
      <w:pPr>
        <w:pStyle w:val="PargrafodaLista"/>
        <w:widowControl/>
        <w:ind w:left="357"/>
        <w:jc w:val="both"/>
        <w:rPr>
          <w:rFonts w:ascii="Arial" w:hAnsi="Arial" w:cs="Arial"/>
          <w:sz w:val="16"/>
          <w:szCs w:val="16"/>
        </w:rPr>
      </w:pPr>
    </w:p>
    <w:p w14:paraId="78C09968" w14:textId="77777777" w:rsidR="003F4719" w:rsidRPr="00F45A1F" w:rsidRDefault="003F4719" w:rsidP="005144E2">
      <w:pPr>
        <w:widowControl/>
        <w:tabs>
          <w:tab w:val="left" w:pos="180"/>
        </w:tabs>
        <w:jc w:val="both"/>
        <w:rPr>
          <w:rFonts w:ascii="Arial" w:hAnsi="Arial" w:cs="Arial"/>
          <w:b/>
        </w:rPr>
      </w:pPr>
      <w:r w:rsidRPr="00F45A1F">
        <w:rPr>
          <w:rFonts w:ascii="Arial" w:hAnsi="Arial" w:cs="Arial"/>
          <w:b/>
        </w:rPr>
        <w:t>a) Riscos de mercado</w:t>
      </w:r>
    </w:p>
    <w:p w14:paraId="0FCA1901" w14:textId="77777777" w:rsidR="003F4719" w:rsidRPr="00F45A1F" w:rsidRDefault="003F4719" w:rsidP="005144E2">
      <w:pPr>
        <w:widowControl/>
        <w:tabs>
          <w:tab w:val="left" w:pos="180"/>
        </w:tabs>
        <w:jc w:val="both"/>
        <w:rPr>
          <w:rFonts w:ascii="Arial" w:hAnsi="Arial" w:cs="Arial"/>
          <w:b/>
          <w:sz w:val="16"/>
          <w:szCs w:val="16"/>
        </w:rPr>
      </w:pPr>
    </w:p>
    <w:p w14:paraId="572DF655" w14:textId="77777777" w:rsidR="003F4719" w:rsidRPr="00F45A1F" w:rsidRDefault="003F4719" w:rsidP="005144E2">
      <w:pPr>
        <w:widowControl/>
        <w:jc w:val="both"/>
        <w:rPr>
          <w:rFonts w:ascii="Arial" w:hAnsi="Arial" w:cs="Arial"/>
        </w:rPr>
      </w:pPr>
      <w:r w:rsidRPr="00F45A1F">
        <w:rPr>
          <w:rFonts w:ascii="Arial" w:hAnsi="Arial" w:cs="Arial"/>
        </w:rPr>
        <w:t>Risco de mercado é o risco de alterações nos preços de mercado</w:t>
      </w:r>
      <w:r w:rsidR="005D1518" w:rsidRPr="00F45A1F">
        <w:rPr>
          <w:rFonts w:ascii="Arial" w:hAnsi="Arial" w:cs="Arial"/>
        </w:rPr>
        <w:t>,</w:t>
      </w:r>
      <w:r w:rsidRPr="00F45A1F">
        <w:rPr>
          <w:rFonts w:ascii="Arial" w:hAnsi="Arial" w:cs="Arial"/>
        </w:rPr>
        <w:t xml:space="preserve"> tais como</w:t>
      </w:r>
      <w:r w:rsidR="005D1518" w:rsidRPr="00F45A1F">
        <w:rPr>
          <w:rFonts w:ascii="Arial" w:hAnsi="Arial" w:cs="Arial"/>
        </w:rPr>
        <w:t>:</w:t>
      </w:r>
      <w:r w:rsidRPr="00F45A1F">
        <w:rPr>
          <w:rFonts w:ascii="Arial" w:hAnsi="Arial" w:cs="Arial"/>
        </w:rPr>
        <w:t xml:space="preserve"> as taxas de câmbio e taxas de juros e outros riscos de preço que irão afetar os ganhos da Companhia ou o valor de suas participações em instrumentos financeiros. O objetivo do gerenciamento de risco de mercado é gerenciar e controlar as exposições a </w:t>
      </w:r>
      <w:r w:rsidR="00B45FA5" w:rsidRPr="00F45A1F">
        <w:rPr>
          <w:rFonts w:ascii="Arial" w:hAnsi="Arial" w:cs="Arial"/>
        </w:rPr>
        <w:t xml:space="preserve">esses </w:t>
      </w:r>
      <w:r w:rsidRPr="00F45A1F">
        <w:rPr>
          <w:rFonts w:ascii="Arial" w:hAnsi="Arial" w:cs="Arial"/>
        </w:rPr>
        <w:t>riscos, dentro de parâmetros aceitáveis, e ao mesmo tempo otimizar o retorno, a saber:</w:t>
      </w:r>
    </w:p>
    <w:p w14:paraId="194FF2D9" w14:textId="77777777" w:rsidR="00C9401A" w:rsidRPr="00F45A1F" w:rsidRDefault="00C9401A" w:rsidP="005144E2">
      <w:pPr>
        <w:widowControl/>
        <w:tabs>
          <w:tab w:val="left" w:pos="180"/>
        </w:tabs>
        <w:jc w:val="both"/>
        <w:rPr>
          <w:rFonts w:ascii="Arial" w:hAnsi="Arial" w:cs="Arial"/>
          <w:b/>
        </w:rPr>
      </w:pPr>
    </w:p>
    <w:p w14:paraId="2B242BC0" w14:textId="77777777" w:rsidR="003F4719" w:rsidRPr="00F45A1F" w:rsidRDefault="003F4719" w:rsidP="005144E2">
      <w:pPr>
        <w:widowControl/>
        <w:tabs>
          <w:tab w:val="left" w:pos="180"/>
        </w:tabs>
        <w:jc w:val="both"/>
        <w:rPr>
          <w:rFonts w:ascii="Arial" w:hAnsi="Arial" w:cs="Arial"/>
          <w:b/>
        </w:rPr>
      </w:pPr>
      <w:r w:rsidRPr="00F45A1F">
        <w:rPr>
          <w:rFonts w:ascii="Arial" w:hAnsi="Arial" w:cs="Arial"/>
          <w:b/>
        </w:rPr>
        <w:t>a.1) Risco de taxa de câmbio</w:t>
      </w:r>
    </w:p>
    <w:p w14:paraId="25AF3214" w14:textId="77777777" w:rsidR="003F4719" w:rsidRPr="00F45A1F" w:rsidRDefault="003F4719" w:rsidP="005144E2">
      <w:pPr>
        <w:widowControl/>
        <w:jc w:val="both"/>
        <w:rPr>
          <w:rFonts w:ascii="Arial" w:hAnsi="Arial" w:cs="Arial"/>
          <w:sz w:val="16"/>
          <w:szCs w:val="16"/>
        </w:rPr>
      </w:pPr>
    </w:p>
    <w:p w14:paraId="4D20EE20" w14:textId="77777777" w:rsidR="003F4719" w:rsidRPr="00F45A1F" w:rsidRDefault="003F4719" w:rsidP="005144E2">
      <w:pPr>
        <w:widowControl/>
        <w:jc w:val="both"/>
        <w:rPr>
          <w:rFonts w:ascii="Arial" w:hAnsi="Arial" w:cs="Arial"/>
        </w:rPr>
      </w:pPr>
      <w:r w:rsidRPr="00F45A1F">
        <w:rPr>
          <w:rFonts w:ascii="Arial" w:hAnsi="Arial" w:cs="Arial"/>
        </w:rPr>
        <w:t xml:space="preserve">Os riscos de flutuação nas taxas de câmbio podem estar associados às exposições de algumas moedas em relação a ativos e passivos da Companhia, basicamente com relação ao dólar dos Estados Unidos (fundo financeiro para </w:t>
      </w:r>
      <w:proofErr w:type="spellStart"/>
      <w:r w:rsidRPr="00F45A1F">
        <w:rPr>
          <w:rFonts w:ascii="Arial" w:hAnsi="Arial" w:cs="Arial"/>
        </w:rPr>
        <w:t>descomissionamento</w:t>
      </w:r>
      <w:proofErr w:type="spellEnd"/>
      <w:r w:rsidRPr="00F45A1F">
        <w:rPr>
          <w:rFonts w:ascii="Arial" w:hAnsi="Arial" w:cs="Arial"/>
        </w:rPr>
        <w:t xml:space="preserve"> e fornecedores) e ao euro (fornecedores).</w:t>
      </w:r>
    </w:p>
    <w:p w14:paraId="035C18B2" w14:textId="77777777" w:rsidR="003F4719" w:rsidRPr="00F45A1F" w:rsidRDefault="003F4719" w:rsidP="005144E2">
      <w:pPr>
        <w:widowControl/>
        <w:jc w:val="both"/>
        <w:rPr>
          <w:rFonts w:ascii="Arial" w:hAnsi="Arial" w:cs="Arial"/>
        </w:rPr>
      </w:pPr>
    </w:p>
    <w:p w14:paraId="7F2C1AAF" w14:textId="77777777" w:rsidR="0085155A" w:rsidRPr="00F45A1F" w:rsidRDefault="003F4719" w:rsidP="005144E2">
      <w:pPr>
        <w:widowControl/>
        <w:jc w:val="both"/>
        <w:rPr>
          <w:rFonts w:ascii="Arial" w:hAnsi="Arial" w:cs="Arial"/>
        </w:rPr>
      </w:pPr>
      <w:r w:rsidRPr="00F45A1F">
        <w:rPr>
          <w:rFonts w:ascii="Arial" w:hAnsi="Arial" w:cs="Arial"/>
        </w:rPr>
        <w:t xml:space="preserve">Com exceção de compra de dólar futuro, detalhado na </w:t>
      </w:r>
      <w:r w:rsidR="00D90D34" w:rsidRPr="00F45A1F">
        <w:rPr>
          <w:rFonts w:ascii="Arial" w:hAnsi="Arial" w:cs="Arial"/>
        </w:rPr>
        <w:t>n</w:t>
      </w:r>
      <w:r w:rsidRPr="00F45A1F">
        <w:rPr>
          <w:rFonts w:ascii="Arial" w:hAnsi="Arial" w:cs="Arial"/>
        </w:rPr>
        <w:t xml:space="preserve">ota 11, que compõem a carteira do fundo exclusivo para </w:t>
      </w:r>
      <w:proofErr w:type="spellStart"/>
      <w:r w:rsidRPr="00F45A1F">
        <w:rPr>
          <w:rFonts w:ascii="Arial" w:hAnsi="Arial" w:cs="Arial"/>
        </w:rPr>
        <w:t>descomissionamento</w:t>
      </w:r>
      <w:proofErr w:type="spellEnd"/>
      <w:r w:rsidRPr="00F45A1F">
        <w:rPr>
          <w:rFonts w:ascii="Arial" w:hAnsi="Arial" w:cs="Arial"/>
        </w:rPr>
        <w:t xml:space="preserve">, não há operações financeiras contratadas que protejam a Companhia dessa exposição. </w:t>
      </w:r>
    </w:p>
    <w:p w14:paraId="197C256D" w14:textId="77777777" w:rsidR="008016C3" w:rsidRPr="00F45A1F" w:rsidRDefault="008016C3" w:rsidP="005144E2">
      <w:pPr>
        <w:widowControl/>
        <w:jc w:val="both"/>
        <w:rPr>
          <w:rFonts w:ascii="Arial" w:hAnsi="Arial" w:cs="Arial"/>
        </w:rPr>
      </w:pPr>
    </w:p>
    <w:p w14:paraId="32163BBF" w14:textId="77777777" w:rsidR="003F4719" w:rsidRPr="00F45A1F" w:rsidRDefault="003F4719" w:rsidP="005144E2">
      <w:pPr>
        <w:widowControl/>
        <w:jc w:val="both"/>
        <w:rPr>
          <w:rFonts w:ascii="Arial" w:hAnsi="Arial" w:cs="Arial"/>
        </w:rPr>
      </w:pPr>
      <w:r w:rsidRPr="00F45A1F">
        <w:rPr>
          <w:rFonts w:ascii="Arial" w:hAnsi="Arial" w:cs="Arial"/>
        </w:rPr>
        <w:t xml:space="preserve">A exposição total do risco de câmbio pode ser resumida na análise de sensibilidade abaixo: </w:t>
      </w:r>
    </w:p>
    <w:p w14:paraId="19FED858" w14:textId="77777777" w:rsidR="002B44FD" w:rsidRPr="00F45A1F" w:rsidRDefault="002B44FD" w:rsidP="005144E2">
      <w:pPr>
        <w:widowControl/>
        <w:jc w:val="both"/>
        <w:rPr>
          <w:rFonts w:ascii="Arial" w:hAnsi="Arial" w:cs="Arial"/>
          <w:sz w:val="16"/>
          <w:szCs w:val="16"/>
        </w:rPr>
      </w:pPr>
    </w:p>
    <w:p w14:paraId="60BE6628" w14:textId="7B59C819" w:rsidR="00B51230" w:rsidRPr="00F45A1F" w:rsidRDefault="00335C2D" w:rsidP="005144E2">
      <w:pPr>
        <w:widowControl/>
        <w:jc w:val="both"/>
        <w:rPr>
          <w:rFonts w:ascii="Arial" w:hAnsi="Arial" w:cs="Arial"/>
          <w:noProof/>
        </w:rPr>
      </w:pPr>
      <w:r w:rsidRPr="00335C2D">
        <w:rPr>
          <w:noProof/>
        </w:rPr>
        <w:drawing>
          <wp:inline distT="0" distB="0" distL="0" distR="0" wp14:anchorId="2E906A8E" wp14:editId="4096FC4C">
            <wp:extent cx="6073140" cy="1962610"/>
            <wp:effectExtent l="0" t="0" r="381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3140" cy="1962610"/>
                    </a:xfrm>
                    <a:prstGeom prst="rect">
                      <a:avLst/>
                    </a:prstGeom>
                    <a:noFill/>
                    <a:ln>
                      <a:noFill/>
                    </a:ln>
                  </pic:spPr>
                </pic:pic>
              </a:graphicData>
            </a:graphic>
          </wp:inline>
        </w:drawing>
      </w:r>
    </w:p>
    <w:p w14:paraId="03620399" w14:textId="77777777" w:rsidR="008406D5" w:rsidRPr="00F45A1F" w:rsidRDefault="008406D5" w:rsidP="005144E2">
      <w:pPr>
        <w:widowControl/>
        <w:jc w:val="both"/>
        <w:rPr>
          <w:rFonts w:ascii="Arial" w:hAnsi="Arial" w:cs="Arial"/>
        </w:rPr>
      </w:pPr>
    </w:p>
    <w:p w14:paraId="6230A9BF" w14:textId="77777777" w:rsidR="00584AB1" w:rsidRPr="00F45A1F" w:rsidRDefault="008016C3" w:rsidP="005144E2">
      <w:pPr>
        <w:widowControl/>
        <w:jc w:val="both"/>
        <w:rPr>
          <w:rFonts w:ascii="Arial" w:hAnsi="Arial" w:cs="Arial"/>
        </w:rPr>
      </w:pPr>
      <w:r w:rsidRPr="00F45A1F">
        <w:rPr>
          <w:noProof/>
        </w:rPr>
        <w:drawing>
          <wp:inline distT="0" distB="0" distL="0" distR="0" wp14:anchorId="0F819005" wp14:editId="787EBF65">
            <wp:extent cx="4724400" cy="1152525"/>
            <wp:effectExtent l="0" t="0" r="0" b="9525"/>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1152525"/>
                    </a:xfrm>
                    <a:prstGeom prst="rect">
                      <a:avLst/>
                    </a:prstGeom>
                    <a:noFill/>
                    <a:ln>
                      <a:noFill/>
                    </a:ln>
                  </pic:spPr>
                </pic:pic>
              </a:graphicData>
            </a:graphic>
          </wp:inline>
        </w:drawing>
      </w:r>
    </w:p>
    <w:p w14:paraId="7FECE1D2" w14:textId="77777777" w:rsidR="00004EAA" w:rsidRPr="00F45A1F" w:rsidRDefault="00004EAA" w:rsidP="005144E2">
      <w:pPr>
        <w:widowControl/>
        <w:jc w:val="both"/>
        <w:rPr>
          <w:rFonts w:ascii="Arial" w:hAnsi="Arial" w:cs="Arial"/>
          <w:b/>
        </w:rPr>
      </w:pPr>
    </w:p>
    <w:p w14:paraId="3DA02289" w14:textId="77777777" w:rsidR="001061A3" w:rsidRDefault="001061A3" w:rsidP="005144E2">
      <w:pPr>
        <w:widowControl/>
        <w:jc w:val="both"/>
        <w:rPr>
          <w:rFonts w:ascii="Arial" w:hAnsi="Arial" w:cs="Arial"/>
          <w:b/>
          <w:sz w:val="16"/>
          <w:szCs w:val="16"/>
        </w:rPr>
      </w:pPr>
    </w:p>
    <w:p w14:paraId="03D1E6DD" w14:textId="77777777" w:rsidR="00934CC9" w:rsidRPr="00F45A1F" w:rsidRDefault="00934CC9" w:rsidP="005144E2">
      <w:pPr>
        <w:widowControl/>
        <w:jc w:val="both"/>
        <w:rPr>
          <w:rFonts w:ascii="Arial" w:hAnsi="Arial" w:cs="Arial"/>
          <w:b/>
          <w:sz w:val="16"/>
          <w:szCs w:val="16"/>
        </w:rPr>
      </w:pPr>
    </w:p>
    <w:p w14:paraId="4359B551" w14:textId="77777777" w:rsidR="003F4719" w:rsidRPr="00F45A1F" w:rsidRDefault="003F4719" w:rsidP="005144E2">
      <w:pPr>
        <w:widowControl/>
        <w:jc w:val="both"/>
        <w:rPr>
          <w:rFonts w:ascii="Arial" w:hAnsi="Arial" w:cs="Arial"/>
          <w:b/>
        </w:rPr>
      </w:pPr>
      <w:proofErr w:type="gramStart"/>
      <w:r w:rsidRPr="00F45A1F">
        <w:rPr>
          <w:rFonts w:ascii="Arial" w:hAnsi="Arial" w:cs="Arial"/>
          <w:b/>
        </w:rPr>
        <w:t>a.</w:t>
      </w:r>
      <w:proofErr w:type="gramEnd"/>
      <w:r w:rsidRPr="00F45A1F">
        <w:rPr>
          <w:rFonts w:ascii="Arial" w:hAnsi="Arial" w:cs="Arial"/>
          <w:b/>
        </w:rPr>
        <w:t>2) Risco de juros</w:t>
      </w:r>
    </w:p>
    <w:p w14:paraId="638DAC35" w14:textId="77777777" w:rsidR="003F4719" w:rsidRPr="00F45A1F" w:rsidRDefault="003F4719" w:rsidP="005144E2">
      <w:pPr>
        <w:widowControl/>
        <w:jc w:val="both"/>
        <w:rPr>
          <w:rFonts w:ascii="Arial" w:hAnsi="Arial" w:cs="Arial"/>
          <w:b/>
          <w:sz w:val="16"/>
          <w:szCs w:val="16"/>
        </w:rPr>
      </w:pPr>
    </w:p>
    <w:p w14:paraId="4D14478B" w14:textId="77777777" w:rsidR="005D014B" w:rsidRPr="00F45A1F" w:rsidRDefault="005D014B" w:rsidP="005144E2">
      <w:pPr>
        <w:jc w:val="both"/>
        <w:rPr>
          <w:rFonts w:ascii="Arial" w:hAnsi="Arial" w:cs="Arial"/>
        </w:rPr>
      </w:pPr>
      <w:r w:rsidRPr="00F45A1F">
        <w:rPr>
          <w:rFonts w:ascii="Arial" w:hAnsi="Arial" w:cs="Arial"/>
        </w:rPr>
        <w:t>A Administração da ELETRONUCLEAR entende que a exposição a risco de juros não é significativa, visto que o maior montante dos empréstimos e financiamentos contratados est</w:t>
      </w:r>
      <w:r w:rsidR="001061A3" w:rsidRPr="00F45A1F">
        <w:rPr>
          <w:rFonts w:ascii="Arial" w:hAnsi="Arial" w:cs="Arial"/>
        </w:rPr>
        <w:t>ão</w:t>
      </w:r>
      <w:r w:rsidR="0065794F" w:rsidRPr="00F45A1F">
        <w:rPr>
          <w:rFonts w:ascii="Arial" w:hAnsi="Arial" w:cs="Arial"/>
        </w:rPr>
        <w:t xml:space="preserve"> indexado</w:t>
      </w:r>
      <w:r w:rsidRPr="00F45A1F">
        <w:rPr>
          <w:rFonts w:ascii="Arial" w:hAnsi="Arial" w:cs="Arial"/>
        </w:rPr>
        <w:t>s à Unidade de Referência Fiscal - UFIR e Taxa de Juros de Longo</w:t>
      </w:r>
      <w:r w:rsidR="00D90D34" w:rsidRPr="00F45A1F">
        <w:rPr>
          <w:rFonts w:ascii="Arial" w:hAnsi="Arial" w:cs="Arial"/>
        </w:rPr>
        <w:t xml:space="preserve"> Prazo</w:t>
      </w:r>
      <w:r w:rsidRPr="00F45A1F">
        <w:rPr>
          <w:rFonts w:ascii="Arial" w:hAnsi="Arial" w:cs="Arial"/>
        </w:rPr>
        <w:t xml:space="preserve"> - TJLP ou não possuem qualquer indexador, como é o caso do contrato de financiamento com a C</w:t>
      </w:r>
      <w:r w:rsidR="001061A3" w:rsidRPr="00F45A1F">
        <w:rPr>
          <w:rFonts w:ascii="Arial" w:hAnsi="Arial" w:cs="Arial"/>
        </w:rPr>
        <w:t>aixa Econômica Federal</w:t>
      </w:r>
      <w:r w:rsidRPr="00F45A1F">
        <w:rPr>
          <w:rFonts w:ascii="Arial" w:hAnsi="Arial" w:cs="Arial"/>
        </w:rPr>
        <w:t xml:space="preserve"> - CEF, que possui taxa de juros fixa ao longo do contrato; enquanto os demais contratos, firmados com a Eletrobras, estão indexados à taxa </w:t>
      </w:r>
      <w:proofErr w:type="spellStart"/>
      <w:r w:rsidRPr="00F45A1F">
        <w:rPr>
          <w:rFonts w:ascii="Arial" w:hAnsi="Arial" w:cs="Arial"/>
          <w:i/>
        </w:rPr>
        <w:t>DI-Over</w:t>
      </w:r>
      <w:proofErr w:type="spellEnd"/>
      <w:r w:rsidRPr="00F45A1F">
        <w:rPr>
          <w:rFonts w:ascii="Arial" w:hAnsi="Arial" w:cs="Arial"/>
        </w:rPr>
        <w:t xml:space="preserve">. Além disso, todos os recursos são captados em moeda nacional, o que reduz a exposição cambial. </w:t>
      </w:r>
    </w:p>
    <w:p w14:paraId="1E09749E" w14:textId="77777777" w:rsidR="00185D63" w:rsidRPr="00F45A1F" w:rsidRDefault="00185D63" w:rsidP="005144E2">
      <w:pPr>
        <w:rPr>
          <w:rFonts w:ascii="Arial" w:hAnsi="Arial" w:cs="Arial"/>
        </w:rPr>
      </w:pPr>
    </w:p>
    <w:p w14:paraId="6BCB920F" w14:textId="77777777" w:rsidR="00185D63" w:rsidRPr="00F45A1F" w:rsidRDefault="006E3AC7" w:rsidP="005144E2">
      <w:pPr>
        <w:jc w:val="both"/>
        <w:rPr>
          <w:rFonts w:ascii="Arial" w:hAnsi="Arial" w:cs="Arial"/>
        </w:rPr>
      </w:pPr>
      <w:r w:rsidRPr="00F45A1F">
        <w:rPr>
          <w:rFonts w:ascii="Arial" w:hAnsi="Arial" w:cs="Arial"/>
        </w:rPr>
        <w:t xml:space="preserve">A UFIR não sofreu qualquer variação no período, visto que foi extinta em 2000 e está congelada desde então. A TJLP, que é fixada pelo Conselho Monetário Nacional </w:t>
      </w:r>
      <w:r w:rsidR="00D90D34" w:rsidRPr="00F45A1F">
        <w:rPr>
          <w:rFonts w:ascii="Arial" w:hAnsi="Arial" w:cs="Arial"/>
        </w:rPr>
        <w:t xml:space="preserve">- </w:t>
      </w:r>
      <w:r w:rsidRPr="00F45A1F">
        <w:rPr>
          <w:rFonts w:ascii="Arial" w:hAnsi="Arial" w:cs="Arial"/>
        </w:rPr>
        <w:t xml:space="preserve">CMN </w:t>
      </w:r>
      <w:r w:rsidRPr="00F45A1F">
        <w:rPr>
          <w:rFonts w:ascii="Arial" w:hAnsi="Arial" w:cs="Arial"/>
          <w:color w:val="000000" w:themeColor="text1"/>
        </w:rPr>
        <w:t xml:space="preserve">trimestralmente, </w:t>
      </w:r>
      <w:r w:rsidR="00732AEC" w:rsidRPr="00F45A1F">
        <w:rPr>
          <w:rFonts w:ascii="Arial" w:hAnsi="Arial" w:cs="Arial"/>
          <w:color w:val="000000" w:themeColor="text1"/>
        </w:rPr>
        <w:t xml:space="preserve">foi reduzida para </w:t>
      </w:r>
      <w:r w:rsidR="00B665E5" w:rsidRPr="00F45A1F">
        <w:rPr>
          <w:rFonts w:ascii="Arial" w:hAnsi="Arial" w:cs="Arial"/>
          <w:color w:val="000000" w:themeColor="text1"/>
        </w:rPr>
        <w:t>5,</w:t>
      </w:r>
      <w:r w:rsidR="000442A6" w:rsidRPr="00F45A1F">
        <w:rPr>
          <w:rFonts w:ascii="Arial" w:hAnsi="Arial" w:cs="Arial"/>
          <w:color w:val="000000" w:themeColor="text1"/>
        </w:rPr>
        <w:t>09</w:t>
      </w:r>
      <w:r w:rsidR="00732AEC" w:rsidRPr="00F45A1F">
        <w:rPr>
          <w:rFonts w:ascii="Arial" w:hAnsi="Arial" w:cs="Arial"/>
          <w:color w:val="000000" w:themeColor="text1"/>
        </w:rPr>
        <w:t>%</w:t>
      </w:r>
      <w:r w:rsidR="000442A6" w:rsidRPr="00F45A1F">
        <w:rPr>
          <w:rFonts w:ascii="Arial" w:hAnsi="Arial" w:cs="Arial"/>
          <w:color w:val="000000" w:themeColor="text1"/>
        </w:rPr>
        <w:t xml:space="preserve"> </w:t>
      </w:r>
      <w:r w:rsidR="00732AEC" w:rsidRPr="00F45A1F">
        <w:rPr>
          <w:rFonts w:ascii="Arial" w:hAnsi="Arial" w:cs="Arial"/>
          <w:color w:val="000000" w:themeColor="text1"/>
        </w:rPr>
        <w:t xml:space="preserve">para o </w:t>
      </w:r>
      <w:r w:rsidR="000442A6" w:rsidRPr="00F45A1F">
        <w:rPr>
          <w:rFonts w:ascii="Arial" w:hAnsi="Arial" w:cs="Arial"/>
          <w:color w:val="000000" w:themeColor="text1"/>
        </w:rPr>
        <w:t>primeiro</w:t>
      </w:r>
      <w:r w:rsidR="009939A7" w:rsidRPr="00F45A1F">
        <w:rPr>
          <w:rFonts w:ascii="Arial" w:hAnsi="Arial" w:cs="Arial"/>
          <w:color w:val="000000" w:themeColor="text1"/>
        </w:rPr>
        <w:t xml:space="preserve"> trimestre</w:t>
      </w:r>
      <w:r w:rsidR="005D014B" w:rsidRPr="00F45A1F">
        <w:rPr>
          <w:rFonts w:ascii="Arial" w:hAnsi="Arial" w:cs="Arial"/>
        </w:rPr>
        <w:t xml:space="preserve"> de 20</w:t>
      </w:r>
      <w:r w:rsidR="000442A6" w:rsidRPr="00F45A1F">
        <w:rPr>
          <w:rFonts w:ascii="Arial" w:hAnsi="Arial" w:cs="Arial"/>
        </w:rPr>
        <w:t>20</w:t>
      </w:r>
      <w:r w:rsidR="005D014B" w:rsidRPr="00F45A1F">
        <w:rPr>
          <w:rFonts w:ascii="Arial" w:hAnsi="Arial" w:cs="Arial"/>
        </w:rPr>
        <w:t>.</w:t>
      </w:r>
      <w:r w:rsidR="003A7CD4" w:rsidRPr="00F45A1F">
        <w:rPr>
          <w:rFonts w:ascii="Arial" w:hAnsi="Arial" w:cs="Arial"/>
        </w:rPr>
        <w:t xml:space="preserve"> </w:t>
      </w:r>
      <w:r w:rsidRPr="00F45A1F">
        <w:rPr>
          <w:rFonts w:ascii="Arial" w:hAnsi="Arial" w:cs="Arial"/>
        </w:rPr>
        <w:t>O impacto para a ELETRONUCLEAR proveniente de mudanças da TJLP é suavizado pelo fato do contrato de financiamento com o Banco Nacional do Desenvolvimento Econômico e Social - BNDES prever que qualquer valor da TJLP que exceda o patamar de 6,00% a</w:t>
      </w:r>
      <w:r w:rsidR="00E902A0" w:rsidRPr="00F45A1F">
        <w:rPr>
          <w:rFonts w:ascii="Arial" w:hAnsi="Arial" w:cs="Arial"/>
        </w:rPr>
        <w:t>.a</w:t>
      </w:r>
      <w:r w:rsidR="001061A3" w:rsidRPr="00F45A1F">
        <w:rPr>
          <w:rFonts w:ascii="Arial" w:hAnsi="Arial" w:cs="Arial"/>
        </w:rPr>
        <w:t>.</w:t>
      </w:r>
      <w:r w:rsidRPr="00F45A1F">
        <w:rPr>
          <w:rFonts w:ascii="Arial" w:hAnsi="Arial" w:cs="Arial"/>
        </w:rPr>
        <w:t xml:space="preserve"> é capitalizado ao saldo devedor. Além da taxa referente à TJLP, o contrato com o BNDES prevê o pagamento de um spread fixo de 1,72% a.a</w:t>
      </w:r>
      <w:r w:rsidR="003F5D20" w:rsidRPr="00F45A1F">
        <w:rPr>
          <w:rFonts w:ascii="Arial" w:hAnsi="Arial" w:cs="Arial"/>
        </w:rPr>
        <w:t>.</w:t>
      </w:r>
    </w:p>
    <w:p w14:paraId="7BAF4048" w14:textId="77777777" w:rsidR="001061A3" w:rsidRPr="00F45A1F" w:rsidRDefault="001061A3" w:rsidP="005144E2">
      <w:pPr>
        <w:jc w:val="both"/>
        <w:rPr>
          <w:rFonts w:ascii="Arial" w:hAnsi="Arial" w:cs="Arial"/>
        </w:rPr>
      </w:pPr>
    </w:p>
    <w:p w14:paraId="0D420DA9" w14:textId="2CB63495" w:rsidR="005D014B" w:rsidRPr="00F45A1F" w:rsidRDefault="00732AEC" w:rsidP="005144E2">
      <w:pPr>
        <w:jc w:val="both"/>
        <w:rPr>
          <w:rFonts w:ascii="Arial" w:hAnsi="Arial" w:cs="Arial"/>
        </w:rPr>
      </w:pPr>
      <w:r w:rsidRPr="00F45A1F">
        <w:rPr>
          <w:rFonts w:ascii="Arial" w:hAnsi="Arial" w:cs="Arial"/>
        </w:rPr>
        <w:t>Aproximadamente 11,</w:t>
      </w:r>
      <w:r w:rsidR="000442A6" w:rsidRPr="00F45A1F">
        <w:rPr>
          <w:rFonts w:ascii="Arial" w:hAnsi="Arial" w:cs="Arial"/>
        </w:rPr>
        <w:t>6</w:t>
      </w:r>
      <w:r w:rsidRPr="00F45A1F">
        <w:rPr>
          <w:rFonts w:ascii="Arial" w:hAnsi="Arial" w:cs="Arial"/>
        </w:rPr>
        <w:t xml:space="preserve">% do montante dos empréstimos e financiamentos contratados pela ELETRONUCLEAR estão indexados à taxa </w:t>
      </w:r>
      <w:proofErr w:type="spellStart"/>
      <w:r w:rsidRPr="00F45A1F">
        <w:rPr>
          <w:rFonts w:ascii="Arial" w:hAnsi="Arial" w:cs="Arial"/>
          <w:i/>
        </w:rPr>
        <w:t>DI-Over</w:t>
      </w:r>
      <w:proofErr w:type="spellEnd"/>
      <w:r w:rsidR="00C87334">
        <w:rPr>
          <w:rFonts w:ascii="Arial" w:hAnsi="Arial" w:cs="Arial"/>
          <w:i/>
        </w:rPr>
        <w:t xml:space="preserve"> </w:t>
      </w:r>
      <w:r w:rsidR="00C87334" w:rsidRPr="00C87334">
        <w:rPr>
          <w:rFonts w:ascii="Arial" w:hAnsi="Arial" w:cs="Arial"/>
        </w:rPr>
        <w:t>acumulada dos últimos 12 meses</w:t>
      </w:r>
      <w:r w:rsidRPr="00F45A1F">
        <w:rPr>
          <w:rFonts w:ascii="Arial" w:hAnsi="Arial" w:cs="Arial"/>
        </w:rPr>
        <w:t>, divulgada pela Brasil Bolsa Balcão</w:t>
      </w:r>
      <w:r w:rsidR="00D90D34" w:rsidRPr="00F45A1F">
        <w:rPr>
          <w:rFonts w:ascii="Arial" w:hAnsi="Arial" w:cs="Arial"/>
        </w:rPr>
        <w:t xml:space="preserve"> – B3</w:t>
      </w:r>
      <w:r w:rsidRPr="00F45A1F">
        <w:rPr>
          <w:rFonts w:ascii="Arial" w:hAnsi="Arial" w:cs="Arial"/>
        </w:rPr>
        <w:t>, que registrou redução durante o</w:t>
      </w:r>
      <w:r w:rsidR="00B665E5" w:rsidRPr="00F45A1F">
        <w:rPr>
          <w:rFonts w:ascii="Arial" w:hAnsi="Arial" w:cs="Arial"/>
        </w:rPr>
        <w:t xml:space="preserve"> </w:t>
      </w:r>
      <w:r w:rsidR="003A7CD4" w:rsidRPr="00F45A1F">
        <w:rPr>
          <w:rFonts w:ascii="Arial" w:hAnsi="Arial" w:cs="Arial"/>
        </w:rPr>
        <w:t xml:space="preserve">primeiro </w:t>
      </w:r>
      <w:r w:rsidRPr="00F45A1F">
        <w:rPr>
          <w:rFonts w:ascii="Arial" w:hAnsi="Arial" w:cs="Arial"/>
        </w:rPr>
        <w:t>trimestre de 20</w:t>
      </w:r>
      <w:r w:rsidR="003A7CD4" w:rsidRPr="00F45A1F">
        <w:rPr>
          <w:rFonts w:ascii="Arial" w:hAnsi="Arial" w:cs="Arial"/>
        </w:rPr>
        <w:t>20</w:t>
      </w:r>
      <w:r w:rsidRPr="00F45A1F">
        <w:rPr>
          <w:rFonts w:ascii="Arial" w:hAnsi="Arial" w:cs="Arial"/>
        </w:rPr>
        <w:t xml:space="preserve"> (</w:t>
      </w:r>
      <w:r w:rsidR="000442A6" w:rsidRPr="00F45A1F">
        <w:rPr>
          <w:rFonts w:ascii="Arial" w:hAnsi="Arial" w:cs="Arial"/>
        </w:rPr>
        <w:t>5,60</w:t>
      </w:r>
      <w:r w:rsidRPr="00F45A1F">
        <w:rPr>
          <w:rFonts w:ascii="Arial" w:hAnsi="Arial" w:cs="Arial"/>
          <w:color w:val="000000" w:themeColor="text1"/>
        </w:rPr>
        <w:t xml:space="preserve">% a.a.) </w:t>
      </w:r>
      <w:r w:rsidRPr="00F45A1F">
        <w:rPr>
          <w:rFonts w:ascii="Arial" w:hAnsi="Arial" w:cs="Arial"/>
        </w:rPr>
        <w:t xml:space="preserve">quando comparado com </w:t>
      </w:r>
      <w:r w:rsidR="000442A6" w:rsidRPr="00F45A1F">
        <w:rPr>
          <w:rFonts w:ascii="Arial" w:hAnsi="Arial" w:cs="Arial"/>
        </w:rPr>
        <w:t>ao último trimestre</w:t>
      </w:r>
      <w:r w:rsidRPr="00F45A1F">
        <w:rPr>
          <w:rFonts w:ascii="Arial" w:hAnsi="Arial" w:cs="Arial"/>
          <w:color w:val="000000" w:themeColor="text1"/>
        </w:rPr>
        <w:t xml:space="preserve"> </w:t>
      </w:r>
      <w:r w:rsidRPr="00F45A1F">
        <w:rPr>
          <w:rFonts w:ascii="Arial" w:hAnsi="Arial" w:cs="Arial"/>
        </w:rPr>
        <w:t xml:space="preserve">de 2019 </w:t>
      </w:r>
      <w:r w:rsidRPr="00F45A1F">
        <w:rPr>
          <w:rFonts w:ascii="Arial" w:hAnsi="Arial" w:cs="Arial"/>
          <w:color w:val="000000" w:themeColor="text1"/>
        </w:rPr>
        <w:t>(6,</w:t>
      </w:r>
      <w:r w:rsidR="003A7CD4" w:rsidRPr="00F45A1F">
        <w:rPr>
          <w:rFonts w:ascii="Arial" w:hAnsi="Arial" w:cs="Arial"/>
          <w:color w:val="000000" w:themeColor="text1"/>
        </w:rPr>
        <w:t>11</w:t>
      </w:r>
      <w:r w:rsidRPr="00F45A1F">
        <w:rPr>
          <w:rFonts w:ascii="Arial" w:hAnsi="Arial" w:cs="Arial"/>
          <w:color w:val="000000" w:themeColor="text1"/>
        </w:rPr>
        <w:t>% a.a</w:t>
      </w:r>
      <w:r w:rsidRPr="00F45A1F">
        <w:rPr>
          <w:rFonts w:ascii="Arial" w:hAnsi="Arial" w:cs="Arial"/>
          <w:color w:val="0070C0"/>
        </w:rPr>
        <w:t>.</w:t>
      </w:r>
      <w:r w:rsidRPr="00F45A1F">
        <w:rPr>
          <w:rFonts w:ascii="Arial" w:hAnsi="Arial" w:cs="Arial"/>
        </w:rPr>
        <w:t xml:space="preserve">), refletindo </w:t>
      </w:r>
      <w:r w:rsidRPr="00F45A1F">
        <w:rPr>
          <w:rFonts w:ascii="Arial" w:hAnsi="Arial" w:cs="Arial"/>
          <w:color w:val="000000" w:themeColor="text1"/>
        </w:rPr>
        <w:t xml:space="preserve">a redução </w:t>
      </w:r>
      <w:r w:rsidRPr="00F45A1F">
        <w:rPr>
          <w:rFonts w:ascii="Arial" w:hAnsi="Arial" w:cs="Arial"/>
        </w:rPr>
        <w:t xml:space="preserve">dos juros </w:t>
      </w:r>
      <w:r w:rsidRPr="00F45A1F">
        <w:rPr>
          <w:rFonts w:ascii="Arial" w:hAnsi="Arial" w:cs="Arial"/>
          <w:color w:val="000000" w:themeColor="text1"/>
        </w:rPr>
        <w:t xml:space="preserve">básicos da economia brasileira (Taxa Selic), que saiu de </w:t>
      </w:r>
      <w:r w:rsidR="00023F57" w:rsidRPr="00F45A1F">
        <w:rPr>
          <w:rFonts w:ascii="Arial" w:hAnsi="Arial" w:cs="Arial"/>
          <w:color w:val="000000" w:themeColor="text1"/>
        </w:rPr>
        <w:t>4,4</w:t>
      </w:r>
      <w:r w:rsidRPr="00F45A1F">
        <w:rPr>
          <w:rFonts w:ascii="Arial" w:hAnsi="Arial" w:cs="Arial"/>
          <w:color w:val="000000" w:themeColor="text1"/>
        </w:rPr>
        <w:t xml:space="preserve">0% a.a. para </w:t>
      </w:r>
      <w:r w:rsidR="00C813D5">
        <w:rPr>
          <w:rFonts w:ascii="Arial" w:hAnsi="Arial" w:cs="Arial"/>
          <w:color w:val="000000" w:themeColor="text1"/>
        </w:rPr>
        <w:t>3,6</w:t>
      </w:r>
      <w:r w:rsidR="00023F57" w:rsidRPr="00F45A1F">
        <w:rPr>
          <w:rFonts w:ascii="Arial" w:hAnsi="Arial" w:cs="Arial"/>
          <w:color w:val="000000" w:themeColor="text1"/>
        </w:rPr>
        <w:t>5</w:t>
      </w:r>
      <w:r w:rsidRPr="00F45A1F">
        <w:rPr>
          <w:rFonts w:ascii="Arial" w:hAnsi="Arial" w:cs="Arial"/>
          <w:color w:val="000000" w:themeColor="text1"/>
        </w:rPr>
        <w:t>%</w:t>
      </w:r>
      <w:r w:rsidR="003A7CD4" w:rsidRPr="00F45A1F">
        <w:rPr>
          <w:rFonts w:ascii="Arial" w:hAnsi="Arial" w:cs="Arial"/>
          <w:b/>
          <w:color w:val="FF0000"/>
        </w:rPr>
        <w:t xml:space="preserve"> </w:t>
      </w:r>
      <w:r w:rsidRPr="00F45A1F">
        <w:rPr>
          <w:rFonts w:ascii="Arial" w:hAnsi="Arial" w:cs="Arial"/>
          <w:color w:val="000000" w:themeColor="text1"/>
        </w:rPr>
        <w:t xml:space="preserve">a.a., conforme as decisões do Comitê de Política Monetária </w:t>
      </w:r>
      <w:r w:rsidR="001061A3" w:rsidRPr="00F45A1F">
        <w:rPr>
          <w:rFonts w:ascii="Arial" w:hAnsi="Arial" w:cs="Arial"/>
          <w:color w:val="000000" w:themeColor="text1"/>
        </w:rPr>
        <w:t xml:space="preserve">- </w:t>
      </w:r>
      <w:r w:rsidRPr="00F45A1F">
        <w:rPr>
          <w:rFonts w:ascii="Arial" w:hAnsi="Arial" w:cs="Arial"/>
          <w:color w:val="000000" w:themeColor="text1"/>
        </w:rPr>
        <w:t>COPOM, do Banco Central, que reduziu a meta da Taxa Selic (</w:t>
      </w:r>
      <w:r w:rsidR="00023F57" w:rsidRPr="00F45A1F">
        <w:rPr>
          <w:rFonts w:ascii="Arial" w:hAnsi="Arial" w:cs="Arial"/>
          <w:color w:val="000000" w:themeColor="text1"/>
        </w:rPr>
        <w:t>4,</w:t>
      </w:r>
      <w:r w:rsidRPr="00F45A1F">
        <w:rPr>
          <w:rFonts w:ascii="Arial" w:hAnsi="Arial" w:cs="Arial"/>
          <w:color w:val="000000" w:themeColor="text1"/>
        </w:rPr>
        <w:t xml:space="preserve">50% para </w:t>
      </w:r>
      <w:r w:rsidR="00023F57" w:rsidRPr="00F45A1F">
        <w:rPr>
          <w:rFonts w:ascii="Arial" w:hAnsi="Arial" w:cs="Arial"/>
          <w:color w:val="000000" w:themeColor="text1"/>
        </w:rPr>
        <w:t>3</w:t>
      </w:r>
      <w:r w:rsidRPr="00F45A1F">
        <w:rPr>
          <w:rFonts w:ascii="Arial" w:hAnsi="Arial" w:cs="Arial"/>
          <w:color w:val="000000" w:themeColor="text1"/>
        </w:rPr>
        <w:t>,</w:t>
      </w:r>
      <w:r w:rsidR="00023F57" w:rsidRPr="00F45A1F">
        <w:rPr>
          <w:rFonts w:ascii="Arial" w:hAnsi="Arial" w:cs="Arial"/>
          <w:color w:val="000000" w:themeColor="text1"/>
        </w:rPr>
        <w:t>7</w:t>
      </w:r>
      <w:r w:rsidR="00B665E5" w:rsidRPr="00F45A1F">
        <w:rPr>
          <w:rFonts w:ascii="Arial" w:hAnsi="Arial" w:cs="Arial"/>
          <w:color w:val="000000" w:themeColor="text1"/>
        </w:rPr>
        <w:t>5</w:t>
      </w:r>
      <w:r w:rsidRPr="00F45A1F">
        <w:rPr>
          <w:rFonts w:ascii="Arial" w:hAnsi="Arial" w:cs="Arial"/>
          <w:color w:val="000000" w:themeColor="text1"/>
        </w:rPr>
        <w:t>%)</w:t>
      </w:r>
      <w:r w:rsidR="003A7CD4" w:rsidRPr="00F45A1F">
        <w:rPr>
          <w:rFonts w:ascii="Arial" w:hAnsi="Arial" w:cs="Arial"/>
          <w:b/>
          <w:color w:val="FF0000"/>
        </w:rPr>
        <w:t xml:space="preserve"> </w:t>
      </w:r>
      <w:r w:rsidRPr="00F45A1F">
        <w:rPr>
          <w:rFonts w:ascii="Arial" w:hAnsi="Arial" w:cs="Arial"/>
          <w:color w:val="000000" w:themeColor="text1"/>
        </w:rPr>
        <w:t xml:space="preserve">nas reuniões realizadas em </w:t>
      </w:r>
      <w:r w:rsidR="00023F57" w:rsidRPr="00F45A1F">
        <w:rPr>
          <w:rFonts w:ascii="Arial" w:hAnsi="Arial" w:cs="Arial"/>
          <w:color w:val="000000" w:themeColor="text1"/>
        </w:rPr>
        <w:t>fevereiro e março de 2020</w:t>
      </w:r>
      <w:r w:rsidRPr="00F45A1F">
        <w:rPr>
          <w:rFonts w:ascii="Arial" w:hAnsi="Arial" w:cs="Arial"/>
          <w:color w:val="0070C0"/>
        </w:rPr>
        <w:t xml:space="preserve">. </w:t>
      </w:r>
      <w:r w:rsidRPr="00F45A1F">
        <w:rPr>
          <w:rFonts w:ascii="Arial" w:hAnsi="Arial" w:cs="Arial"/>
        </w:rPr>
        <w:t xml:space="preserve">As taxas utilizadas nos contratos de financiamento junto à Eletrobras compreendem a taxa acumulada dos últimos 12 meses e não a taxa </w:t>
      </w:r>
      <w:proofErr w:type="spellStart"/>
      <w:r w:rsidRPr="00F45A1F">
        <w:rPr>
          <w:rFonts w:ascii="Arial" w:hAnsi="Arial" w:cs="Arial"/>
          <w:i/>
        </w:rPr>
        <w:t>Di-Over</w:t>
      </w:r>
      <w:proofErr w:type="spellEnd"/>
      <w:r w:rsidRPr="00F45A1F">
        <w:rPr>
          <w:rFonts w:ascii="Arial" w:hAnsi="Arial" w:cs="Arial"/>
        </w:rPr>
        <w:t xml:space="preserve"> pura do mês. Dessa forma, mesmo tendo </w:t>
      </w:r>
      <w:r w:rsidRPr="00F45A1F">
        <w:rPr>
          <w:rFonts w:ascii="Arial" w:hAnsi="Arial" w:cs="Arial"/>
          <w:color w:val="000000" w:themeColor="text1"/>
        </w:rPr>
        <w:t xml:space="preserve">ocorrido redução </w:t>
      </w:r>
      <w:r w:rsidRPr="00F45A1F">
        <w:rPr>
          <w:rFonts w:ascii="Arial" w:hAnsi="Arial" w:cs="Arial"/>
        </w:rPr>
        <w:t xml:space="preserve">na taxa </w:t>
      </w:r>
      <w:proofErr w:type="spellStart"/>
      <w:r w:rsidRPr="00F45A1F">
        <w:rPr>
          <w:rFonts w:ascii="Arial" w:hAnsi="Arial" w:cs="Arial"/>
          <w:i/>
        </w:rPr>
        <w:t>DI-Over</w:t>
      </w:r>
      <w:proofErr w:type="spellEnd"/>
      <w:r w:rsidRPr="00F45A1F">
        <w:rPr>
          <w:rFonts w:ascii="Arial" w:hAnsi="Arial" w:cs="Arial"/>
        </w:rPr>
        <w:t xml:space="preserve"> no </w:t>
      </w:r>
      <w:r w:rsidRPr="00F45A1F">
        <w:rPr>
          <w:rFonts w:ascii="Arial" w:hAnsi="Arial" w:cs="Arial"/>
          <w:color w:val="000000" w:themeColor="text1"/>
        </w:rPr>
        <w:t xml:space="preserve">trimestre findo em </w:t>
      </w:r>
      <w:r w:rsidR="00756D34" w:rsidRPr="00F45A1F">
        <w:rPr>
          <w:rFonts w:ascii="Arial" w:hAnsi="Arial" w:cs="Arial"/>
          <w:color w:val="000000" w:themeColor="text1"/>
        </w:rPr>
        <w:t>março</w:t>
      </w:r>
      <w:r w:rsidR="00A241F7" w:rsidRPr="00F45A1F">
        <w:rPr>
          <w:rFonts w:ascii="Arial" w:hAnsi="Arial" w:cs="Arial"/>
          <w:color w:val="000000" w:themeColor="text1"/>
        </w:rPr>
        <w:t xml:space="preserve"> de 20</w:t>
      </w:r>
      <w:r w:rsidR="00756D34" w:rsidRPr="00F45A1F">
        <w:rPr>
          <w:rFonts w:ascii="Arial" w:hAnsi="Arial" w:cs="Arial"/>
          <w:color w:val="000000" w:themeColor="text1"/>
        </w:rPr>
        <w:t>20</w:t>
      </w:r>
      <w:r w:rsidRPr="00F45A1F">
        <w:rPr>
          <w:rFonts w:ascii="Arial" w:hAnsi="Arial" w:cs="Arial"/>
        </w:rPr>
        <w:t xml:space="preserve">, a taxa utilizada pela Eletrobras </w:t>
      </w:r>
      <w:r w:rsidRPr="00F45A1F">
        <w:rPr>
          <w:rFonts w:ascii="Arial" w:hAnsi="Arial" w:cs="Arial"/>
          <w:color w:val="000000" w:themeColor="text1"/>
        </w:rPr>
        <w:t xml:space="preserve">não reflete esta alteração imediatamente, sendo esta queda suavizada ao longo do tempo. Além disso, a taxa utilizada no cálculo dos juros do mês é defasada em 1 mês. </w:t>
      </w:r>
      <w:r w:rsidR="0039693A" w:rsidRPr="00F45A1F">
        <w:rPr>
          <w:rFonts w:ascii="Arial" w:hAnsi="Arial" w:cs="Arial"/>
          <w:color w:val="000000" w:themeColor="text1"/>
        </w:rPr>
        <w:t>Os prazos de vencimento dos contratos indexados à esta taxa são mais curtos que os demais contratos de financiamento da Companhia. Além disso, apenas 0,</w:t>
      </w:r>
      <w:r w:rsidR="00B665E5" w:rsidRPr="00F45A1F">
        <w:rPr>
          <w:rFonts w:ascii="Arial" w:hAnsi="Arial" w:cs="Arial"/>
          <w:color w:val="000000" w:themeColor="text1"/>
        </w:rPr>
        <w:t>2</w:t>
      </w:r>
      <w:r w:rsidR="0039693A" w:rsidRPr="00F45A1F">
        <w:rPr>
          <w:rFonts w:ascii="Arial" w:hAnsi="Arial" w:cs="Arial"/>
          <w:color w:val="000000" w:themeColor="text1"/>
        </w:rPr>
        <w:t xml:space="preserve">% da dívida total contratada está indexada à SELIC. Outra fração de aproximadamente </w:t>
      </w:r>
      <w:r w:rsidR="00023F57" w:rsidRPr="00F45A1F">
        <w:rPr>
          <w:rFonts w:ascii="Arial" w:hAnsi="Arial" w:cs="Arial"/>
          <w:color w:val="000000" w:themeColor="text1"/>
        </w:rPr>
        <w:t>3,5</w:t>
      </w:r>
      <w:r w:rsidR="0039693A" w:rsidRPr="00F45A1F">
        <w:rPr>
          <w:rFonts w:ascii="Arial" w:hAnsi="Arial" w:cs="Arial"/>
          <w:color w:val="000000" w:themeColor="text1"/>
        </w:rPr>
        <w:t>% do total da dívida da ELETRONUCLEAR está indexada ao</w:t>
      </w:r>
      <w:r w:rsidR="000F358B" w:rsidRPr="00F45A1F">
        <w:rPr>
          <w:rFonts w:ascii="Arial" w:hAnsi="Arial" w:cs="Arial"/>
          <w:color w:val="000000" w:themeColor="text1"/>
        </w:rPr>
        <w:t xml:space="preserve"> Índice de Preços ao Consumidor Amplo -</w:t>
      </w:r>
      <w:r w:rsidR="0039693A" w:rsidRPr="00F45A1F">
        <w:rPr>
          <w:rFonts w:ascii="Arial" w:hAnsi="Arial" w:cs="Arial"/>
          <w:color w:val="000000" w:themeColor="text1"/>
        </w:rPr>
        <w:t xml:space="preserve"> IPCA.</w:t>
      </w:r>
    </w:p>
    <w:p w14:paraId="3A12B77B" w14:textId="77777777" w:rsidR="007312F9" w:rsidRPr="00F45A1F" w:rsidRDefault="00FF4A9D" w:rsidP="005144E2">
      <w:pPr>
        <w:widowControl/>
        <w:jc w:val="both"/>
        <w:rPr>
          <w:rFonts w:ascii="Arial" w:hAnsi="Arial" w:cs="Arial"/>
        </w:rPr>
      </w:pPr>
      <w:r w:rsidRPr="00F45A1F">
        <w:rPr>
          <w:rFonts w:ascii="Arial" w:hAnsi="Arial" w:cs="Arial"/>
        </w:rPr>
        <w:tab/>
      </w:r>
    </w:p>
    <w:p w14:paraId="7B15AE2A" w14:textId="77777777" w:rsidR="006B4A8C" w:rsidRPr="00F45A1F" w:rsidRDefault="003F4719" w:rsidP="005144E2">
      <w:pPr>
        <w:widowControl/>
        <w:jc w:val="both"/>
        <w:rPr>
          <w:rFonts w:ascii="Arial" w:hAnsi="Arial" w:cs="Arial"/>
        </w:rPr>
      </w:pPr>
      <w:r w:rsidRPr="00F45A1F">
        <w:rPr>
          <w:rFonts w:ascii="Arial" w:hAnsi="Arial" w:cs="Arial"/>
        </w:rPr>
        <w:t>Segue abaixo a exposição total do risco de juros:</w:t>
      </w:r>
    </w:p>
    <w:p w14:paraId="09C78237" w14:textId="77777777" w:rsidR="00C353EF" w:rsidRPr="00F45A1F" w:rsidRDefault="00C353EF" w:rsidP="005144E2">
      <w:pPr>
        <w:widowControl/>
        <w:jc w:val="both"/>
        <w:rPr>
          <w:rFonts w:ascii="Arial" w:hAnsi="Arial" w:cs="Arial"/>
          <w:sz w:val="16"/>
          <w:szCs w:val="16"/>
        </w:rPr>
      </w:pPr>
    </w:p>
    <w:p w14:paraId="45DB1C52" w14:textId="77777777" w:rsidR="005D014B" w:rsidRPr="00F45A1F" w:rsidRDefault="00275F4F" w:rsidP="005144E2">
      <w:pPr>
        <w:widowControl/>
        <w:jc w:val="both"/>
        <w:rPr>
          <w:rFonts w:ascii="Arial" w:hAnsi="Arial" w:cs="Arial"/>
        </w:rPr>
      </w:pPr>
      <w:r w:rsidRPr="00F45A1F">
        <w:rPr>
          <w:noProof/>
        </w:rPr>
        <w:drawing>
          <wp:inline distT="0" distB="0" distL="0" distR="0" wp14:anchorId="31816CA5" wp14:editId="4D31BF98">
            <wp:extent cx="6073140" cy="3126153"/>
            <wp:effectExtent l="0" t="0" r="3810" b="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3140" cy="3126153"/>
                    </a:xfrm>
                    <a:prstGeom prst="rect">
                      <a:avLst/>
                    </a:prstGeom>
                    <a:noFill/>
                    <a:ln>
                      <a:noFill/>
                    </a:ln>
                  </pic:spPr>
                </pic:pic>
              </a:graphicData>
            </a:graphic>
          </wp:inline>
        </w:drawing>
      </w:r>
    </w:p>
    <w:p w14:paraId="01DA534E" w14:textId="77777777" w:rsidR="005D014B" w:rsidRPr="00F45A1F" w:rsidRDefault="005D014B" w:rsidP="005144E2">
      <w:pPr>
        <w:widowControl/>
        <w:jc w:val="both"/>
        <w:rPr>
          <w:rFonts w:ascii="Arial" w:hAnsi="Arial" w:cs="Arial"/>
        </w:rPr>
      </w:pPr>
    </w:p>
    <w:p w14:paraId="2FBA7ED3" w14:textId="77777777" w:rsidR="001061A3" w:rsidRPr="00F45A1F" w:rsidRDefault="001061A3" w:rsidP="005144E2">
      <w:pPr>
        <w:widowControl/>
        <w:jc w:val="both"/>
        <w:rPr>
          <w:rFonts w:ascii="Arial" w:hAnsi="Arial" w:cs="Arial"/>
          <w:sz w:val="16"/>
          <w:szCs w:val="16"/>
        </w:rPr>
      </w:pPr>
    </w:p>
    <w:p w14:paraId="20A033EE" w14:textId="77777777" w:rsidR="003F4719" w:rsidRPr="00F45A1F" w:rsidRDefault="003F4719" w:rsidP="005144E2">
      <w:pPr>
        <w:widowControl/>
        <w:tabs>
          <w:tab w:val="left" w:pos="180"/>
        </w:tabs>
        <w:jc w:val="both"/>
        <w:rPr>
          <w:rFonts w:ascii="Arial" w:hAnsi="Arial" w:cs="Arial"/>
          <w:b/>
        </w:rPr>
      </w:pPr>
      <w:r w:rsidRPr="00F45A1F">
        <w:rPr>
          <w:rFonts w:ascii="Arial" w:hAnsi="Arial" w:cs="Arial"/>
          <w:b/>
        </w:rPr>
        <w:t>b) Risco de crédito</w:t>
      </w:r>
    </w:p>
    <w:p w14:paraId="3CF502AF" w14:textId="77777777" w:rsidR="003F4719" w:rsidRPr="00F45A1F" w:rsidRDefault="003F4719" w:rsidP="005144E2">
      <w:pPr>
        <w:widowControl/>
        <w:tabs>
          <w:tab w:val="left" w:pos="180"/>
        </w:tabs>
        <w:jc w:val="both"/>
        <w:rPr>
          <w:rFonts w:ascii="Arial" w:hAnsi="Arial" w:cs="Arial"/>
        </w:rPr>
      </w:pPr>
    </w:p>
    <w:p w14:paraId="1E74C985" w14:textId="77777777" w:rsidR="003F4719" w:rsidRPr="00F45A1F" w:rsidRDefault="003F4719" w:rsidP="005144E2">
      <w:pPr>
        <w:widowControl/>
        <w:jc w:val="both"/>
        <w:rPr>
          <w:rFonts w:ascii="Arial" w:hAnsi="Arial" w:cs="Arial"/>
        </w:rPr>
      </w:pPr>
      <w:r w:rsidRPr="00F45A1F">
        <w:rPr>
          <w:rFonts w:ascii="Arial" w:hAnsi="Arial" w:cs="Arial"/>
        </w:rPr>
        <w:t>Risco de crédito é o risco d</w:t>
      </w:r>
      <w:r w:rsidR="00CB3A54" w:rsidRPr="00F45A1F">
        <w:rPr>
          <w:rFonts w:ascii="Arial" w:hAnsi="Arial" w:cs="Arial"/>
        </w:rPr>
        <w:t xml:space="preserve">e </w:t>
      </w:r>
      <w:r w:rsidR="00BE3E39" w:rsidRPr="00F45A1F">
        <w:rPr>
          <w:rFonts w:ascii="Arial" w:hAnsi="Arial" w:cs="Arial"/>
        </w:rPr>
        <w:t>a</w:t>
      </w:r>
      <w:r w:rsidRPr="00F45A1F">
        <w:rPr>
          <w:rFonts w:ascii="Arial" w:hAnsi="Arial" w:cs="Arial"/>
        </w:rPr>
        <w:t xml:space="preserve">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0163B3E9" w14:textId="77777777" w:rsidR="001061A3" w:rsidRPr="00F45A1F" w:rsidRDefault="001061A3" w:rsidP="005144E2">
      <w:pPr>
        <w:widowControl/>
        <w:jc w:val="both"/>
        <w:rPr>
          <w:rFonts w:ascii="Arial" w:hAnsi="Arial" w:cs="Arial"/>
        </w:rPr>
      </w:pPr>
    </w:p>
    <w:p w14:paraId="68F994C9" w14:textId="77777777" w:rsidR="003F4719" w:rsidRPr="00F45A1F" w:rsidRDefault="003F4719" w:rsidP="005144E2">
      <w:pPr>
        <w:widowControl/>
        <w:jc w:val="both"/>
        <w:rPr>
          <w:rFonts w:ascii="Arial" w:hAnsi="Arial" w:cs="Arial"/>
        </w:rPr>
      </w:pPr>
      <w:r w:rsidRPr="00F45A1F">
        <w:rPr>
          <w:rFonts w:ascii="Arial" w:hAnsi="Arial" w:cs="Arial"/>
        </w:rPr>
        <w:t xml:space="preserve"> A ELETRONUCLEAR, conforme descrito na </w:t>
      </w:r>
      <w:r w:rsidR="008E6B5F" w:rsidRPr="00F45A1F">
        <w:rPr>
          <w:rFonts w:ascii="Arial" w:hAnsi="Arial" w:cs="Arial"/>
        </w:rPr>
        <w:t>n</w:t>
      </w:r>
      <w:r w:rsidRPr="00F45A1F">
        <w:rPr>
          <w:rFonts w:ascii="Arial" w:hAnsi="Arial" w:cs="Arial"/>
        </w:rPr>
        <w:t>ota 1, tem a totalidade da sua geração de energia elétrica, a partir de janeiro de 2013, comercializada através da Câmara de Comercialização de Energia Elétrica - CCEE, com todas as distribuidoras do Sistema Interligado Nacional - SIN.</w:t>
      </w:r>
    </w:p>
    <w:p w14:paraId="49CDC421" w14:textId="77777777" w:rsidR="001061A3" w:rsidRPr="00F45A1F" w:rsidRDefault="001061A3" w:rsidP="005144E2">
      <w:pPr>
        <w:widowControl/>
        <w:jc w:val="both"/>
        <w:rPr>
          <w:rFonts w:ascii="Arial" w:hAnsi="Arial" w:cs="Arial"/>
        </w:rPr>
      </w:pPr>
    </w:p>
    <w:p w14:paraId="75E9F483" w14:textId="77777777" w:rsidR="0046096D" w:rsidRDefault="003F4719" w:rsidP="005144E2">
      <w:pPr>
        <w:widowControl/>
        <w:jc w:val="both"/>
        <w:rPr>
          <w:rFonts w:ascii="Arial" w:hAnsi="Arial" w:cs="Arial"/>
        </w:rPr>
      </w:pPr>
      <w:r w:rsidRPr="00F45A1F">
        <w:rPr>
          <w:rFonts w:ascii="Arial" w:hAnsi="Arial" w:cs="Arial"/>
        </w:rPr>
        <w:t>A Resolução Normativa nº 530, de 21 de dezembro de 2012, evidencia que</w:t>
      </w:r>
      <w:r w:rsidR="00FC2DBC" w:rsidRPr="00F45A1F">
        <w:rPr>
          <w:rFonts w:ascii="Arial" w:hAnsi="Arial" w:cs="Arial"/>
        </w:rPr>
        <w:t>,</w:t>
      </w:r>
      <w:r w:rsidRPr="00F45A1F">
        <w:rPr>
          <w:rFonts w:ascii="Arial" w:hAnsi="Arial" w:cs="Arial"/>
        </w:rPr>
        <w:t xml:space="preserve"> apesar de o faturamento ser repassado pela CCEE, o risco de crédito final é da ELETRONUCLEAR. </w:t>
      </w:r>
    </w:p>
    <w:p w14:paraId="25D1491A" w14:textId="77777777" w:rsidR="00DB4A75" w:rsidRDefault="00DB4A75" w:rsidP="005144E2">
      <w:pPr>
        <w:widowControl/>
        <w:jc w:val="both"/>
        <w:rPr>
          <w:rFonts w:ascii="Arial" w:hAnsi="Arial" w:cs="Arial"/>
        </w:rPr>
      </w:pPr>
    </w:p>
    <w:p w14:paraId="68EE38AB" w14:textId="5B1611E8" w:rsidR="00DB4A75" w:rsidRDefault="00DB4A75" w:rsidP="005144E2">
      <w:pPr>
        <w:widowControl/>
        <w:jc w:val="both"/>
        <w:rPr>
          <w:rFonts w:ascii="Arial" w:hAnsi="Arial" w:cs="Arial"/>
        </w:rPr>
      </w:pPr>
      <w:r>
        <w:rPr>
          <w:rFonts w:ascii="Arial" w:hAnsi="Arial" w:cs="Arial"/>
        </w:rPr>
        <w:t>Os títulos e valores mobiliários de curto prazo</w:t>
      </w:r>
      <w:r w:rsidRPr="00F45A1F">
        <w:rPr>
          <w:rFonts w:ascii="Arial" w:hAnsi="Arial" w:cs="Arial"/>
        </w:rPr>
        <w:t xml:space="preserve"> são mantidos no B</w:t>
      </w:r>
      <w:r>
        <w:rPr>
          <w:rFonts w:ascii="Arial" w:hAnsi="Arial" w:cs="Arial"/>
        </w:rPr>
        <w:t xml:space="preserve">anco do </w:t>
      </w:r>
      <w:r w:rsidRPr="00F45A1F">
        <w:rPr>
          <w:rFonts w:ascii="Arial" w:hAnsi="Arial" w:cs="Arial"/>
        </w:rPr>
        <w:t>B</w:t>
      </w:r>
      <w:r>
        <w:rPr>
          <w:rFonts w:ascii="Arial" w:hAnsi="Arial" w:cs="Arial"/>
        </w:rPr>
        <w:t>rasil</w:t>
      </w:r>
      <w:r w:rsidRPr="00F45A1F">
        <w:rPr>
          <w:rFonts w:ascii="Arial" w:hAnsi="Arial" w:cs="Arial"/>
        </w:rPr>
        <w:t xml:space="preserve"> </w:t>
      </w:r>
      <w:r>
        <w:rPr>
          <w:rFonts w:ascii="Arial" w:hAnsi="Arial" w:cs="Arial"/>
        </w:rPr>
        <w:t>e na Caixa Econômica Federal</w:t>
      </w:r>
      <w:r w:rsidR="00217525">
        <w:rPr>
          <w:rFonts w:ascii="Arial" w:hAnsi="Arial" w:cs="Arial"/>
        </w:rPr>
        <w:t xml:space="preserve"> e est</w:t>
      </w:r>
      <w:r w:rsidRPr="00F45A1F">
        <w:rPr>
          <w:rFonts w:ascii="Arial" w:hAnsi="Arial" w:cs="Arial"/>
        </w:rPr>
        <w:t xml:space="preserve">ão aplicados em </w:t>
      </w:r>
      <w:proofErr w:type="spellStart"/>
      <w:r w:rsidRPr="00F45A1F">
        <w:rPr>
          <w:rFonts w:ascii="Arial" w:hAnsi="Arial" w:cs="Arial"/>
        </w:rPr>
        <w:t>Extramercado</w:t>
      </w:r>
      <w:proofErr w:type="spellEnd"/>
      <w:r w:rsidRPr="00F45A1F">
        <w:rPr>
          <w:rFonts w:ascii="Arial" w:hAnsi="Arial" w:cs="Arial"/>
        </w:rPr>
        <w:t xml:space="preserve"> FAE - Fundo de Investimento em Renda Fixa, que oferece liquidez diária e são compostas, principalmente, de títulos do governo brasileiro e certificados de depósitos bancários. </w:t>
      </w:r>
    </w:p>
    <w:p w14:paraId="1500DD39" w14:textId="77777777" w:rsidR="00217525" w:rsidRDefault="00217525" w:rsidP="005144E2">
      <w:pPr>
        <w:widowControl/>
        <w:jc w:val="both"/>
        <w:rPr>
          <w:rFonts w:ascii="Arial" w:hAnsi="Arial" w:cs="Arial"/>
        </w:rPr>
      </w:pPr>
    </w:p>
    <w:p w14:paraId="5D338529" w14:textId="7DC50367" w:rsidR="00217525" w:rsidRDefault="00217525" w:rsidP="00217525">
      <w:pPr>
        <w:jc w:val="both"/>
        <w:rPr>
          <w:rFonts w:ascii="Arial" w:hAnsi="Arial" w:cs="Arial"/>
        </w:rPr>
      </w:pPr>
      <w:r>
        <w:rPr>
          <w:rFonts w:ascii="Arial" w:hAnsi="Arial" w:cs="Arial"/>
        </w:rPr>
        <w:t xml:space="preserve">Os títulos e valores mobiliários de longo prazo (fundo de </w:t>
      </w:r>
      <w:proofErr w:type="spellStart"/>
      <w:r>
        <w:rPr>
          <w:rFonts w:ascii="Arial" w:hAnsi="Arial" w:cs="Arial"/>
        </w:rPr>
        <w:t>descomissionamento</w:t>
      </w:r>
      <w:proofErr w:type="spellEnd"/>
      <w:r>
        <w:rPr>
          <w:rFonts w:ascii="Arial" w:hAnsi="Arial" w:cs="Arial"/>
        </w:rPr>
        <w:t>) são</w:t>
      </w:r>
      <w:r w:rsidRPr="00F45A1F">
        <w:rPr>
          <w:rFonts w:ascii="Arial" w:hAnsi="Arial" w:cs="Arial"/>
        </w:rPr>
        <w:t xml:space="preserve"> mantido</w:t>
      </w:r>
      <w:r>
        <w:rPr>
          <w:rFonts w:ascii="Arial" w:hAnsi="Arial" w:cs="Arial"/>
        </w:rPr>
        <w:t>s</w:t>
      </w:r>
      <w:r w:rsidRPr="00F45A1F">
        <w:rPr>
          <w:rFonts w:ascii="Arial" w:hAnsi="Arial" w:cs="Arial"/>
        </w:rPr>
        <w:t xml:space="preserve"> </w:t>
      </w:r>
      <w:r>
        <w:rPr>
          <w:rFonts w:ascii="Arial" w:hAnsi="Arial" w:cs="Arial"/>
        </w:rPr>
        <w:t>n</w:t>
      </w:r>
      <w:r w:rsidRPr="00F45A1F">
        <w:rPr>
          <w:rFonts w:ascii="Arial" w:hAnsi="Arial" w:cs="Arial"/>
        </w:rPr>
        <w:t>o Banco do Brasil, atrav</w:t>
      </w:r>
      <w:r>
        <w:rPr>
          <w:rFonts w:ascii="Arial" w:hAnsi="Arial" w:cs="Arial"/>
        </w:rPr>
        <w:t xml:space="preserve">és de um fundo de investimento </w:t>
      </w:r>
      <w:proofErr w:type="spellStart"/>
      <w:r>
        <w:rPr>
          <w:rFonts w:ascii="Arial" w:hAnsi="Arial" w:cs="Arial"/>
        </w:rPr>
        <w:t>E</w:t>
      </w:r>
      <w:r w:rsidRPr="00F45A1F">
        <w:rPr>
          <w:rFonts w:ascii="Arial" w:hAnsi="Arial" w:cs="Arial"/>
        </w:rPr>
        <w:t>xtramercado</w:t>
      </w:r>
      <w:proofErr w:type="spellEnd"/>
      <w:r w:rsidRPr="00F45A1F">
        <w:rPr>
          <w:rFonts w:ascii="Arial" w:hAnsi="Arial" w:cs="Arial"/>
        </w:rPr>
        <w:t xml:space="preserve"> de longo prazo, </w:t>
      </w:r>
      <w:r>
        <w:rPr>
          <w:rFonts w:ascii="Arial" w:hAnsi="Arial" w:cs="Arial"/>
        </w:rPr>
        <w:t>sendo composto principalmente por títulos públicos.</w:t>
      </w:r>
    </w:p>
    <w:p w14:paraId="3CDDE4E9" w14:textId="77777777" w:rsidR="00DB4A75" w:rsidRPr="00F45A1F" w:rsidRDefault="00DB4A75" w:rsidP="005144E2">
      <w:pPr>
        <w:widowControl/>
        <w:jc w:val="both"/>
        <w:rPr>
          <w:rFonts w:ascii="Arial" w:hAnsi="Arial" w:cs="Arial"/>
        </w:rPr>
      </w:pPr>
    </w:p>
    <w:p w14:paraId="2B562D38" w14:textId="77777777" w:rsidR="006115A5" w:rsidRPr="00F45A1F" w:rsidRDefault="006115A5" w:rsidP="005144E2">
      <w:pPr>
        <w:widowControl/>
        <w:jc w:val="both"/>
        <w:rPr>
          <w:rFonts w:ascii="Arial" w:hAnsi="Arial" w:cs="Arial"/>
        </w:rPr>
      </w:pPr>
    </w:p>
    <w:p w14:paraId="241178EA" w14:textId="77777777" w:rsidR="00C826AA" w:rsidRPr="00F45A1F" w:rsidRDefault="003F4719" w:rsidP="005144E2">
      <w:pPr>
        <w:widowControl/>
        <w:jc w:val="both"/>
        <w:rPr>
          <w:rFonts w:ascii="Arial" w:hAnsi="Arial" w:cs="Arial"/>
        </w:rPr>
      </w:pPr>
      <w:r w:rsidRPr="00F45A1F">
        <w:rPr>
          <w:rFonts w:ascii="Arial" w:hAnsi="Arial" w:cs="Arial"/>
        </w:rPr>
        <w:t xml:space="preserve">Dessa forma, a ELETRONUCLEAR monitora constantemente os possíveis efeitos e a eventual necessidade de contratação de instrumentos de proteção. </w:t>
      </w:r>
    </w:p>
    <w:p w14:paraId="4D586BFE" w14:textId="77777777" w:rsidR="006115A5" w:rsidRPr="00F45A1F" w:rsidRDefault="006115A5" w:rsidP="005144E2">
      <w:pPr>
        <w:widowControl/>
        <w:jc w:val="both"/>
        <w:rPr>
          <w:rFonts w:ascii="Arial" w:hAnsi="Arial" w:cs="Arial"/>
        </w:rPr>
      </w:pPr>
    </w:p>
    <w:p w14:paraId="5433D7F3" w14:textId="77777777" w:rsidR="00CB3A54" w:rsidRPr="00F45A1F" w:rsidRDefault="00761B8A" w:rsidP="005144E2">
      <w:pPr>
        <w:widowControl/>
        <w:jc w:val="both"/>
        <w:rPr>
          <w:rFonts w:ascii="Arial" w:hAnsi="Arial" w:cs="Arial"/>
          <w:color w:val="FF0000"/>
        </w:rPr>
      </w:pPr>
      <w:r w:rsidRPr="00F45A1F">
        <w:rPr>
          <w:rFonts w:ascii="Arial" w:hAnsi="Arial" w:cs="Arial"/>
        </w:rPr>
        <w:t>N</w:t>
      </w:r>
      <w:r w:rsidR="00391C8B" w:rsidRPr="00F45A1F">
        <w:rPr>
          <w:rFonts w:ascii="Arial" w:hAnsi="Arial" w:cs="Arial"/>
        </w:rPr>
        <w:t xml:space="preserve">ão </w:t>
      </w:r>
      <w:r w:rsidR="00CB3A54" w:rsidRPr="00F45A1F">
        <w:rPr>
          <w:rFonts w:ascii="Arial" w:hAnsi="Arial" w:cs="Arial"/>
        </w:rPr>
        <w:t>houve registro de inadimplência por parte das distribuidoras</w:t>
      </w:r>
      <w:r w:rsidR="00241BB4" w:rsidRPr="00F45A1F">
        <w:rPr>
          <w:rFonts w:ascii="Arial" w:hAnsi="Arial" w:cs="Arial"/>
        </w:rPr>
        <w:t xml:space="preserve"> em </w:t>
      </w:r>
      <w:r w:rsidR="00C45CFE" w:rsidRPr="00F45A1F">
        <w:rPr>
          <w:rFonts w:ascii="Arial" w:hAnsi="Arial" w:cs="Arial"/>
        </w:rPr>
        <w:t xml:space="preserve">31 de </w:t>
      </w:r>
      <w:r w:rsidR="00ED7006" w:rsidRPr="00F45A1F">
        <w:rPr>
          <w:rFonts w:ascii="Arial" w:hAnsi="Arial" w:cs="Arial"/>
        </w:rPr>
        <w:t>março</w:t>
      </w:r>
      <w:r w:rsidR="00C45CFE" w:rsidRPr="00F45A1F">
        <w:rPr>
          <w:rFonts w:ascii="Arial" w:hAnsi="Arial" w:cs="Arial"/>
        </w:rPr>
        <w:t xml:space="preserve"> de </w:t>
      </w:r>
      <w:r w:rsidR="00241BB4" w:rsidRPr="00F45A1F">
        <w:rPr>
          <w:rFonts w:ascii="Arial" w:hAnsi="Arial" w:cs="Arial"/>
        </w:rPr>
        <w:t>20</w:t>
      </w:r>
      <w:r w:rsidR="00ED7006" w:rsidRPr="00F45A1F">
        <w:rPr>
          <w:rFonts w:ascii="Arial" w:hAnsi="Arial" w:cs="Arial"/>
        </w:rPr>
        <w:t>20</w:t>
      </w:r>
      <w:r w:rsidR="00CB3A54" w:rsidRPr="00F45A1F">
        <w:rPr>
          <w:rFonts w:ascii="Arial" w:hAnsi="Arial" w:cs="Arial"/>
        </w:rPr>
        <w:t>.</w:t>
      </w:r>
    </w:p>
    <w:p w14:paraId="63F05599" w14:textId="77777777" w:rsidR="00F22E59" w:rsidRPr="00F45A1F" w:rsidRDefault="00F22E59" w:rsidP="005144E2">
      <w:pPr>
        <w:widowControl/>
        <w:jc w:val="both"/>
        <w:rPr>
          <w:rFonts w:ascii="Arial" w:hAnsi="Arial" w:cs="Arial"/>
        </w:rPr>
      </w:pPr>
    </w:p>
    <w:p w14:paraId="1610C3FF" w14:textId="77777777" w:rsidR="003F4719" w:rsidRPr="00F45A1F" w:rsidRDefault="003F4719" w:rsidP="005144E2">
      <w:pPr>
        <w:widowControl/>
        <w:jc w:val="both"/>
        <w:rPr>
          <w:rFonts w:ascii="Arial" w:hAnsi="Arial" w:cs="Arial"/>
        </w:rPr>
      </w:pPr>
      <w:r w:rsidRPr="00F45A1F">
        <w:rPr>
          <w:rFonts w:ascii="Arial" w:hAnsi="Arial" w:cs="Arial"/>
        </w:rPr>
        <w:t>Abaixo, apresentamos as principais contas sujeitas a risco de crédito:</w:t>
      </w:r>
    </w:p>
    <w:p w14:paraId="1C3BD951" w14:textId="77777777" w:rsidR="001061A3" w:rsidRPr="00F45A1F" w:rsidRDefault="001061A3" w:rsidP="005144E2">
      <w:pPr>
        <w:widowControl/>
        <w:jc w:val="both"/>
        <w:rPr>
          <w:rFonts w:ascii="Arial" w:hAnsi="Arial" w:cs="Arial"/>
          <w:sz w:val="16"/>
          <w:szCs w:val="16"/>
        </w:rPr>
      </w:pPr>
    </w:p>
    <w:p w14:paraId="3F0CBD6F" w14:textId="77777777" w:rsidR="00C61C10" w:rsidRPr="00F45A1F" w:rsidRDefault="00230CE4" w:rsidP="005144E2">
      <w:pPr>
        <w:widowControl/>
        <w:tabs>
          <w:tab w:val="left" w:pos="180"/>
        </w:tabs>
        <w:jc w:val="both"/>
        <w:rPr>
          <w:rFonts w:ascii="Arial" w:hAnsi="Arial" w:cs="Arial"/>
          <w:noProof/>
        </w:rPr>
      </w:pPr>
      <w:r w:rsidRPr="00F45A1F">
        <w:rPr>
          <w:noProof/>
        </w:rPr>
        <w:drawing>
          <wp:inline distT="0" distB="0" distL="0" distR="0" wp14:anchorId="08901944" wp14:editId="1B260086">
            <wp:extent cx="4733925" cy="1543050"/>
            <wp:effectExtent l="0" t="0" r="9525" b="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1543050"/>
                    </a:xfrm>
                    <a:prstGeom prst="rect">
                      <a:avLst/>
                    </a:prstGeom>
                    <a:noFill/>
                    <a:ln>
                      <a:noFill/>
                    </a:ln>
                  </pic:spPr>
                </pic:pic>
              </a:graphicData>
            </a:graphic>
          </wp:inline>
        </w:drawing>
      </w:r>
    </w:p>
    <w:p w14:paraId="66CC3053" w14:textId="77777777" w:rsidR="00C81EEF" w:rsidRPr="00F45A1F" w:rsidRDefault="00C81EEF" w:rsidP="005144E2">
      <w:pPr>
        <w:widowControl/>
        <w:tabs>
          <w:tab w:val="left" w:pos="180"/>
        </w:tabs>
        <w:jc w:val="both"/>
        <w:rPr>
          <w:rFonts w:ascii="Arial" w:hAnsi="Arial" w:cs="Arial"/>
          <w:noProof/>
        </w:rPr>
      </w:pPr>
    </w:p>
    <w:p w14:paraId="4266DAA9" w14:textId="2A748D7A" w:rsidR="00FB0124" w:rsidRPr="00F45A1F" w:rsidRDefault="00BC69AE" w:rsidP="005144E2">
      <w:pPr>
        <w:pStyle w:val="Corpodetexto"/>
        <w:ind w:right="121"/>
        <w:jc w:val="both"/>
        <w:rPr>
          <w:rFonts w:ascii="Arial" w:hAnsi="Arial" w:cs="Arial"/>
          <w:noProof/>
        </w:rPr>
      </w:pPr>
      <w:r w:rsidRPr="00BC69AE">
        <w:rPr>
          <w:noProof/>
        </w:rPr>
        <w:drawing>
          <wp:inline distT="0" distB="0" distL="0" distR="0" wp14:anchorId="22F6C29A" wp14:editId="6D7AC2A0">
            <wp:extent cx="4619625" cy="1181100"/>
            <wp:effectExtent l="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1181100"/>
                    </a:xfrm>
                    <a:prstGeom prst="rect">
                      <a:avLst/>
                    </a:prstGeom>
                    <a:noFill/>
                    <a:ln>
                      <a:noFill/>
                    </a:ln>
                  </pic:spPr>
                </pic:pic>
              </a:graphicData>
            </a:graphic>
          </wp:inline>
        </w:drawing>
      </w:r>
    </w:p>
    <w:p w14:paraId="7EDF5E8E" w14:textId="77777777" w:rsidR="00FB0124" w:rsidRPr="00F45A1F" w:rsidRDefault="00FB0124" w:rsidP="005144E2">
      <w:pPr>
        <w:pStyle w:val="Corpodetexto"/>
        <w:ind w:right="121"/>
        <w:jc w:val="both"/>
        <w:rPr>
          <w:rFonts w:ascii="Arial" w:hAnsi="Arial" w:cs="Arial"/>
          <w:noProof/>
        </w:rPr>
      </w:pPr>
    </w:p>
    <w:p w14:paraId="5A3B73A2" w14:textId="77777777" w:rsidR="00437003" w:rsidRPr="00F45A1F" w:rsidRDefault="000772FB" w:rsidP="005144E2">
      <w:pPr>
        <w:pStyle w:val="Corpodetexto"/>
        <w:ind w:right="121"/>
        <w:jc w:val="both"/>
        <w:rPr>
          <w:rFonts w:ascii="Arial" w:hAnsi="Arial" w:cs="Arial"/>
          <w:noProof/>
        </w:rPr>
      </w:pPr>
      <w:r w:rsidRPr="00F45A1F">
        <w:rPr>
          <w:noProof/>
        </w:rPr>
        <w:drawing>
          <wp:inline distT="0" distB="0" distL="0" distR="0" wp14:anchorId="54B7BD5E" wp14:editId="27E8B16A">
            <wp:extent cx="6073140" cy="6445797"/>
            <wp:effectExtent l="0" t="0" r="3810" b="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3140" cy="6445797"/>
                    </a:xfrm>
                    <a:prstGeom prst="rect">
                      <a:avLst/>
                    </a:prstGeom>
                    <a:noFill/>
                    <a:ln>
                      <a:noFill/>
                    </a:ln>
                  </pic:spPr>
                </pic:pic>
              </a:graphicData>
            </a:graphic>
          </wp:inline>
        </w:drawing>
      </w:r>
    </w:p>
    <w:p w14:paraId="35CFE60B" w14:textId="77777777" w:rsidR="00674B04" w:rsidRPr="00F45A1F" w:rsidRDefault="00674B04" w:rsidP="005144E2">
      <w:pPr>
        <w:pStyle w:val="Corpodetexto"/>
        <w:ind w:right="121"/>
        <w:jc w:val="both"/>
        <w:rPr>
          <w:rFonts w:ascii="Arial" w:hAnsi="Arial" w:cs="Arial"/>
          <w:noProof/>
        </w:rPr>
      </w:pPr>
    </w:p>
    <w:p w14:paraId="03B905D2" w14:textId="77777777" w:rsidR="001061A3" w:rsidRPr="00F45A1F" w:rsidRDefault="001061A3" w:rsidP="005144E2">
      <w:pPr>
        <w:pStyle w:val="Corpodetexto"/>
        <w:ind w:right="121"/>
        <w:jc w:val="both"/>
        <w:rPr>
          <w:rFonts w:ascii="Arial" w:hAnsi="Arial" w:cs="Arial"/>
          <w:noProof/>
          <w:sz w:val="16"/>
          <w:szCs w:val="16"/>
        </w:rPr>
      </w:pPr>
    </w:p>
    <w:p w14:paraId="6C210A40" w14:textId="77777777" w:rsidR="004C2674" w:rsidRPr="00F45A1F" w:rsidRDefault="004C2674" w:rsidP="005144E2">
      <w:pPr>
        <w:widowControl/>
        <w:tabs>
          <w:tab w:val="left" w:pos="180"/>
        </w:tabs>
        <w:jc w:val="both"/>
        <w:rPr>
          <w:rFonts w:ascii="Arial" w:hAnsi="Arial" w:cs="Arial"/>
          <w:b/>
        </w:rPr>
      </w:pPr>
      <w:r w:rsidRPr="00F45A1F">
        <w:rPr>
          <w:rFonts w:ascii="Arial" w:hAnsi="Arial" w:cs="Arial"/>
          <w:b/>
        </w:rPr>
        <w:t>c) Risco de liquidez</w:t>
      </w:r>
    </w:p>
    <w:p w14:paraId="4A932599" w14:textId="77777777" w:rsidR="004C2674" w:rsidRPr="00F45A1F" w:rsidRDefault="004C2674" w:rsidP="005144E2">
      <w:pPr>
        <w:widowControl/>
        <w:tabs>
          <w:tab w:val="left" w:pos="180"/>
        </w:tabs>
        <w:jc w:val="both"/>
        <w:rPr>
          <w:rFonts w:ascii="Arial" w:hAnsi="Arial" w:cs="Arial"/>
          <w:b/>
        </w:rPr>
      </w:pPr>
    </w:p>
    <w:p w14:paraId="0A162B3D" w14:textId="77777777" w:rsidR="00AC22E7" w:rsidRPr="00F45A1F" w:rsidRDefault="004C2674" w:rsidP="005144E2">
      <w:pPr>
        <w:widowControl/>
        <w:tabs>
          <w:tab w:val="left" w:pos="180"/>
        </w:tabs>
        <w:jc w:val="both"/>
        <w:rPr>
          <w:rFonts w:ascii="Arial" w:hAnsi="Arial" w:cs="Arial"/>
        </w:rPr>
      </w:pPr>
      <w:r w:rsidRPr="00F45A1F">
        <w:rPr>
          <w:rFonts w:ascii="Arial" w:hAnsi="Arial" w:cs="Arial"/>
        </w:rPr>
        <w:t>Risco de liquidez é o risco d</w:t>
      </w:r>
      <w:r w:rsidR="004E7279" w:rsidRPr="00F45A1F">
        <w:rPr>
          <w:rFonts w:ascii="Arial" w:hAnsi="Arial" w:cs="Arial"/>
        </w:rPr>
        <w:t xml:space="preserve">e </w:t>
      </w:r>
      <w:r w:rsidRPr="00F45A1F">
        <w:rPr>
          <w:rFonts w:ascii="Arial" w:hAnsi="Arial" w:cs="Arial"/>
        </w:rPr>
        <w:t xml:space="preserve">a Companhia encontrar dificuldades em cumprir com as obrigações associadas a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Entidade. </w:t>
      </w:r>
    </w:p>
    <w:p w14:paraId="0F856FAC" w14:textId="77777777" w:rsidR="00AC22E7" w:rsidRPr="00F45A1F" w:rsidRDefault="00AC22E7" w:rsidP="005144E2">
      <w:pPr>
        <w:widowControl/>
        <w:tabs>
          <w:tab w:val="left" w:pos="180"/>
        </w:tabs>
        <w:jc w:val="both"/>
        <w:rPr>
          <w:rFonts w:ascii="Arial" w:hAnsi="Arial" w:cs="Arial"/>
        </w:rPr>
      </w:pPr>
    </w:p>
    <w:p w14:paraId="0D19C8EB" w14:textId="77777777" w:rsidR="004C2674" w:rsidRPr="00F45A1F" w:rsidRDefault="004C2674" w:rsidP="005144E2">
      <w:pPr>
        <w:widowControl/>
        <w:tabs>
          <w:tab w:val="left" w:pos="180"/>
        </w:tabs>
        <w:jc w:val="both"/>
        <w:rPr>
          <w:rFonts w:ascii="Arial" w:hAnsi="Arial" w:cs="Arial"/>
        </w:rPr>
      </w:pPr>
      <w:r w:rsidRPr="00F45A1F">
        <w:rPr>
          <w:rFonts w:ascii="Arial" w:hAnsi="Arial" w:cs="Arial"/>
        </w:rPr>
        <w:t xml:space="preserve">Os planos da administração da Companhia estão descritos na nota </w:t>
      </w:r>
      <w:r w:rsidR="003C4F3B" w:rsidRPr="00F45A1F">
        <w:rPr>
          <w:rFonts w:ascii="Arial" w:hAnsi="Arial" w:cs="Arial"/>
        </w:rPr>
        <w:t>4.1 d</w:t>
      </w:r>
      <w:r w:rsidR="00092F5C" w:rsidRPr="00F45A1F">
        <w:rPr>
          <w:rFonts w:ascii="Arial" w:hAnsi="Arial" w:cs="Arial"/>
        </w:rPr>
        <w:t>, que inclui</w:t>
      </w:r>
      <w:r w:rsidRPr="00F45A1F">
        <w:rPr>
          <w:rFonts w:ascii="Arial" w:hAnsi="Arial" w:cs="Arial"/>
        </w:rPr>
        <w:t xml:space="preserve"> dentre outras, a necessidade de suporte financeiro de terceiros.</w:t>
      </w:r>
    </w:p>
    <w:p w14:paraId="313D9206" w14:textId="77777777" w:rsidR="000772FB" w:rsidRPr="00F45A1F" w:rsidRDefault="000772FB" w:rsidP="005144E2">
      <w:pPr>
        <w:widowControl/>
        <w:tabs>
          <w:tab w:val="left" w:pos="180"/>
        </w:tabs>
        <w:jc w:val="both"/>
        <w:rPr>
          <w:rFonts w:ascii="Arial" w:hAnsi="Arial" w:cs="Arial"/>
        </w:rPr>
      </w:pPr>
    </w:p>
    <w:p w14:paraId="2217C1EE" w14:textId="77777777" w:rsidR="003A26BC" w:rsidRPr="00F45A1F" w:rsidRDefault="003A26BC" w:rsidP="005144E2">
      <w:pPr>
        <w:widowControl/>
        <w:tabs>
          <w:tab w:val="left" w:pos="180"/>
        </w:tabs>
        <w:jc w:val="both"/>
        <w:rPr>
          <w:rFonts w:ascii="Arial" w:hAnsi="Arial" w:cs="Arial"/>
          <w:sz w:val="16"/>
          <w:szCs w:val="16"/>
        </w:rPr>
      </w:pPr>
    </w:p>
    <w:p w14:paraId="04778176" w14:textId="77777777" w:rsidR="004C2674" w:rsidRPr="00F45A1F" w:rsidRDefault="004C2674" w:rsidP="005144E2">
      <w:pPr>
        <w:widowControl/>
        <w:tabs>
          <w:tab w:val="left" w:pos="180"/>
        </w:tabs>
        <w:jc w:val="both"/>
        <w:rPr>
          <w:rFonts w:ascii="Arial" w:hAnsi="Arial" w:cs="Arial"/>
          <w:b/>
        </w:rPr>
      </w:pPr>
      <w:r w:rsidRPr="00F45A1F">
        <w:rPr>
          <w:rFonts w:ascii="Arial" w:hAnsi="Arial" w:cs="Arial"/>
          <w:b/>
        </w:rPr>
        <w:t xml:space="preserve">- Índices de liquidez: </w:t>
      </w:r>
    </w:p>
    <w:p w14:paraId="77AE2F9B" w14:textId="77777777" w:rsidR="004C2674" w:rsidRPr="00F45A1F" w:rsidRDefault="004C2674" w:rsidP="005144E2">
      <w:pPr>
        <w:widowControl/>
        <w:tabs>
          <w:tab w:val="left" w:pos="180"/>
        </w:tabs>
        <w:jc w:val="both"/>
        <w:rPr>
          <w:rFonts w:ascii="Arial" w:hAnsi="Arial" w:cs="Arial"/>
        </w:rPr>
      </w:pPr>
    </w:p>
    <w:p w14:paraId="70653FCC" w14:textId="77777777" w:rsidR="004C2674" w:rsidRPr="00F45A1F" w:rsidRDefault="004C2674" w:rsidP="005144E2">
      <w:pPr>
        <w:widowControl/>
        <w:tabs>
          <w:tab w:val="left" w:pos="180"/>
        </w:tabs>
        <w:jc w:val="both"/>
        <w:rPr>
          <w:rFonts w:ascii="Arial" w:hAnsi="Arial" w:cs="Arial"/>
        </w:rPr>
      </w:pPr>
      <w:r w:rsidRPr="00F45A1F">
        <w:rPr>
          <w:rFonts w:ascii="Arial" w:hAnsi="Arial" w:cs="Arial"/>
        </w:rPr>
        <w:t>A Companhia monitora seu nível de liquidez considerando os fluxos de caixa esperados em contrapartida ao montante disponível em caixa e equivalentes de caixa. A gestão deste risco implica manter caixa e equivalentes, além de aplicações que permitam à Companhia ter capacidade de liquidar suas posições de mercado nos respectivos vencimentos. Abaixo, apresentamos os principais indicadores:</w:t>
      </w:r>
    </w:p>
    <w:p w14:paraId="774D63ED" w14:textId="77777777" w:rsidR="004C2674" w:rsidRPr="00F45A1F" w:rsidRDefault="004C2674" w:rsidP="005144E2">
      <w:pPr>
        <w:widowControl/>
        <w:tabs>
          <w:tab w:val="left" w:pos="180"/>
        </w:tabs>
        <w:jc w:val="both"/>
        <w:rPr>
          <w:rFonts w:ascii="Arial" w:hAnsi="Arial" w:cs="Arial"/>
        </w:rPr>
      </w:pPr>
    </w:p>
    <w:p w14:paraId="6EFF6DCF" w14:textId="6AE206A7" w:rsidR="004C2674" w:rsidRPr="00F45A1F" w:rsidRDefault="004C2674" w:rsidP="005144E2">
      <w:pPr>
        <w:widowControl/>
        <w:tabs>
          <w:tab w:val="left" w:pos="180"/>
        </w:tabs>
        <w:jc w:val="both"/>
        <w:rPr>
          <w:rFonts w:ascii="Arial" w:hAnsi="Arial" w:cs="Arial"/>
        </w:rPr>
      </w:pPr>
      <w:r w:rsidRPr="00F45A1F">
        <w:rPr>
          <w:rFonts w:ascii="Arial" w:hAnsi="Arial" w:cs="Arial"/>
        </w:rPr>
        <w:t xml:space="preserve">- a comparação entre os direitos realizáveis e as exigibilidades, de curto prazo, aponta um índice de liquidez corrente de </w:t>
      </w:r>
      <w:r w:rsidR="003A26BC" w:rsidRPr="00F45A1F">
        <w:rPr>
          <w:rFonts w:ascii="Arial" w:hAnsi="Arial" w:cs="Arial"/>
        </w:rPr>
        <w:t>0,6</w:t>
      </w:r>
      <w:r w:rsidR="005860CB">
        <w:rPr>
          <w:rFonts w:ascii="Arial" w:hAnsi="Arial" w:cs="Arial"/>
        </w:rPr>
        <w:t>2</w:t>
      </w:r>
      <w:r w:rsidR="00756D34" w:rsidRPr="00F45A1F">
        <w:rPr>
          <w:rFonts w:ascii="Arial" w:hAnsi="Arial" w:cs="Arial"/>
        </w:rPr>
        <w:t xml:space="preserve"> </w:t>
      </w:r>
      <w:r w:rsidR="00F42FDB" w:rsidRPr="00F45A1F">
        <w:rPr>
          <w:rFonts w:ascii="Arial" w:hAnsi="Arial" w:cs="Arial"/>
        </w:rPr>
        <w:t xml:space="preserve">em 31 de </w:t>
      </w:r>
      <w:r w:rsidR="00756D34" w:rsidRPr="00F45A1F">
        <w:rPr>
          <w:rFonts w:ascii="Arial" w:hAnsi="Arial" w:cs="Arial"/>
        </w:rPr>
        <w:t xml:space="preserve">março </w:t>
      </w:r>
      <w:r w:rsidR="00F42FDB" w:rsidRPr="00F45A1F">
        <w:rPr>
          <w:rFonts w:ascii="Arial" w:hAnsi="Arial" w:cs="Arial"/>
        </w:rPr>
        <w:t>de 20</w:t>
      </w:r>
      <w:r w:rsidR="00756D34" w:rsidRPr="00F45A1F">
        <w:rPr>
          <w:rFonts w:ascii="Arial" w:hAnsi="Arial" w:cs="Arial"/>
        </w:rPr>
        <w:t>20</w:t>
      </w:r>
      <w:r w:rsidR="00F42FDB" w:rsidRPr="00F45A1F">
        <w:rPr>
          <w:rFonts w:ascii="Arial" w:hAnsi="Arial" w:cs="Arial"/>
        </w:rPr>
        <w:t xml:space="preserve"> </w:t>
      </w:r>
      <w:r w:rsidRPr="00F45A1F">
        <w:rPr>
          <w:rFonts w:ascii="Arial" w:hAnsi="Arial" w:cs="Arial"/>
        </w:rPr>
        <w:t>(</w:t>
      </w:r>
      <w:r w:rsidR="00ED4D77" w:rsidRPr="00F45A1F">
        <w:rPr>
          <w:rFonts w:ascii="Arial" w:hAnsi="Arial" w:cs="Arial"/>
        </w:rPr>
        <w:t>0</w:t>
      </w:r>
      <w:r w:rsidRPr="00F45A1F">
        <w:rPr>
          <w:rFonts w:ascii="Arial" w:hAnsi="Arial" w:cs="Arial"/>
        </w:rPr>
        <w:t>,</w:t>
      </w:r>
      <w:r w:rsidR="00ED4D77" w:rsidRPr="00F45A1F">
        <w:rPr>
          <w:rFonts w:ascii="Arial" w:hAnsi="Arial" w:cs="Arial"/>
        </w:rPr>
        <w:t>6</w:t>
      </w:r>
      <w:r w:rsidR="00756D34" w:rsidRPr="00F45A1F">
        <w:rPr>
          <w:rFonts w:ascii="Arial" w:hAnsi="Arial" w:cs="Arial"/>
        </w:rPr>
        <w:t>5 e</w:t>
      </w:r>
      <w:r w:rsidRPr="00F45A1F">
        <w:rPr>
          <w:rFonts w:ascii="Arial" w:hAnsi="Arial" w:cs="Arial"/>
        </w:rPr>
        <w:t xml:space="preserve">m 31 de </w:t>
      </w:r>
      <w:r w:rsidR="001061A3" w:rsidRPr="00F45A1F">
        <w:rPr>
          <w:rFonts w:ascii="Arial" w:hAnsi="Arial" w:cs="Arial"/>
        </w:rPr>
        <w:t>d</w:t>
      </w:r>
      <w:r w:rsidR="00ED4D77" w:rsidRPr="00F45A1F">
        <w:rPr>
          <w:rFonts w:ascii="Arial" w:hAnsi="Arial" w:cs="Arial"/>
        </w:rPr>
        <w:t>ezembro</w:t>
      </w:r>
      <w:r w:rsidR="00756D34" w:rsidRPr="00F45A1F">
        <w:rPr>
          <w:rFonts w:ascii="Arial" w:hAnsi="Arial" w:cs="Arial"/>
        </w:rPr>
        <w:t xml:space="preserve"> </w:t>
      </w:r>
      <w:r w:rsidRPr="00F45A1F">
        <w:rPr>
          <w:rFonts w:ascii="Arial" w:hAnsi="Arial" w:cs="Arial"/>
        </w:rPr>
        <w:t>de 201</w:t>
      </w:r>
      <w:r w:rsidR="00756D34" w:rsidRPr="00F45A1F">
        <w:rPr>
          <w:rFonts w:ascii="Arial" w:hAnsi="Arial" w:cs="Arial"/>
        </w:rPr>
        <w:t>9</w:t>
      </w:r>
      <w:r w:rsidRPr="00F45A1F">
        <w:rPr>
          <w:rFonts w:ascii="Arial" w:hAnsi="Arial" w:cs="Arial"/>
        </w:rPr>
        <w:t xml:space="preserve">) </w:t>
      </w:r>
      <w:proofErr w:type="gramStart"/>
      <w:r w:rsidRPr="00F45A1F">
        <w:rPr>
          <w:rFonts w:ascii="Arial" w:hAnsi="Arial" w:cs="Arial"/>
        </w:rPr>
        <w:t>e</w:t>
      </w:r>
      <w:proofErr w:type="gramEnd"/>
    </w:p>
    <w:p w14:paraId="5824A1FF" w14:textId="77777777" w:rsidR="004C2674" w:rsidRPr="00F45A1F" w:rsidRDefault="004C2674" w:rsidP="005144E2">
      <w:pPr>
        <w:widowControl/>
        <w:tabs>
          <w:tab w:val="left" w:pos="180"/>
        </w:tabs>
        <w:jc w:val="both"/>
        <w:rPr>
          <w:rFonts w:ascii="Arial" w:hAnsi="Arial" w:cs="Arial"/>
        </w:rPr>
      </w:pPr>
    </w:p>
    <w:p w14:paraId="1067A0F6" w14:textId="77777777" w:rsidR="004C2674" w:rsidRPr="00F45A1F" w:rsidRDefault="004C2674" w:rsidP="005144E2">
      <w:pPr>
        <w:widowControl/>
        <w:tabs>
          <w:tab w:val="left" w:pos="180"/>
        </w:tabs>
        <w:jc w:val="both"/>
        <w:rPr>
          <w:rFonts w:ascii="Arial" w:hAnsi="Arial" w:cs="Arial"/>
        </w:rPr>
      </w:pPr>
      <w:r w:rsidRPr="00F45A1F">
        <w:rPr>
          <w:rFonts w:ascii="Arial" w:hAnsi="Arial" w:cs="Arial"/>
        </w:rPr>
        <w:t xml:space="preserve">- a comparação entre os direitos realizáveis e as exigibilidades, de curto e de longo prazo, revela um índice de liquidez geral de </w:t>
      </w:r>
      <w:r w:rsidR="001219AE" w:rsidRPr="00F45A1F">
        <w:rPr>
          <w:rFonts w:ascii="Arial" w:hAnsi="Arial" w:cs="Arial"/>
        </w:rPr>
        <w:t xml:space="preserve">0,28 </w:t>
      </w:r>
      <w:r w:rsidR="00F42FDB" w:rsidRPr="00F45A1F">
        <w:rPr>
          <w:rFonts w:ascii="Arial" w:hAnsi="Arial" w:cs="Arial"/>
        </w:rPr>
        <w:t xml:space="preserve">em 31 de </w:t>
      </w:r>
      <w:r w:rsidR="00756D34" w:rsidRPr="00F45A1F">
        <w:rPr>
          <w:rFonts w:ascii="Arial" w:hAnsi="Arial" w:cs="Arial"/>
        </w:rPr>
        <w:t>março</w:t>
      </w:r>
      <w:r w:rsidR="00F42FDB" w:rsidRPr="00F45A1F">
        <w:rPr>
          <w:rFonts w:ascii="Arial" w:hAnsi="Arial" w:cs="Arial"/>
        </w:rPr>
        <w:t xml:space="preserve"> de 20</w:t>
      </w:r>
      <w:r w:rsidR="00756D34" w:rsidRPr="00F45A1F">
        <w:rPr>
          <w:rFonts w:ascii="Arial" w:hAnsi="Arial" w:cs="Arial"/>
        </w:rPr>
        <w:t>20</w:t>
      </w:r>
      <w:r w:rsidR="00F42FDB" w:rsidRPr="00F45A1F">
        <w:rPr>
          <w:rFonts w:ascii="Arial" w:hAnsi="Arial" w:cs="Arial"/>
        </w:rPr>
        <w:t xml:space="preserve"> </w:t>
      </w:r>
      <w:r w:rsidRPr="00F45A1F">
        <w:rPr>
          <w:rFonts w:ascii="Arial" w:hAnsi="Arial" w:cs="Arial"/>
        </w:rPr>
        <w:t>(</w:t>
      </w:r>
      <w:r w:rsidR="00ED4D77" w:rsidRPr="00F45A1F">
        <w:rPr>
          <w:rFonts w:ascii="Arial" w:hAnsi="Arial" w:cs="Arial"/>
        </w:rPr>
        <w:t>0</w:t>
      </w:r>
      <w:r w:rsidR="008D695D" w:rsidRPr="00F45A1F">
        <w:rPr>
          <w:rFonts w:ascii="Arial" w:hAnsi="Arial" w:cs="Arial"/>
        </w:rPr>
        <w:t>,</w:t>
      </w:r>
      <w:r w:rsidR="00ED4D77" w:rsidRPr="00F45A1F">
        <w:rPr>
          <w:rFonts w:ascii="Arial" w:hAnsi="Arial" w:cs="Arial"/>
        </w:rPr>
        <w:t>2</w:t>
      </w:r>
      <w:r w:rsidR="00756D34" w:rsidRPr="00F45A1F">
        <w:rPr>
          <w:rFonts w:ascii="Arial" w:hAnsi="Arial" w:cs="Arial"/>
        </w:rPr>
        <w:t>4</w:t>
      </w:r>
      <w:r w:rsidRPr="00F45A1F">
        <w:rPr>
          <w:rFonts w:ascii="Arial" w:hAnsi="Arial" w:cs="Arial"/>
        </w:rPr>
        <w:t xml:space="preserve"> em 31 de </w:t>
      </w:r>
      <w:r w:rsidR="00F42FDB" w:rsidRPr="00F45A1F">
        <w:rPr>
          <w:rFonts w:ascii="Arial" w:hAnsi="Arial" w:cs="Arial"/>
        </w:rPr>
        <w:t>d</w:t>
      </w:r>
      <w:r w:rsidR="00ED4D77" w:rsidRPr="00F45A1F">
        <w:rPr>
          <w:rFonts w:ascii="Arial" w:hAnsi="Arial" w:cs="Arial"/>
        </w:rPr>
        <w:t>ezembro</w:t>
      </w:r>
      <w:r w:rsidRPr="00F45A1F">
        <w:rPr>
          <w:rFonts w:ascii="Arial" w:hAnsi="Arial" w:cs="Arial"/>
        </w:rPr>
        <w:t xml:space="preserve"> de 201</w:t>
      </w:r>
      <w:r w:rsidR="00756D34" w:rsidRPr="00F45A1F">
        <w:rPr>
          <w:rFonts w:ascii="Arial" w:hAnsi="Arial" w:cs="Arial"/>
        </w:rPr>
        <w:t>9</w:t>
      </w:r>
      <w:r w:rsidRPr="00F45A1F">
        <w:rPr>
          <w:rFonts w:ascii="Arial" w:hAnsi="Arial" w:cs="Arial"/>
        </w:rPr>
        <w:t>).</w:t>
      </w:r>
    </w:p>
    <w:p w14:paraId="7296B15D" w14:textId="77777777" w:rsidR="004C2674" w:rsidRPr="00F45A1F" w:rsidRDefault="004C2674" w:rsidP="005144E2">
      <w:pPr>
        <w:jc w:val="both"/>
        <w:rPr>
          <w:rFonts w:ascii="Arial" w:hAnsi="Arial" w:cs="Arial"/>
        </w:rPr>
      </w:pPr>
    </w:p>
    <w:p w14:paraId="1A1F3F3D" w14:textId="77777777" w:rsidR="00927155" w:rsidRPr="00F45A1F" w:rsidRDefault="00927155" w:rsidP="005144E2">
      <w:pPr>
        <w:jc w:val="both"/>
        <w:rPr>
          <w:rFonts w:ascii="Arial" w:hAnsi="Arial" w:cs="Arial"/>
        </w:rPr>
      </w:pPr>
      <w:r w:rsidRPr="00F45A1F">
        <w:rPr>
          <w:rFonts w:ascii="Arial" w:hAnsi="Arial" w:cs="Arial"/>
        </w:rPr>
        <w:t xml:space="preserve">A administração da ELETRONUCLEAR entende que os riscos de liquidez corrente </w:t>
      </w:r>
      <w:r w:rsidR="003C4F3B" w:rsidRPr="00F45A1F">
        <w:rPr>
          <w:rFonts w:ascii="Arial" w:hAnsi="Arial" w:cs="Arial"/>
        </w:rPr>
        <w:t xml:space="preserve">estão administrados. </w:t>
      </w:r>
      <w:r w:rsidRPr="00F45A1F">
        <w:rPr>
          <w:rFonts w:ascii="Arial" w:hAnsi="Arial" w:cs="Arial"/>
        </w:rPr>
        <w:t>O índice de liquidez geral está afetado pelos financiamentos das obras da Usina Angra 3, cuja entrada em operação, aprovad</w:t>
      </w:r>
      <w:r w:rsidR="00D43522" w:rsidRPr="00F45A1F">
        <w:rPr>
          <w:rFonts w:ascii="Arial" w:hAnsi="Arial" w:cs="Arial"/>
        </w:rPr>
        <w:t>a</w:t>
      </w:r>
      <w:r w:rsidRPr="00F45A1F">
        <w:rPr>
          <w:rFonts w:ascii="Arial" w:hAnsi="Arial" w:cs="Arial"/>
        </w:rPr>
        <w:t xml:space="preserve"> internamente até a data base de </w:t>
      </w:r>
      <w:r w:rsidR="00F42FDB" w:rsidRPr="00F45A1F">
        <w:rPr>
          <w:rFonts w:ascii="Arial" w:hAnsi="Arial" w:cs="Arial"/>
        </w:rPr>
        <w:t>31 de dezembro de 2019</w:t>
      </w:r>
      <w:r w:rsidRPr="00F45A1F">
        <w:rPr>
          <w:rFonts w:ascii="Arial" w:hAnsi="Arial" w:cs="Arial"/>
        </w:rPr>
        <w:t xml:space="preserve">, </w:t>
      </w:r>
      <w:r w:rsidR="00CD510E" w:rsidRPr="00F45A1F">
        <w:rPr>
          <w:rFonts w:ascii="Arial" w:hAnsi="Arial" w:cs="Arial"/>
        </w:rPr>
        <w:t xml:space="preserve">tem como cronograma o início de geração </w:t>
      </w:r>
      <w:r w:rsidRPr="00F45A1F">
        <w:rPr>
          <w:rFonts w:ascii="Arial" w:hAnsi="Arial" w:cs="Arial"/>
        </w:rPr>
        <w:t xml:space="preserve">de receita </w:t>
      </w:r>
      <w:r w:rsidR="00CD510E" w:rsidRPr="00F45A1F">
        <w:rPr>
          <w:rFonts w:ascii="Arial" w:hAnsi="Arial" w:cs="Arial"/>
        </w:rPr>
        <w:t xml:space="preserve">a partir de </w:t>
      </w:r>
      <w:r w:rsidR="00BC1909" w:rsidRPr="00F45A1F">
        <w:rPr>
          <w:rFonts w:ascii="Arial" w:hAnsi="Arial" w:cs="Arial"/>
        </w:rPr>
        <w:t>30</w:t>
      </w:r>
      <w:r w:rsidRPr="00F45A1F">
        <w:rPr>
          <w:rFonts w:ascii="Arial" w:hAnsi="Arial" w:cs="Arial"/>
        </w:rPr>
        <w:t xml:space="preserve"> de </w:t>
      </w:r>
      <w:r w:rsidR="00BC1909" w:rsidRPr="00F45A1F">
        <w:rPr>
          <w:rFonts w:ascii="Arial" w:hAnsi="Arial" w:cs="Arial"/>
        </w:rPr>
        <w:t>novembro</w:t>
      </w:r>
      <w:r w:rsidRPr="00F45A1F">
        <w:rPr>
          <w:rFonts w:ascii="Arial" w:hAnsi="Arial" w:cs="Arial"/>
        </w:rPr>
        <w:t xml:space="preserve"> de 202</w:t>
      </w:r>
      <w:r w:rsidR="008B6155" w:rsidRPr="00F45A1F">
        <w:rPr>
          <w:rFonts w:ascii="Arial" w:hAnsi="Arial" w:cs="Arial"/>
        </w:rPr>
        <w:t>6</w:t>
      </w:r>
      <w:r w:rsidR="000B3E1B" w:rsidRPr="00F45A1F">
        <w:rPr>
          <w:rFonts w:ascii="Arial" w:hAnsi="Arial" w:cs="Arial"/>
        </w:rPr>
        <w:t xml:space="preserve"> (nota </w:t>
      </w:r>
      <w:r w:rsidR="00280195" w:rsidRPr="00F45A1F">
        <w:rPr>
          <w:rFonts w:ascii="Arial" w:hAnsi="Arial" w:cs="Arial"/>
        </w:rPr>
        <w:t>14 g</w:t>
      </w:r>
      <w:r w:rsidR="000B3E1B" w:rsidRPr="00F45A1F">
        <w:rPr>
          <w:rFonts w:ascii="Arial" w:hAnsi="Arial" w:cs="Arial"/>
        </w:rPr>
        <w:t>)</w:t>
      </w:r>
      <w:r w:rsidRPr="00F45A1F">
        <w:rPr>
          <w:rFonts w:ascii="Arial" w:hAnsi="Arial" w:cs="Arial"/>
        </w:rPr>
        <w:t>.</w:t>
      </w:r>
    </w:p>
    <w:p w14:paraId="3BC9C3C7" w14:textId="77777777" w:rsidR="00940F65" w:rsidRPr="00F45A1F" w:rsidRDefault="00940F65" w:rsidP="005144E2">
      <w:pPr>
        <w:widowControl/>
        <w:jc w:val="both"/>
        <w:outlineLvl w:val="0"/>
        <w:rPr>
          <w:rFonts w:ascii="Arial" w:hAnsi="Arial" w:cs="Arial"/>
        </w:rPr>
      </w:pPr>
    </w:p>
    <w:p w14:paraId="4668811C" w14:textId="77777777" w:rsidR="00423385" w:rsidRPr="00F45A1F" w:rsidRDefault="003F4719" w:rsidP="005144E2">
      <w:pPr>
        <w:widowControl/>
        <w:tabs>
          <w:tab w:val="left" w:pos="180"/>
        </w:tabs>
        <w:jc w:val="both"/>
        <w:rPr>
          <w:rFonts w:ascii="Arial" w:hAnsi="Arial" w:cs="Arial"/>
        </w:rPr>
      </w:pPr>
      <w:r w:rsidRPr="00F45A1F">
        <w:rPr>
          <w:rFonts w:ascii="Arial" w:hAnsi="Arial" w:cs="Arial"/>
        </w:rPr>
        <w:t>No quadro abaixo, estão demonstrados os passivos financeiros da Companhia por faixas de vencimento, correspondente ao período remanescente no balanço patrimonial até a data contratual de vencimento. Os valores divulgados no quadro são os fluxos de caixa não descontados contratados:</w:t>
      </w:r>
    </w:p>
    <w:p w14:paraId="322DE484" w14:textId="77777777" w:rsidR="00A86614" w:rsidRPr="00F45A1F" w:rsidRDefault="00A86614" w:rsidP="005144E2">
      <w:pPr>
        <w:widowControl/>
        <w:tabs>
          <w:tab w:val="left" w:pos="180"/>
        </w:tabs>
        <w:jc w:val="both"/>
        <w:rPr>
          <w:rFonts w:ascii="Arial" w:hAnsi="Arial" w:cs="Arial"/>
          <w:noProof/>
        </w:rPr>
      </w:pPr>
    </w:p>
    <w:p w14:paraId="25A47186" w14:textId="77777777" w:rsidR="009965D8" w:rsidRPr="00F45A1F" w:rsidRDefault="009965D8" w:rsidP="005144E2">
      <w:pPr>
        <w:widowControl/>
        <w:tabs>
          <w:tab w:val="left" w:pos="180"/>
        </w:tabs>
        <w:jc w:val="both"/>
        <w:rPr>
          <w:rFonts w:ascii="Arial" w:hAnsi="Arial" w:cs="Arial"/>
        </w:rPr>
      </w:pPr>
      <w:r w:rsidRPr="00F45A1F">
        <w:rPr>
          <w:noProof/>
        </w:rPr>
        <w:drawing>
          <wp:inline distT="0" distB="0" distL="0" distR="0" wp14:anchorId="24EB096C" wp14:editId="67D54CDF">
            <wp:extent cx="6073140" cy="3841131"/>
            <wp:effectExtent l="0" t="0" r="3810" b="0"/>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3140" cy="3841131"/>
                    </a:xfrm>
                    <a:prstGeom prst="rect">
                      <a:avLst/>
                    </a:prstGeom>
                    <a:noFill/>
                    <a:ln>
                      <a:noFill/>
                    </a:ln>
                  </pic:spPr>
                </pic:pic>
              </a:graphicData>
            </a:graphic>
          </wp:inline>
        </w:drawing>
      </w:r>
    </w:p>
    <w:p w14:paraId="30A3E5CA" w14:textId="77777777" w:rsidR="00F42FDB" w:rsidRPr="00F45A1F" w:rsidRDefault="00F42FDB" w:rsidP="005144E2">
      <w:pPr>
        <w:widowControl/>
        <w:tabs>
          <w:tab w:val="left" w:pos="180"/>
        </w:tabs>
        <w:jc w:val="both"/>
        <w:rPr>
          <w:rFonts w:ascii="Arial" w:hAnsi="Arial" w:cs="Arial"/>
          <w:sz w:val="16"/>
          <w:szCs w:val="16"/>
        </w:rPr>
      </w:pPr>
    </w:p>
    <w:p w14:paraId="3F56CF5F" w14:textId="77777777" w:rsidR="00F42FDB" w:rsidRPr="00F45A1F" w:rsidRDefault="00F42FDB" w:rsidP="005144E2">
      <w:pPr>
        <w:jc w:val="both"/>
        <w:rPr>
          <w:rFonts w:ascii="Arial" w:hAnsi="Arial" w:cs="Arial"/>
          <w:b/>
          <w:bCs/>
          <w:sz w:val="16"/>
          <w:szCs w:val="16"/>
        </w:rPr>
      </w:pPr>
    </w:p>
    <w:p w14:paraId="005E56C4" w14:textId="77777777" w:rsidR="003F4719" w:rsidRPr="00F45A1F" w:rsidRDefault="003F4719" w:rsidP="005144E2">
      <w:pPr>
        <w:jc w:val="both"/>
        <w:rPr>
          <w:rFonts w:ascii="Arial" w:hAnsi="Arial" w:cs="Arial"/>
          <w:b/>
          <w:bCs/>
        </w:rPr>
      </w:pPr>
      <w:r w:rsidRPr="00F45A1F">
        <w:rPr>
          <w:rFonts w:ascii="Arial" w:hAnsi="Arial" w:cs="Arial"/>
          <w:b/>
          <w:bCs/>
        </w:rPr>
        <w:t>d) Risco operacional</w:t>
      </w:r>
    </w:p>
    <w:p w14:paraId="3E335C38" w14:textId="77777777" w:rsidR="003F4719" w:rsidRPr="00F45A1F" w:rsidRDefault="003F4719" w:rsidP="005144E2">
      <w:pPr>
        <w:jc w:val="both"/>
        <w:rPr>
          <w:rFonts w:ascii="Arial" w:hAnsi="Arial" w:cs="Arial"/>
        </w:rPr>
      </w:pPr>
    </w:p>
    <w:p w14:paraId="5365A0F8" w14:textId="77777777" w:rsidR="003F4719" w:rsidRPr="00F45A1F" w:rsidRDefault="003F4719" w:rsidP="005144E2">
      <w:pPr>
        <w:jc w:val="both"/>
        <w:rPr>
          <w:rFonts w:ascii="Arial" w:hAnsi="Arial" w:cs="Arial"/>
        </w:rPr>
      </w:pPr>
      <w:r w:rsidRPr="00F45A1F">
        <w:rPr>
          <w:rFonts w:ascii="Arial" w:hAnsi="Arial" w:cs="Arial"/>
        </w:rPr>
        <w:t xml:space="preserve">A ELETRONUCLEAR tem como atividade principal a operação das </w:t>
      </w:r>
      <w:r w:rsidR="00F42FDB" w:rsidRPr="00F45A1F">
        <w:rPr>
          <w:rFonts w:ascii="Arial" w:hAnsi="Arial" w:cs="Arial"/>
        </w:rPr>
        <w:t>U</w:t>
      </w:r>
      <w:r w:rsidRPr="00F45A1F">
        <w:rPr>
          <w:rFonts w:ascii="Arial" w:hAnsi="Arial" w:cs="Arial"/>
        </w:rPr>
        <w:t>sinas Angra 1 e 2, e em razão disso, tem apresentado</w:t>
      </w:r>
      <w:r w:rsidR="00AD1764" w:rsidRPr="00F45A1F">
        <w:rPr>
          <w:rFonts w:ascii="Arial" w:hAnsi="Arial" w:cs="Arial"/>
        </w:rPr>
        <w:t>,</w:t>
      </w:r>
      <w:r w:rsidRPr="00F45A1F">
        <w:rPr>
          <w:rFonts w:ascii="Arial" w:hAnsi="Arial" w:cs="Arial"/>
        </w:rPr>
        <w:t xml:space="preserve"> nos últimos anos</w:t>
      </w:r>
      <w:r w:rsidR="00AD1764" w:rsidRPr="00F45A1F">
        <w:rPr>
          <w:rFonts w:ascii="Arial" w:hAnsi="Arial" w:cs="Arial"/>
        </w:rPr>
        <w:t>,</w:t>
      </w:r>
      <w:r w:rsidRPr="00F45A1F">
        <w:rPr>
          <w:rFonts w:ascii="Arial" w:hAnsi="Arial" w:cs="Arial"/>
        </w:rPr>
        <w:t xml:space="preserve"> um excelente nível de eficiência, com destaque até no cenário internacional.</w:t>
      </w:r>
    </w:p>
    <w:p w14:paraId="7CDD1D09" w14:textId="77777777" w:rsidR="003F4719" w:rsidRPr="00F45A1F" w:rsidRDefault="003F4719" w:rsidP="005144E2">
      <w:pPr>
        <w:jc w:val="both"/>
        <w:rPr>
          <w:rFonts w:ascii="Arial" w:hAnsi="Arial" w:cs="Arial"/>
        </w:rPr>
      </w:pPr>
    </w:p>
    <w:p w14:paraId="49AFE565" w14:textId="77777777" w:rsidR="003F4719" w:rsidRPr="00F45A1F" w:rsidRDefault="003F4719" w:rsidP="005144E2">
      <w:pPr>
        <w:jc w:val="both"/>
        <w:rPr>
          <w:rFonts w:ascii="Arial" w:hAnsi="Arial" w:cs="Arial"/>
        </w:rPr>
      </w:pPr>
      <w:r w:rsidRPr="00F45A1F">
        <w:rPr>
          <w:rFonts w:ascii="Arial" w:hAnsi="Arial" w:cs="Arial"/>
        </w:rPr>
        <w:t>Toda a energia produzida por essas usinas tem fornecimento contratual de longo prazo firmado com as distribuidoras de energia elétrica</w:t>
      </w:r>
      <w:r w:rsidR="003E1FE9" w:rsidRPr="00F45A1F">
        <w:rPr>
          <w:rFonts w:ascii="Arial" w:hAnsi="Arial" w:cs="Arial"/>
        </w:rPr>
        <w:t>;</w:t>
      </w:r>
      <w:r w:rsidRPr="00F45A1F">
        <w:rPr>
          <w:rFonts w:ascii="Arial" w:hAnsi="Arial" w:cs="Arial"/>
        </w:rPr>
        <w:t xml:space="preserve"> contratos esses regidos pela Câmara de Comercialização de Energia Elétrica - CCEE. A </w:t>
      </w:r>
      <w:r w:rsidR="002406E9" w:rsidRPr="00F45A1F">
        <w:rPr>
          <w:rFonts w:ascii="Arial" w:hAnsi="Arial" w:cs="Arial"/>
        </w:rPr>
        <w:t>ELETRONUCLEAR</w:t>
      </w:r>
      <w:r w:rsidRPr="00F45A1F">
        <w:rPr>
          <w:rFonts w:ascii="Arial" w:hAnsi="Arial" w:cs="Arial"/>
        </w:rPr>
        <w:t xml:space="preserve"> entende que o risco de inadimplência fica mitigado na quitação desse faturamento, face à atividade de administração financeira estar sob o controle da CCEE, que possui autonomia sobre os recursos reservados pelas distribuidoras para esse fim.</w:t>
      </w:r>
    </w:p>
    <w:p w14:paraId="7C0028BB" w14:textId="77777777" w:rsidR="009965D8" w:rsidRPr="00F45A1F" w:rsidRDefault="009965D8" w:rsidP="005144E2">
      <w:pPr>
        <w:jc w:val="both"/>
        <w:rPr>
          <w:rFonts w:ascii="Arial" w:hAnsi="Arial" w:cs="Arial"/>
        </w:rPr>
      </w:pPr>
    </w:p>
    <w:p w14:paraId="2D27945B" w14:textId="468764C1" w:rsidR="0097222F" w:rsidRPr="00F45A1F" w:rsidRDefault="0097222F" w:rsidP="005144E2">
      <w:pPr>
        <w:pStyle w:val="Corpodetexto"/>
        <w:jc w:val="both"/>
        <w:rPr>
          <w:rFonts w:ascii="Arial" w:hAnsi="Arial" w:cs="Arial"/>
        </w:rPr>
      </w:pPr>
      <w:r w:rsidRPr="00F45A1F">
        <w:rPr>
          <w:rFonts w:ascii="Arial" w:hAnsi="Arial" w:cs="Arial"/>
        </w:rPr>
        <w:t>A receita fixa das Usinas Angra 1 e 2 é regulada pela Agência Nacional de Energia Elétrica - A</w:t>
      </w:r>
      <w:r w:rsidR="0085155A" w:rsidRPr="00F45A1F">
        <w:rPr>
          <w:rFonts w:ascii="Arial" w:hAnsi="Arial" w:cs="Arial"/>
        </w:rPr>
        <w:t>neel</w:t>
      </w:r>
      <w:r w:rsidRPr="00F45A1F">
        <w:rPr>
          <w:rFonts w:ascii="Arial" w:hAnsi="Arial" w:cs="Arial"/>
        </w:rPr>
        <w:t xml:space="preserve">, através do modelo </w:t>
      </w:r>
      <w:r w:rsidR="000F358B" w:rsidRPr="00F45A1F">
        <w:rPr>
          <w:rFonts w:ascii="Arial" w:hAnsi="Arial" w:cs="Arial"/>
        </w:rPr>
        <w:t>do Procedimento de Regulação Tarifária -</w:t>
      </w:r>
      <w:r w:rsidRPr="00F45A1F">
        <w:rPr>
          <w:rFonts w:ascii="Arial" w:hAnsi="Arial" w:cs="Arial"/>
        </w:rPr>
        <w:t>PRORET</w:t>
      </w:r>
      <w:r w:rsidR="000F358B" w:rsidRPr="00F45A1F">
        <w:rPr>
          <w:rFonts w:ascii="Arial" w:hAnsi="Arial" w:cs="Arial"/>
        </w:rPr>
        <w:t>:</w:t>
      </w:r>
      <w:r w:rsidRPr="00F45A1F">
        <w:rPr>
          <w:rFonts w:ascii="Arial" w:hAnsi="Arial" w:cs="Arial"/>
        </w:rPr>
        <w:t xml:space="preserve"> Módulo 6</w:t>
      </w:r>
      <w:r w:rsidR="000F358B" w:rsidRPr="00F45A1F">
        <w:rPr>
          <w:rFonts w:ascii="Arial" w:hAnsi="Arial" w:cs="Arial"/>
        </w:rPr>
        <w:t>,</w:t>
      </w:r>
      <w:r w:rsidRPr="00F45A1F">
        <w:rPr>
          <w:rFonts w:ascii="Arial" w:hAnsi="Arial" w:cs="Arial"/>
        </w:rPr>
        <w:t xml:space="preserve"> </w:t>
      </w:r>
      <w:proofErr w:type="spellStart"/>
      <w:r w:rsidRPr="00F45A1F">
        <w:rPr>
          <w:rFonts w:ascii="Arial" w:hAnsi="Arial" w:cs="Arial"/>
        </w:rPr>
        <w:t>Submódulo</w:t>
      </w:r>
      <w:proofErr w:type="spellEnd"/>
      <w:r w:rsidRPr="00F45A1F">
        <w:rPr>
          <w:rFonts w:ascii="Arial" w:hAnsi="Arial" w:cs="Arial"/>
        </w:rPr>
        <w:t xml:space="preserve"> 6.7, com reajustes anuais e revisões quinquenais. A receita fixa de 20</w:t>
      </w:r>
      <w:r w:rsidR="007E0C65" w:rsidRPr="00F45A1F">
        <w:rPr>
          <w:rFonts w:ascii="Arial" w:hAnsi="Arial" w:cs="Arial"/>
        </w:rPr>
        <w:t>20</w:t>
      </w:r>
      <w:r w:rsidRPr="00F45A1F">
        <w:rPr>
          <w:rFonts w:ascii="Arial" w:hAnsi="Arial" w:cs="Arial"/>
        </w:rPr>
        <w:t xml:space="preserve"> foi definida pela Resolução Homologatória nº 2.</w:t>
      </w:r>
      <w:r w:rsidR="007E0C65" w:rsidRPr="00F45A1F">
        <w:rPr>
          <w:rFonts w:ascii="Arial" w:hAnsi="Arial" w:cs="Arial"/>
        </w:rPr>
        <w:t>661</w:t>
      </w:r>
      <w:r w:rsidRPr="00F45A1F">
        <w:rPr>
          <w:rFonts w:ascii="Arial" w:hAnsi="Arial" w:cs="Arial"/>
        </w:rPr>
        <w:t xml:space="preserve"> de 1</w:t>
      </w:r>
      <w:r w:rsidR="001F1A89" w:rsidRPr="00F45A1F">
        <w:rPr>
          <w:rFonts w:ascii="Arial" w:hAnsi="Arial" w:cs="Arial"/>
        </w:rPr>
        <w:t>7</w:t>
      </w:r>
      <w:r w:rsidR="00123551" w:rsidRPr="00F45A1F">
        <w:rPr>
          <w:rFonts w:ascii="Arial" w:hAnsi="Arial" w:cs="Arial"/>
        </w:rPr>
        <w:t xml:space="preserve"> de dezembro de </w:t>
      </w:r>
      <w:r w:rsidRPr="00F45A1F">
        <w:rPr>
          <w:rFonts w:ascii="Arial" w:hAnsi="Arial" w:cs="Arial"/>
        </w:rPr>
        <w:t>201</w:t>
      </w:r>
      <w:r w:rsidR="001F1A89" w:rsidRPr="00F45A1F">
        <w:rPr>
          <w:rFonts w:ascii="Arial" w:hAnsi="Arial" w:cs="Arial"/>
        </w:rPr>
        <w:t>9</w:t>
      </w:r>
      <w:r w:rsidRPr="00F45A1F">
        <w:rPr>
          <w:rFonts w:ascii="Arial" w:hAnsi="Arial" w:cs="Arial"/>
        </w:rPr>
        <w:t xml:space="preserve"> </w:t>
      </w:r>
      <w:r w:rsidR="00F42FDB" w:rsidRPr="00F45A1F">
        <w:rPr>
          <w:rFonts w:ascii="Arial" w:hAnsi="Arial" w:cs="Arial"/>
        </w:rPr>
        <w:t xml:space="preserve">- </w:t>
      </w:r>
      <w:r w:rsidRPr="008007F9">
        <w:rPr>
          <w:rFonts w:ascii="Arial" w:hAnsi="Arial" w:cs="Arial"/>
        </w:rPr>
        <w:t>DOU 2</w:t>
      </w:r>
      <w:r w:rsidR="008007F9" w:rsidRPr="008007F9">
        <w:rPr>
          <w:rFonts w:ascii="Arial" w:hAnsi="Arial" w:cs="Arial"/>
        </w:rPr>
        <w:t>3</w:t>
      </w:r>
      <w:r w:rsidR="00123551" w:rsidRPr="008007F9">
        <w:rPr>
          <w:rFonts w:ascii="Arial" w:hAnsi="Arial" w:cs="Arial"/>
        </w:rPr>
        <w:t xml:space="preserve"> de dezembro de </w:t>
      </w:r>
      <w:r w:rsidR="001F1A89" w:rsidRPr="008007F9">
        <w:rPr>
          <w:rFonts w:ascii="Arial" w:hAnsi="Arial" w:cs="Arial"/>
        </w:rPr>
        <w:t>2019</w:t>
      </w:r>
      <w:r w:rsidRPr="008007F9">
        <w:rPr>
          <w:rFonts w:ascii="Arial" w:hAnsi="Arial" w:cs="Arial"/>
        </w:rPr>
        <w:t xml:space="preserve">, no montante de R$ </w:t>
      </w:r>
      <w:r w:rsidR="001F1A89" w:rsidRPr="008007F9">
        <w:rPr>
          <w:rFonts w:ascii="Arial" w:hAnsi="Arial" w:cs="Arial"/>
        </w:rPr>
        <w:t>3.726.446.</w:t>
      </w:r>
    </w:p>
    <w:p w14:paraId="62733BCD" w14:textId="77777777" w:rsidR="00BD200E" w:rsidRPr="00F45A1F" w:rsidRDefault="00BD200E" w:rsidP="005144E2">
      <w:pPr>
        <w:pStyle w:val="Corpodetexto"/>
        <w:jc w:val="both"/>
        <w:rPr>
          <w:rFonts w:ascii="Arial" w:hAnsi="Arial" w:cs="Arial"/>
        </w:rPr>
      </w:pPr>
    </w:p>
    <w:p w14:paraId="79CA1204" w14:textId="77777777" w:rsidR="003F4719" w:rsidRPr="00F45A1F" w:rsidRDefault="003F4719" w:rsidP="005144E2">
      <w:pPr>
        <w:pStyle w:val="Corpodetexto"/>
        <w:jc w:val="both"/>
        <w:rPr>
          <w:rFonts w:ascii="Arial" w:hAnsi="Arial" w:cs="Arial"/>
        </w:rPr>
      </w:pPr>
      <w:r w:rsidRPr="00F45A1F">
        <w:rPr>
          <w:rFonts w:ascii="Arial" w:hAnsi="Arial" w:cs="Arial"/>
        </w:rPr>
        <w:t>Salienta-se que, conforme regras de comercialização das energias d</w:t>
      </w:r>
      <w:r w:rsidR="00F42FDB" w:rsidRPr="00F45A1F">
        <w:rPr>
          <w:rFonts w:ascii="Arial" w:hAnsi="Arial" w:cs="Arial"/>
        </w:rPr>
        <w:t>as Usinas</w:t>
      </w:r>
      <w:r w:rsidRPr="00F45A1F">
        <w:rPr>
          <w:rFonts w:ascii="Arial" w:hAnsi="Arial" w:cs="Arial"/>
        </w:rPr>
        <w:t xml:space="preserve"> Angra 1 e 2, os desvios eventuais (sobras ou faltas) são apurados em cada exercício e são faturados ou devolvidos em duodécimos no exercício seguinte.</w:t>
      </w:r>
    </w:p>
    <w:p w14:paraId="58222EE5" w14:textId="77777777" w:rsidR="003F5AEE" w:rsidRPr="00F45A1F" w:rsidRDefault="003F5AEE" w:rsidP="005144E2">
      <w:pPr>
        <w:pStyle w:val="Corpodetexto"/>
        <w:jc w:val="both"/>
        <w:rPr>
          <w:rFonts w:ascii="Arial" w:hAnsi="Arial" w:cs="Arial"/>
        </w:rPr>
      </w:pPr>
    </w:p>
    <w:p w14:paraId="326DE261" w14:textId="77777777" w:rsidR="003F5AEE" w:rsidRPr="00F45A1F" w:rsidRDefault="003F5AEE" w:rsidP="005144E2">
      <w:pPr>
        <w:pStyle w:val="Corpodetexto"/>
        <w:jc w:val="both"/>
        <w:rPr>
          <w:rFonts w:ascii="Arial" w:hAnsi="Arial" w:cs="Arial"/>
        </w:rPr>
      </w:pPr>
      <w:r w:rsidRPr="00F45A1F">
        <w:rPr>
          <w:rFonts w:ascii="Arial" w:hAnsi="Arial" w:cs="Arial"/>
        </w:rPr>
        <w:t>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 que, em nome da União, exerce no Brasil o monopólio da produção e comercialização de materiais nucleares, dentre eles, os elementos combustíve</w:t>
      </w:r>
      <w:r w:rsidR="00782DCE" w:rsidRPr="00F45A1F">
        <w:rPr>
          <w:rFonts w:ascii="Arial" w:hAnsi="Arial" w:cs="Arial"/>
        </w:rPr>
        <w:t>is utilizados nos reatores das U</w:t>
      </w:r>
      <w:r w:rsidR="00D46EC7" w:rsidRPr="00F45A1F">
        <w:rPr>
          <w:rFonts w:ascii="Arial" w:hAnsi="Arial" w:cs="Arial"/>
        </w:rPr>
        <w:t>sinas</w:t>
      </w:r>
      <w:proofErr w:type="gramStart"/>
      <w:r w:rsidR="00D46EC7" w:rsidRPr="00F45A1F">
        <w:rPr>
          <w:rFonts w:ascii="Arial" w:hAnsi="Arial" w:cs="Arial"/>
        </w:rPr>
        <w:t xml:space="preserve"> </w:t>
      </w:r>
      <w:r w:rsidRPr="00F45A1F">
        <w:rPr>
          <w:rFonts w:ascii="Arial" w:hAnsi="Arial" w:cs="Arial"/>
        </w:rPr>
        <w:t xml:space="preserve"> </w:t>
      </w:r>
      <w:proofErr w:type="gramEnd"/>
      <w:r w:rsidRPr="00F45A1F">
        <w:rPr>
          <w:rFonts w:ascii="Arial" w:hAnsi="Arial" w:cs="Arial"/>
        </w:rPr>
        <w:t>Angra 1 e 2.</w:t>
      </w:r>
    </w:p>
    <w:p w14:paraId="3C927F40" w14:textId="77777777" w:rsidR="003F5AEE" w:rsidRPr="00F45A1F" w:rsidRDefault="003F5AEE" w:rsidP="005144E2">
      <w:pPr>
        <w:pStyle w:val="Corpodetexto"/>
        <w:jc w:val="both"/>
        <w:rPr>
          <w:rFonts w:ascii="Arial" w:hAnsi="Arial" w:cs="Arial"/>
        </w:rPr>
      </w:pPr>
    </w:p>
    <w:p w14:paraId="5B289630" w14:textId="77777777" w:rsidR="003F5AEE" w:rsidRPr="00F45A1F" w:rsidRDefault="003F5AEE" w:rsidP="005144E2">
      <w:pPr>
        <w:pStyle w:val="Corpodetexto"/>
        <w:jc w:val="both"/>
        <w:rPr>
          <w:rFonts w:ascii="Arial" w:hAnsi="Arial" w:cs="Arial"/>
        </w:rPr>
      </w:pPr>
      <w:r w:rsidRPr="00F45A1F">
        <w:rPr>
          <w:rFonts w:ascii="Arial" w:hAnsi="Arial" w:cs="Arial"/>
        </w:rPr>
        <w:t xml:space="preserve">Em </w:t>
      </w:r>
      <w:r w:rsidR="0085155A" w:rsidRPr="00F45A1F">
        <w:rPr>
          <w:rFonts w:ascii="Arial" w:hAnsi="Arial" w:cs="Arial"/>
        </w:rPr>
        <w:t xml:space="preserve">17 de fevereiro de </w:t>
      </w:r>
      <w:r w:rsidRPr="00F45A1F">
        <w:rPr>
          <w:rFonts w:ascii="Arial" w:hAnsi="Arial" w:cs="Arial"/>
        </w:rPr>
        <w:t>20</w:t>
      </w:r>
      <w:r w:rsidR="009C344A" w:rsidRPr="00F45A1F">
        <w:rPr>
          <w:rFonts w:ascii="Arial" w:hAnsi="Arial" w:cs="Arial"/>
        </w:rPr>
        <w:t>20</w:t>
      </w:r>
      <w:r w:rsidRPr="00F45A1F">
        <w:rPr>
          <w:rFonts w:ascii="Arial" w:hAnsi="Arial" w:cs="Arial"/>
        </w:rPr>
        <w:t xml:space="preserve">, </w:t>
      </w:r>
      <w:r w:rsidR="00D710FF" w:rsidRPr="00F45A1F">
        <w:rPr>
          <w:rFonts w:ascii="Arial" w:hAnsi="Arial" w:cs="Arial"/>
        </w:rPr>
        <w:t xml:space="preserve">a </w:t>
      </w:r>
      <w:r w:rsidR="00F10D31" w:rsidRPr="00F45A1F">
        <w:rPr>
          <w:rFonts w:ascii="Arial" w:hAnsi="Arial" w:cs="Arial"/>
        </w:rPr>
        <w:t>C</w:t>
      </w:r>
      <w:r w:rsidR="00D710FF" w:rsidRPr="00F45A1F">
        <w:rPr>
          <w:rFonts w:ascii="Arial" w:hAnsi="Arial" w:cs="Arial"/>
        </w:rPr>
        <w:t xml:space="preserve">ompanhia foi </w:t>
      </w:r>
      <w:r w:rsidRPr="00F45A1F">
        <w:rPr>
          <w:rFonts w:ascii="Arial" w:hAnsi="Arial" w:cs="Arial"/>
        </w:rPr>
        <w:t>notifica</w:t>
      </w:r>
      <w:r w:rsidR="00D710FF" w:rsidRPr="00F45A1F">
        <w:rPr>
          <w:rFonts w:ascii="Arial" w:hAnsi="Arial" w:cs="Arial"/>
        </w:rPr>
        <w:t>da</w:t>
      </w:r>
      <w:r w:rsidRPr="00F45A1F">
        <w:rPr>
          <w:rFonts w:ascii="Arial" w:hAnsi="Arial" w:cs="Arial"/>
        </w:rPr>
        <w:t xml:space="preserve"> pela INB, por meio da correspondência CE PR-</w:t>
      </w:r>
      <w:r w:rsidR="009C344A" w:rsidRPr="00F45A1F">
        <w:rPr>
          <w:rFonts w:ascii="Arial" w:hAnsi="Arial" w:cs="Arial"/>
        </w:rPr>
        <w:t>021</w:t>
      </w:r>
      <w:r w:rsidRPr="00F45A1F">
        <w:rPr>
          <w:rFonts w:ascii="Arial" w:hAnsi="Arial" w:cs="Arial"/>
        </w:rPr>
        <w:t>/</w:t>
      </w:r>
      <w:r w:rsidR="009C344A" w:rsidRPr="00F45A1F">
        <w:rPr>
          <w:rFonts w:ascii="Arial" w:hAnsi="Arial" w:cs="Arial"/>
        </w:rPr>
        <w:t>20</w:t>
      </w:r>
      <w:r w:rsidRPr="00F45A1F">
        <w:rPr>
          <w:rFonts w:ascii="Arial" w:hAnsi="Arial" w:cs="Arial"/>
        </w:rPr>
        <w:t>, sobre o risco de interrupção do fornecimento de elementos combustíveis, em face das suas graves dificuldades orçamentárias, e que</w:t>
      </w:r>
      <w:r w:rsidR="0087663F" w:rsidRPr="00F45A1F">
        <w:rPr>
          <w:rFonts w:ascii="Arial" w:hAnsi="Arial" w:cs="Arial"/>
        </w:rPr>
        <w:t>,</w:t>
      </w:r>
      <w:r w:rsidRPr="00F45A1F">
        <w:rPr>
          <w:rFonts w:ascii="Arial" w:hAnsi="Arial" w:cs="Arial"/>
        </w:rPr>
        <w:t xml:space="preserve"> em última análise, poderia vir a comprometer a entrega contratada pela ELETRONUCLEAR para a próxima recarga programada para </w:t>
      </w:r>
      <w:r w:rsidR="00EA3459" w:rsidRPr="00F45A1F">
        <w:rPr>
          <w:rFonts w:ascii="Arial" w:hAnsi="Arial" w:cs="Arial"/>
        </w:rPr>
        <w:t>2021</w:t>
      </w:r>
      <w:r w:rsidRPr="00F45A1F">
        <w:rPr>
          <w:rFonts w:ascii="Arial" w:hAnsi="Arial" w:cs="Arial"/>
        </w:rPr>
        <w:t xml:space="preserve"> (1</w:t>
      </w:r>
      <w:r w:rsidR="00EA3459" w:rsidRPr="00F45A1F">
        <w:rPr>
          <w:rFonts w:ascii="Arial" w:hAnsi="Arial" w:cs="Arial"/>
        </w:rPr>
        <w:t>7ª recarga de Angra 2).</w:t>
      </w:r>
    </w:p>
    <w:p w14:paraId="3F168468" w14:textId="77777777" w:rsidR="003F5AEE" w:rsidRPr="00F45A1F" w:rsidRDefault="003F5AEE" w:rsidP="005144E2">
      <w:pPr>
        <w:pStyle w:val="Corpodetexto"/>
        <w:jc w:val="both"/>
        <w:rPr>
          <w:rFonts w:ascii="Arial" w:hAnsi="Arial" w:cs="Arial"/>
        </w:rPr>
      </w:pPr>
    </w:p>
    <w:p w14:paraId="5DE262DF" w14:textId="77777777" w:rsidR="003F5AEE" w:rsidRPr="00F45A1F" w:rsidRDefault="003F5AEE" w:rsidP="005144E2">
      <w:pPr>
        <w:pStyle w:val="Corpodetexto"/>
        <w:jc w:val="both"/>
        <w:rPr>
          <w:rFonts w:ascii="Arial" w:hAnsi="Arial" w:cs="Arial"/>
        </w:rPr>
      </w:pPr>
      <w:r w:rsidRPr="00F45A1F">
        <w:rPr>
          <w:rFonts w:ascii="Arial" w:hAnsi="Arial" w:cs="Arial"/>
        </w:rPr>
        <w:t>Considerando os riscos de d</w:t>
      </w:r>
      <w:r w:rsidR="00782DCE" w:rsidRPr="00F45A1F">
        <w:rPr>
          <w:rFonts w:ascii="Arial" w:hAnsi="Arial" w:cs="Arial"/>
        </w:rPr>
        <w:t>escontinuidade de operação das U</w:t>
      </w:r>
      <w:r w:rsidRPr="00F45A1F">
        <w:rPr>
          <w:rFonts w:ascii="Arial" w:hAnsi="Arial" w:cs="Arial"/>
        </w:rPr>
        <w:t>sinas Angra 1 e 2, e também do compromisso e da importância que o suprimento de energia elétrica da Central Nuclear Almirante Álvaro Alberto – CNAAA t</w:t>
      </w:r>
      <w:r w:rsidR="00130F3F" w:rsidRPr="00F45A1F">
        <w:rPr>
          <w:rFonts w:ascii="Arial" w:hAnsi="Arial" w:cs="Arial"/>
        </w:rPr>
        <w:t>e</w:t>
      </w:r>
      <w:r w:rsidRPr="00F45A1F">
        <w:rPr>
          <w:rFonts w:ascii="Arial" w:hAnsi="Arial" w:cs="Arial"/>
        </w:rPr>
        <w:t>m no âmbito do Sistema Interligado Nacional – SIN, a administração da ELETRONUCLEAR tem submetido esses riscos aos diversos órgãos a quem está subordinada, no intuito de serem superadas estas ameaças de desabastecimento.</w:t>
      </w:r>
    </w:p>
    <w:p w14:paraId="50F7DDBA" w14:textId="77777777" w:rsidR="009C344A" w:rsidRPr="00F45A1F" w:rsidRDefault="009C344A" w:rsidP="005144E2">
      <w:pPr>
        <w:pStyle w:val="Corpodetexto"/>
        <w:jc w:val="both"/>
        <w:rPr>
          <w:rFonts w:ascii="Arial" w:hAnsi="Arial" w:cs="Arial"/>
        </w:rPr>
      </w:pPr>
    </w:p>
    <w:p w14:paraId="500204CE" w14:textId="77777777" w:rsidR="00577F21" w:rsidRPr="00F45A1F" w:rsidRDefault="00577F21" w:rsidP="005144E2">
      <w:pPr>
        <w:pStyle w:val="Corpodetexto"/>
        <w:jc w:val="both"/>
        <w:rPr>
          <w:rFonts w:ascii="Arial" w:hAnsi="Arial" w:cs="Arial"/>
        </w:rPr>
      </w:pPr>
      <w:r w:rsidRPr="00F45A1F">
        <w:rPr>
          <w:rFonts w:ascii="Arial" w:hAnsi="Arial" w:cs="Arial"/>
        </w:rPr>
        <w:t>Atualmente</w:t>
      </w:r>
      <w:r w:rsidR="00CD6DDA" w:rsidRPr="00F45A1F">
        <w:rPr>
          <w:rFonts w:ascii="Arial" w:hAnsi="Arial" w:cs="Arial"/>
        </w:rPr>
        <w:t>,</w:t>
      </w:r>
      <w:r w:rsidRPr="00F45A1F">
        <w:rPr>
          <w:rFonts w:ascii="Arial" w:hAnsi="Arial" w:cs="Arial"/>
        </w:rPr>
        <w:t xml:space="preserve"> as Indústrias Nucleares do Brasil – INB, por questões legais, é considerada uma estatal dependente para fins de elaboração do orçamento da União. Nesse sentido, a INB tem apontado que os valores aprovados em seu orçamento fiscal, ao qual t</w:t>
      </w:r>
      <w:r w:rsidR="00BE7966" w:rsidRPr="00F45A1F">
        <w:rPr>
          <w:rFonts w:ascii="Arial" w:hAnsi="Arial" w:cs="Arial"/>
        </w:rPr>
        <w:t>e</w:t>
      </w:r>
      <w:r w:rsidRPr="00F45A1F">
        <w:rPr>
          <w:rFonts w:ascii="Arial" w:hAnsi="Arial" w:cs="Arial"/>
        </w:rPr>
        <w:t>m sido submetida, têm implicado a mesma em riscos a manutenção de sua adimplência contratual para com a ELETRONUCLEAR, o que implica em dizer, em última análise, e embora de probabilidade reduzida, numa eventual possibilidade de não fornecimento de nossos insumos ao processo de geração de energia elétrica, que seriam os elementos combustíveis por ela fabricados.</w:t>
      </w:r>
    </w:p>
    <w:p w14:paraId="787F43AD" w14:textId="77777777" w:rsidR="00577F21" w:rsidRPr="00F45A1F" w:rsidRDefault="00577F21" w:rsidP="005144E2">
      <w:pPr>
        <w:pStyle w:val="Corpodetexto"/>
        <w:jc w:val="both"/>
        <w:rPr>
          <w:rFonts w:ascii="Arial" w:hAnsi="Arial" w:cs="Arial"/>
        </w:rPr>
      </w:pPr>
    </w:p>
    <w:p w14:paraId="455432D1" w14:textId="77777777" w:rsidR="009C344A" w:rsidRPr="00F45A1F" w:rsidRDefault="00577F21" w:rsidP="005144E2">
      <w:pPr>
        <w:pStyle w:val="Corpodetexto"/>
        <w:jc w:val="both"/>
        <w:rPr>
          <w:rFonts w:ascii="Arial" w:hAnsi="Arial" w:cs="Arial"/>
        </w:rPr>
      </w:pPr>
      <w:r w:rsidRPr="00F45A1F">
        <w:rPr>
          <w:rFonts w:ascii="Arial" w:hAnsi="Arial" w:cs="Arial"/>
        </w:rPr>
        <w:t xml:space="preserve">Como forma de superar estes entraves, a </w:t>
      </w:r>
      <w:r w:rsidR="00CD6DDA" w:rsidRPr="00F45A1F">
        <w:rPr>
          <w:rFonts w:ascii="Arial" w:hAnsi="Arial" w:cs="Arial"/>
        </w:rPr>
        <w:t>ELETRONUCLEAR</w:t>
      </w:r>
      <w:r w:rsidRPr="00F45A1F">
        <w:rPr>
          <w:rFonts w:ascii="Arial" w:hAnsi="Arial" w:cs="Arial"/>
        </w:rPr>
        <w:t xml:space="preserve"> e INB estão em fase de negociação de um novo contrato de fornecimento de elementos combustíveis, o qual abrangeria </w:t>
      </w:r>
      <w:proofErr w:type="gramStart"/>
      <w:r w:rsidRPr="00F45A1F">
        <w:rPr>
          <w:rFonts w:ascii="Arial" w:hAnsi="Arial" w:cs="Arial"/>
        </w:rPr>
        <w:t>5</w:t>
      </w:r>
      <w:proofErr w:type="gramEnd"/>
      <w:r w:rsidRPr="00F45A1F">
        <w:rPr>
          <w:rFonts w:ascii="Arial" w:hAnsi="Arial" w:cs="Arial"/>
        </w:rPr>
        <w:t xml:space="preserve"> (cinco) recargas para cada uma das Usinas atualmente em operação (Angra 1 e Angra 2) a partir de 2021, onde as dificuldades orçamentarias estão sendo discutidas conjuntamente as respectivas alçadas de governança competentes, estando nelas incluídas o Ministério de Minas e Energia – MME e o Ministério da Economia – ME, com o intuito de viabilizar a promoção de um significativo reajuste de preço de fornecimento dos elementos combustíveis, a fim de que a INB passe a reunir condições fiscais sustentáveis para a sua eliminação da condição orçamentária de uma “estatal dependente”, o que garantiria a segurança de suas operações e por consequência no cumprimento de seu contrato para com a ELETRONUCLEAR, eliminando</w:t>
      </w:r>
      <w:r w:rsidR="001F0DAF" w:rsidRPr="00F45A1F">
        <w:rPr>
          <w:rFonts w:ascii="Arial" w:hAnsi="Arial" w:cs="Arial"/>
        </w:rPr>
        <w:t>,</w:t>
      </w:r>
      <w:r w:rsidRPr="00F45A1F">
        <w:rPr>
          <w:rFonts w:ascii="Arial" w:hAnsi="Arial" w:cs="Arial"/>
        </w:rPr>
        <w:t xml:space="preserve"> assim</w:t>
      </w:r>
      <w:r w:rsidR="001F0DAF" w:rsidRPr="00F45A1F">
        <w:rPr>
          <w:rFonts w:ascii="Arial" w:hAnsi="Arial" w:cs="Arial"/>
        </w:rPr>
        <w:t>,</w:t>
      </w:r>
      <w:r w:rsidRPr="00F45A1F">
        <w:rPr>
          <w:rFonts w:ascii="Arial" w:hAnsi="Arial" w:cs="Arial"/>
        </w:rPr>
        <w:t xml:space="preserve"> o risco d</w:t>
      </w:r>
      <w:r w:rsidR="001F0DAF" w:rsidRPr="00F45A1F">
        <w:rPr>
          <w:rFonts w:ascii="Arial" w:hAnsi="Arial" w:cs="Arial"/>
        </w:rPr>
        <w:t xml:space="preserve">e </w:t>
      </w:r>
      <w:r w:rsidRPr="00F45A1F">
        <w:rPr>
          <w:rFonts w:ascii="Arial" w:hAnsi="Arial" w:cs="Arial"/>
        </w:rPr>
        <w:t>a INB não produzir as recargas contratadas pela ELETRONUCLEAR por restrições orçamentárias.</w:t>
      </w:r>
    </w:p>
    <w:p w14:paraId="4A2E5637" w14:textId="77777777" w:rsidR="00DD114F" w:rsidRPr="00F45A1F" w:rsidRDefault="00DD114F" w:rsidP="005144E2">
      <w:pPr>
        <w:pStyle w:val="Corpodetexto"/>
        <w:jc w:val="both"/>
        <w:rPr>
          <w:rFonts w:ascii="Arial" w:hAnsi="Arial" w:cs="Arial"/>
        </w:rPr>
      </w:pPr>
    </w:p>
    <w:p w14:paraId="6EAE5119" w14:textId="77777777" w:rsidR="00DD114F" w:rsidRPr="00F45A1F" w:rsidRDefault="00DD114F" w:rsidP="005144E2">
      <w:pPr>
        <w:pStyle w:val="Corpodetexto"/>
        <w:jc w:val="both"/>
        <w:rPr>
          <w:rFonts w:ascii="Arial" w:hAnsi="Arial" w:cs="Arial"/>
        </w:rPr>
      </w:pPr>
      <w:r w:rsidRPr="00F45A1F">
        <w:rPr>
          <w:rFonts w:ascii="Arial" w:hAnsi="Arial" w:cs="Arial"/>
        </w:rPr>
        <w:t>A E</w:t>
      </w:r>
      <w:r w:rsidR="00C67C86" w:rsidRPr="00F45A1F">
        <w:rPr>
          <w:rFonts w:ascii="Arial" w:hAnsi="Arial" w:cs="Arial"/>
        </w:rPr>
        <w:t>letrobras</w:t>
      </w:r>
      <w:r w:rsidRPr="00F45A1F">
        <w:rPr>
          <w:rFonts w:ascii="Arial" w:hAnsi="Arial" w:cs="Arial"/>
        </w:rPr>
        <w:t>, controladora da ELETRONUCLEAR, conjuntamente ao Minist</w:t>
      </w:r>
      <w:r w:rsidR="00427079" w:rsidRPr="00F45A1F">
        <w:rPr>
          <w:rFonts w:ascii="Arial" w:hAnsi="Arial" w:cs="Arial"/>
        </w:rPr>
        <w:t>ério de Minas e Energia – MME t</w:t>
      </w:r>
      <w:r w:rsidR="004F6F5C" w:rsidRPr="00F45A1F">
        <w:rPr>
          <w:rFonts w:ascii="Arial" w:hAnsi="Arial" w:cs="Arial"/>
        </w:rPr>
        <w:t>ê</w:t>
      </w:r>
      <w:r w:rsidRPr="00F45A1F">
        <w:rPr>
          <w:rFonts w:ascii="Arial" w:hAnsi="Arial" w:cs="Arial"/>
        </w:rPr>
        <w:t>m realizado gestões junto ao Ministério da Economia no intuito de superar as dificuldades orçamentárias ora vivenciadas pela INB</w:t>
      </w:r>
      <w:r w:rsidR="004A131A" w:rsidRPr="00F45A1F">
        <w:rPr>
          <w:rFonts w:ascii="Arial" w:hAnsi="Arial" w:cs="Arial"/>
        </w:rPr>
        <w:t>.</w:t>
      </w:r>
    </w:p>
    <w:p w14:paraId="306A131C" w14:textId="77777777" w:rsidR="00DD114F" w:rsidRPr="00F45A1F" w:rsidRDefault="00DD114F" w:rsidP="005144E2">
      <w:pPr>
        <w:pStyle w:val="Corpodetexto"/>
        <w:jc w:val="both"/>
        <w:rPr>
          <w:rFonts w:ascii="Arial" w:hAnsi="Arial" w:cs="Arial"/>
        </w:rPr>
      </w:pPr>
    </w:p>
    <w:p w14:paraId="706BE9B8" w14:textId="77777777" w:rsidR="003F5AEE" w:rsidRPr="00F45A1F" w:rsidRDefault="003F5AEE" w:rsidP="005144E2">
      <w:pPr>
        <w:pStyle w:val="Corpodetexto"/>
        <w:jc w:val="both"/>
        <w:rPr>
          <w:rFonts w:ascii="Arial" w:hAnsi="Arial" w:cs="Arial"/>
        </w:rPr>
      </w:pPr>
      <w:r w:rsidRPr="00F45A1F">
        <w:rPr>
          <w:rFonts w:ascii="Arial" w:hAnsi="Arial" w:cs="Arial"/>
        </w:rPr>
        <w:t>Assim considerando, exceto pelos fatos acima narrados, entende a administração da ELETRONUCLEAR, não haver nenhuma outra expectativa econômica e financeira que possa indicar um risco de d</w:t>
      </w:r>
      <w:r w:rsidR="00782DCE" w:rsidRPr="00F45A1F">
        <w:rPr>
          <w:rFonts w:ascii="Arial" w:hAnsi="Arial" w:cs="Arial"/>
        </w:rPr>
        <w:t>escontinuidade operacional das U</w:t>
      </w:r>
      <w:r w:rsidRPr="00F45A1F">
        <w:rPr>
          <w:rFonts w:ascii="Arial" w:hAnsi="Arial" w:cs="Arial"/>
        </w:rPr>
        <w:t xml:space="preserve">sinas Angra </w:t>
      </w:r>
      <w:proofErr w:type="gramStart"/>
      <w:r w:rsidRPr="00F45A1F">
        <w:rPr>
          <w:rFonts w:ascii="Arial" w:hAnsi="Arial" w:cs="Arial"/>
        </w:rPr>
        <w:t>1</w:t>
      </w:r>
      <w:proofErr w:type="gramEnd"/>
      <w:r w:rsidRPr="00F45A1F">
        <w:rPr>
          <w:rFonts w:ascii="Arial" w:hAnsi="Arial" w:cs="Arial"/>
        </w:rPr>
        <w:t xml:space="preserve"> e 2</w:t>
      </w:r>
      <w:r w:rsidR="007916E3" w:rsidRPr="00F45A1F">
        <w:rPr>
          <w:rFonts w:ascii="Arial" w:hAnsi="Arial" w:cs="Arial"/>
        </w:rPr>
        <w:t>.</w:t>
      </w:r>
    </w:p>
    <w:p w14:paraId="76F21BCC" w14:textId="77777777" w:rsidR="003F4719" w:rsidRPr="00F45A1F" w:rsidRDefault="003F4719" w:rsidP="005144E2">
      <w:pPr>
        <w:pStyle w:val="Corpodetexto"/>
        <w:jc w:val="both"/>
        <w:rPr>
          <w:rFonts w:ascii="Arial" w:hAnsi="Arial" w:cs="Arial"/>
        </w:rPr>
      </w:pPr>
    </w:p>
    <w:p w14:paraId="412146F0" w14:textId="77777777" w:rsidR="003F4719" w:rsidRPr="00F45A1F" w:rsidRDefault="003F4719" w:rsidP="005144E2">
      <w:pPr>
        <w:jc w:val="both"/>
        <w:rPr>
          <w:rFonts w:ascii="Arial" w:hAnsi="Arial" w:cs="Arial"/>
        </w:rPr>
      </w:pPr>
      <w:r w:rsidRPr="00F45A1F">
        <w:rPr>
          <w:rFonts w:ascii="Arial" w:hAnsi="Arial" w:cs="Arial"/>
        </w:rPr>
        <w:t xml:space="preserve">Quanto à Usina Angra 3, em fase de construção, terá a totalidade de sua produção de energia elétrica comercializada sob </w:t>
      </w:r>
      <w:r w:rsidR="004F4FEF" w:rsidRPr="00F45A1F">
        <w:rPr>
          <w:rFonts w:ascii="Arial" w:hAnsi="Arial" w:cs="Arial"/>
        </w:rPr>
        <w:t>a</w:t>
      </w:r>
      <w:r w:rsidRPr="00F45A1F">
        <w:rPr>
          <w:rFonts w:ascii="Arial" w:hAnsi="Arial" w:cs="Arial"/>
        </w:rPr>
        <w:t xml:space="preserve"> égide da Portaria MME Nº 980</w:t>
      </w:r>
      <w:r w:rsidR="00230078" w:rsidRPr="00F45A1F">
        <w:rPr>
          <w:rFonts w:ascii="Arial" w:hAnsi="Arial" w:cs="Arial"/>
        </w:rPr>
        <w:t>,</w:t>
      </w:r>
      <w:r w:rsidRPr="00F45A1F">
        <w:rPr>
          <w:rFonts w:ascii="Arial" w:hAnsi="Arial" w:cs="Arial"/>
        </w:rPr>
        <w:t xml:space="preserve"> de 23</w:t>
      </w:r>
      <w:r w:rsidR="000F358B" w:rsidRPr="00F45A1F">
        <w:rPr>
          <w:rFonts w:ascii="Arial" w:hAnsi="Arial" w:cs="Arial"/>
        </w:rPr>
        <w:t xml:space="preserve"> de dezembro de </w:t>
      </w:r>
      <w:r w:rsidRPr="00F45A1F">
        <w:rPr>
          <w:rFonts w:ascii="Arial" w:hAnsi="Arial" w:cs="Arial"/>
        </w:rPr>
        <w:t>2010, que culminou com a celebração do Contrato de Energia de Reserva – CER com a Câmara de Comercialização de Energia Elétrica – CCEE.</w:t>
      </w:r>
    </w:p>
    <w:p w14:paraId="34AB3955" w14:textId="77777777" w:rsidR="00CF2E14" w:rsidRPr="00F45A1F" w:rsidRDefault="00CF2E14" w:rsidP="005144E2">
      <w:pPr>
        <w:jc w:val="both"/>
        <w:rPr>
          <w:rFonts w:ascii="Arial" w:hAnsi="Arial" w:cs="Arial"/>
        </w:rPr>
      </w:pPr>
    </w:p>
    <w:p w14:paraId="27C34B0C" w14:textId="77777777" w:rsidR="00B74905" w:rsidRPr="00F45A1F" w:rsidRDefault="00B74905" w:rsidP="005144E2">
      <w:pPr>
        <w:pStyle w:val="Corpodetexto"/>
        <w:jc w:val="both"/>
        <w:rPr>
          <w:rFonts w:ascii="Arial" w:hAnsi="Arial" w:cs="Arial"/>
        </w:rPr>
      </w:pPr>
      <w:r w:rsidRPr="00F45A1F">
        <w:rPr>
          <w:rFonts w:ascii="Arial" w:hAnsi="Arial" w:cs="Arial"/>
        </w:rPr>
        <w:t xml:space="preserve">Esse regime de comercialização determina o fornecimento de uma quantidade de energia firme a uma tarifa contratual regulada, a qual foi revisada pela Resolução do Conselho </w:t>
      </w:r>
      <w:r w:rsidR="003576DB" w:rsidRPr="00F45A1F">
        <w:rPr>
          <w:rFonts w:ascii="Arial" w:hAnsi="Arial" w:cs="Arial"/>
        </w:rPr>
        <w:t>N</w:t>
      </w:r>
      <w:r w:rsidRPr="00F45A1F">
        <w:rPr>
          <w:rFonts w:ascii="Arial" w:hAnsi="Arial" w:cs="Arial"/>
        </w:rPr>
        <w:t>acional de Política Energética – CNPE</w:t>
      </w:r>
      <w:r w:rsidR="00784DD5" w:rsidRPr="00F45A1F">
        <w:rPr>
          <w:rFonts w:ascii="Arial" w:hAnsi="Arial" w:cs="Arial"/>
        </w:rPr>
        <w:t>:</w:t>
      </w:r>
      <w:r w:rsidRPr="00F45A1F">
        <w:rPr>
          <w:rFonts w:ascii="Arial" w:hAnsi="Arial" w:cs="Arial"/>
        </w:rPr>
        <w:t xml:space="preserve"> Resolução Nº 14, de 09</w:t>
      </w:r>
      <w:r w:rsidR="00123551" w:rsidRPr="00F45A1F">
        <w:rPr>
          <w:rFonts w:ascii="Arial" w:hAnsi="Arial" w:cs="Arial"/>
        </w:rPr>
        <w:t xml:space="preserve"> de outubro de </w:t>
      </w:r>
      <w:r w:rsidRPr="00F45A1F">
        <w:rPr>
          <w:rFonts w:ascii="Arial" w:hAnsi="Arial" w:cs="Arial"/>
        </w:rPr>
        <w:t xml:space="preserve">2018 – </w:t>
      </w:r>
      <w:r w:rsidR="003E1FE9" w:rsidRPr="00F45A1F">
        <w:rPr>
          <w:rFonts w:ascii="Arial" w:hAnsi="Arial" w:cs="Arial"/>
        </w:rPr>
        <w:t>DOU</w:t>
      </w:r>
      <w:r w:rsidRPr="00F45A1F">
        <w:rPr>
          <w:rFonts w:ascii="Arial" w:hAnsi="Arial" w:cs="Arial"/>
        </w:rPr>
        <w:t xml:space="preserve"> de 23</w:t>
      </w:r>
      <w:r w:rsidR="00123551" w:rsidRPr="00F45A1F">
        <w:rPr>
          <w:rFonts w:ascii="Arial" w:hAnsi="Arial" w:cs="Arial"/>
        </w:rPr>
        <w:t xml:space="preserve"> de outubro de </w:t>
      </w:r>
      <w:r w:rsidRPr="00F45A1F">
        <w:rPr>
          <w:rFonts w:ascii="Arial" w:hAnsi="Arial" w:cs="Arial"/>
        </w:rPr>
        <w:t>2018.</w:t>
      </w:r>
    </w:p>
    <w:p w14:paraId="0A22C4AF" w14:textId="77777777" w:rsidR="00062A22" w:rsidRPr="00F45A1F" w:rsidRDefault="00062A22" w:rsidP="005144E2">
      <w:pPr>
        <w:pStyle w:val="Corpodetexto"/>
        <w:jc w:val="both"/>
        <w:rPr>
          <w:rFonts w:ascii="Arial" w:hAnsi="Arial" w:cs="Arial"/>
        </w:rPr>
      </w:pPr>
    </w:p>
    <w:p w14:paraId="72E01F53" w14:textId="77777777" w:rsidR="00B74905" w:rsidRPr="00F45A1F" w:rsidRDefault="00B74905" w:rsidP="005144E2">
      <w:pPr>
        <w:pStyle w:val="Corpodetexto"/>
        <w:jc w:val="both"/>
        <w:rPr>
          <w:rFonts w:ascii="Arial" w:hAnsi="Arial" w:cs="Arial"/>
        </w:rPr>
      </w:pPr>
      <w:r w:rsidRPr="00F45A1F">
        <w:rPr>
          <w:rFonts w:ascii="Arial" w:hAnsi="Arial" w:cs="Arial"/>
        </w:rPr>
        <w:t>A mencionada resolução aprovou o relatório elaborado pelo Grupo de Trabalho instituído pela Resolução nº 7, de 05</w:t>
      </w:r>
      <w:r w:rsidR="00123551" w:rsidRPr="00F45A1F">
        <w:rPr>
          <w:rFonts w:ascii="Arial" w:hAnsi="Arial" w:cs="Arial"/>
        </w:rPr>
        <w:t xml:space="preserve"> de junho de </w:t>
      </w:r>
      <w:r w:rsidRPr="00F45A1F">
        <w:rPr>
          <w:rFonts w:ascii="Arial" w:hAnsi="Arial" w:cs="Arial"/>
        </w:rPr>
        <w:t>2018, recomendando adotar como preço de referência para a energia proveniente da usina a tarifa de R$ 480,00/</w:t>
      </w:r>
      <w:proofErr w:type="spellStart"/>
      <w:proofErr w:type="gramStart"/>
      <w:r w:rsidRPr="00F45A1F">
        <w:rPr>
          <w:rFonts w:ascii="Arial" w:hAnsi="Arial" w:cs="Arial"/>
        </w:rPr>
        <w:t>MWh</w:t>
      </w:r>
      <w:proofErr w:type="spellEnd"/>
      <w:proofErr w:type="gramEnd"/>
      <w:r w:rsidRPr="00F45A1F">
        <w:rPr>
          <w:rFonts w:ascii="Arial" w:hAnsi="Arial" w:cs="Arial"/>
        </w:rPr>
        <w:t>, a valores de julho de 2018, tendo como objetivo estabelecer co</w:t>
      </w:r>
      <w:r w:rsidR="00AB6B12" w:rsidRPr="00F45A1F">
        <w:rPr>
          <w:rFonts w:ascii="Arial" w:hAnsi="Arial" w:cs="Arial"/>
        </w:rPr>
        <w:t>ndições para a viabilização do e</w:t>
      </w:r>
      <w:r w:rsidRPr="00F45A1F">
        <w:rPr>
          <w:rFonts w:ascii="Arial" w:hAnsi="Arial" w:cs="Arial"/>
        </w:rPr>
        <w:t>mpreendimento.</w:t>
      </w:r>
    </w:p>
    <w:p w14:paraId="1B1EA45F" w14:textId="77777777" w:rsidR="00B74905" w:rsidRPr="00F45A1F" w:rsidRDefault="00B74905" w:rsidP="005144E2">
      <w:pPr>
        <w:pStyle w:val="Corpodetexto"/>
        <w:jc w:val="both"/>
        <w:rPr>
          <w:rFonts w:ascii="Arial" w:hAnsi="Arial" w:cs="Arial"/>
        </w:rPr>
      </w:pPr>
      <w:r w:rsidRPr="00F45A1F">
        <w:rPr>
          <w:rFonts w:ascii="Arial" w:hAnsi="Arial" w:cs="Arial"/>
        </w:rPr>
        <w:t> </w:t>
      </w:r>
    </w:p>
    <w:p w14:paraId="019495AD" w14:textId="77777777" w:rsidR="00B74905" w:rsidRPr="00F45A1F" w:rsidRDefault="00B74905" w:rsidP="005144E2">
      <w:pPr>
        <w:pStyle w:val="Corpodetexto"/>
        <w:jc w:val="both"/>
        <w:rPr>
          <w:rFonts w:ascii="Arial" w:hAnsi="Arial" w:cs="Arial"/>
        </w:rPr>
      </w:pPr>
      <w:r w:rsidRPr="00F45A1F">
        <w:rPr>
          <w:rFonts w:ascii="Arial" w:hAnsi="Arial" w:cs="Arial"/>
        </w:rPr>
        <w:t>Portanto, a modalidade de comercialização de Energia de Reserva da Usina Angra 3 assegura a esse projeto todas as garantias e compromissos de um modelo não exposto ao mercado de energia elétrica de curto prazo.</w:t>
      </w:r>
    </w:p>
    <w:p w14:paraId="3C3EB410" w14:textId="77777777" w:rsidR="003F4719" w:rsidRPr="00F45A1F" w:rsidRDefault="003F4719" w:rsidP="005144E2">
      <w:pPr>
        <w:jc w:val="both"/>
        <w:rPr>
          <w:rFonts w:ascii="Arial" w:hAnsi="Arial" w:cs="Arial"/>
        </w:rPr>
      </w:pPr>
    </w:p>
    <w:p w14:paraId="4C8E95B7" w14:textId="77777777" w:rsidR="00B74905" w:rsidRPr="00F45A1F" w:rsidRDefault="00BA0E5C" w:rsidP="005144E2">
      <w:pPr>
        <w:jc w:val="both"/>
        <w:rPr>
          <w:rFonts w:ascii="Arial" w:hAnsi="Arial" w:cs="Arial"/>
        </w:rPr>
      </w:pPr>
      <w:r w:rsidRPr="00F45A1F">
        <w:rPr>
          <w:rFonts w:ascii="Arial" w:hAnsi="Arial" w:cs="Arial"/>
        </w:rPr>
        <w:t>A ad</w:t>
      </w:r>
      <w:r w:rsidR="006115A5" w:rsidRPr="00F45A1F">
        <w:rPr>
          <w:rFonts w:ascii="Arial" w:hAnsi="Arial" w:cs="Arial"/>
        </w:rPr>
        <w:t xml:space="preserve">ministração da </w:t>
      </w:r>
      <w:r w:rsidR="00202F2A" w:rsidRPr="00F45A1F">
        <w:rPr>
          <w:rFonts w:ascii="Arial" w:hAnsi="Arial" w:cs="Arial"/>
        </w:rPr>
        <w:t>Companhia</w:t>
      </w:r>
      <w:r w:rsidR="006115A5" w:rsidRPr="00F45A1F">
        <w:rPr>
          <w:rFonts w:ascii="Arial" w:hAnsi="Arial" w:cs="Arial"/>
        </w:rPr>
        <w:t xml:space="preserve"> ressalva</w:t>
      </w:r>
      <w:r w:rsidRPr="00F45A1F">
        <w:rPr>
          <w:rFonts w:ascii="Arial" w:hAnsi="Arial" w:cs="Arial"/>
        </w:rPr>
        <w:t xml:space="preserve"> que diante da dificuldade da ELETRONUCLEAR em alocar recursos próprios em montantes suficientes para suportar as atividades de Angra 3, agravadas pela elevação da exigência de contrapartidas pelo BNDES, uma das instituições financeiras financiadora do empreendimento, que alterou de 20% para 40% o percentual de participação financeira com recursos próprios, aplicáveis aos itens considerados financiáveis, levaram a </w:t>
      </w:r>
      <w:r w:rsidR="00EE5EF9" w:rsidRPr="00F45A1F">
        <w:rPr>
          <w:rFonts w:ascii="Arial" w:hAnsi="Arial" w:cs="Arial"/>
        </w:rPr>
        <w:t>C</w:t>
      </w:r>
      <w:r w:rsidR="00922A1B" w:rsidRPr="00F45A1F">
        <w:rPr>
          <w:rFonts w:ascii="Arial" w:hAnsi="Arial" w:cs="Arial"/>
        </w:rPr>
        <w:t>ompanhia</w:t>
      </w:r>
      <w:r w:rsidRPr="00F45A1F">
        <w:rPr>
          <w:rFonts w:ascii="Arial" w:hAnsi="Arial" w:cs="Arial"/>
        </w:rPr>
        <w:t xml:space="preserve"> a decidir, no terceiro trimestre de 2015, pela suspensão da maior parte de seus contratos com fabricantes nacionais e a reduzir sensivelmente os dispêndios associados aos contratos de serviços, de maneira a melhor compatibilizar a relação dos desembolsos ao fluxo de caixa existente e a conter a escalada de pagamentos em aberto. As suspensões foram efetuadas em duas etapas, sendo a primeira amparada pelo inciso XIV, do artigo 78</w:t>
      </w:r>
      <w:r w:rsidR="00230078" w:rsidRPr="00F45A1F">
        <w:rPr>
          <w:rFonts w:ascii="Arial" w:hAnsi="Arial" w:cs="Arial"/>
        </w:rPr>
        <w:t>,</w:t>
      </w:r>
      <w:r w:rsidRPr="00F45A1F">
        <w:rPr>
          <w:rFonts w:ascii="Arial" w:hAnsi="Arial" w:cs="Arial"/>
        </w:rPr>
        <w:t xml:space="preserve"> da Lei 8.666/93 que, resumidamente, prevê a suspensão contratual, de forma unilateral, sem ônus para a Administração e a segunda</w:t>
      </w:r>
      <w:r w:rsidR="00C4071F" w:rsidRPr="00F45A1F">
        <w:rPr>
          <w:rFonts w:ascii="Arial" w:hAnsi="Arial" w:cs="Arial"/>
        </w:rPr>
        <w:t>,</w:t>
      </w:r>
      <w:r w:rsidR="009965D8" w:rsidRPr="00F45A1F">
        <w:rPr>
          <w:rFonts w:ascii="Arial" w:hAnsi="Arial" w:cs="Arial"/>
        </w:rPr>
        <w:t xml:space="preserve"> </w:t>
      </w:r>
      <w:r w:rsidR="00596561" w:rsidRPr="00F45A1F">
        <w:rPr>
          <w:rFonts w:ascii="Arial" w:hAnsi="Arial" w:cs="Arial"/>
        </w:rPr>
        <w:t>finalizada em junho de 2016</w:t>
      </w:r>
      <w:r w:rsidR="00741816" w:rsidRPr="00F45A1F">
        <w:rPr>
          <w:rFonts w:ascii="Arial" w:hAnsi="Arial" w:cs="Arial"/>
        </w:rPr>
        <w:t>,</w:t>
      </w:r>
      <w:r w:rsidR="009965D8" w:rsidRPr="00F45A1F">
        <w:rPr>
          <w:rFonts w:ascii="Arial" w:hAnsi="Arial" w:cs="Arial"/>
        </w:rPr>
        <w:t xml:space="preserve"> </w:t>
      </w:r>
      <w:r w:rsidRPr="00F45A1F">
        <w:rPr>
          <w:rFonts w:ascii="Arial" w:hAnsi="Arial" w:cs="Arial"/>
        </w:rPr>
        <w:t>em termos consensuais, sendo assegurado o ressarcimento dos custos incorridos, pela suspensão, às empresas contratadas.</w:t>
      </w:r>
    </w:p>
    <w:p w14:paraId="151272DD" w14:textId="77777777" w:rsidR="00B74905" w:rsidRPr="00F45A1F" w:rsidRDefault="00B74905" w:rsidP="005144E2">
      <w:pPr>
        <w:jc w:val="both"/>
        <w:rPr>
          <w:rFonts w:ascii="Arial" w:hAnsi="Arial" w:cs="Arial"/>
        </w:rPr>
      </w:pPr>
    </w:p>
    <w:p w14:paraId="7FCD328B" w14:textId="77777777" w:rsidR="00B74905" w:rsidRPr="00F45A1F" w:rsidRDefault="00B74905" w:rsidP="005144E2">
      <w:pPr>
        <w:jc w:val="both"/>
        <w:rPr>
          <w:rFonts w:ascii="Arial" w:hAnsi="Arial" w:cs="Arial"/>
        </w:rPr>
      </w:pPr>
      <w:r w:rsidRPr="00F45A1F">
        <w:rPr>
          <w:rFonts w:ascii="Arial" w:hAnsi="Arial" w:cs="Arial"/>
        </w:rPr>
        <w:t>Considerando que o obstáculo maior para viabilização do projeto foi solucionado com a revisão tarifária realizada, mencionada ant</w:t>
      </w:r>
      <w:r w:rsidR="00EE5EF9" w:rsidRPr="00F45A1F">
        <w:rPr>
          <w:rFonts w:ascii="Arial" w:hAnsi="Arial" w:cs="Arial"/>
        </w:rPr>
        <w:t>eriormente, a administração da C</w:t>
      </w:r>
      <w:r w:rsidRPr="00F45A1F">
        <w:rPr>
          <w:rFonts w:ascii="Arial" w:hAnsi="Arial" w:cs="Arial"/>
        </w:rPr>
        <w:t>ompanhia vem avançando em gestões para que novas extensões de suspensões consensuais sejam viabilizadas, de forma a ser garantida a continuidade dos contratos então vigentes.</w:t>
      </w:r>
    </w:p>
    <w:p w14:paraId="7E18E96A" w14:textId="77777777" w:rsidR="00B74905" w:rsidRPr="00F45A1F" w:rsidRDefault="00B74905" w:rsidP="005144E2">
      <w:pPr>
        <w:jc w:val="both"/>
        <w:rPr>
          <w:rFonts w:ascii="Arial" w:hAnsi="Arial" w:cs="Arial"/>
        </w:rPr>
      </w:pPr>
      <w:r w:rsidRPr="00F45A1F">
        <w:rPr>
          <w:rFonts w:ascii="Arial" w:hAnsi="Arial" w:cs="Arial"/>
        </w:rPr>
        <w:t> </w:t>
      </w:r>
    </w:p>
    <w:p w14:paraId="1CBF8F81" w14:textId="77777777" w:rsidR="00B74905" w:rsidRPr="00F45A1F" w:rsidRDefault="00B74905" w:rsidP="005144E2">
      <w:pPr>
        <w:jc w:val="both"/>
        <w:rPr>
          <w:rFonts w:ascii="Arial" w:hAnsi="Arial" w:cs="Arial"/>
        </w:rPr>
      </w:pPr>
      <w:r w:rsidRPr="00F45A1F">
        <w:rPr>
          <w:rFonts w:ascii="Arial" w:hAnsi="Arial" w:cs="Arial"/>
        </w:rPr>
        <w:t>Com o objetivo de caracterizar a situação atual de Angra 3 e as implicações d</w:t>
      </w:r>
      <w:r w:rsidR="0085155A" w:rsidRPr="00F45A1F">
        <w:rPr>
          <w:rFonts w:ascii="Arial" w:hAnsi="Arial" w:cs="Arial"/>
        </w:rPr>
        <w:t>a</w:t>
      </w:r>
      <w:r w:rsidRPr="00F45A1F">
        <w:rPr>
          <w:rFonts w:ascii="Arial" w:hAnsi="Arial" w:cs="Arial"/>
        </w:rPr>
        <w:t xml:space="preserve"> sua paralisação para a ELETRONUCLEAR e para o Sistema Eletrobras, a administração da ELETRONUCLEAR vem conduzindo iniciativas para a implantação de um Plano de Ações </w:t>
      </w:r>
      <w:r w:rsidR="003C4F3B" w:rsidRPr="00F45A1F">
        <w:rPr>
          <w:rFonts w:ascii="Arial" w:hAnsi="Arial" w:cs="Arial"/>
        </w:rPr>
        <w:t>visando o</w:t>
      </w:r>
      <w:r w:rsidRPr="00F45A1F">
        <w:rPr>
          <w:rFonts w:ascii="Arial" w:hAnsi="Arial" w:cs="Arial"/>
        </w:rPr>
        <w:t xml:space="preserve"> equacionamento das condições necessárias à plena retomada e conclusão do empreendimento.</w:t>
      </w:r>
    </w:p>
    <w:p w14:paraId="7BF11569" w14:textId="77777777" w:rsidR="000F5A6F" w:rsidRPr="00F45A1F" w:rsidRDefault="000F5A6F" w:rsidP="005144E2">
      <w:pPr>
        <w:jc w:val="both"/>
        <w:rPr>
          <w:rFonts w:ascii="Arial" w:hAnsi="Arial" w:cs="Arial"/>
        </w:rPr>
      </w:pPr>
    </w:p>
    <w:p w14:paraId="6ACF5D45" w14:textId="77777777" w:rsidR="000247B6" w:rsidRPr="00F45A1F" w:rsidRDefault="000247B6" w:rsidP="005144E2">
      <w:pPr>
        <w:jc w:val="both"/>
        <w:rPr>
          <w:rFonts w:ascii="Arial" w:hAnsi="Arial" w:cs="Arial"/>
        </w:rPr>
      </w:pPr>
      <w:r w:rsidRPr="00F45A1F">
        <w:rPr>
          <w:rFonts w:ascii="Arial" w:hAnsi="Arial" w:cs="Arial"/>
        </w:rPr>
        <w:t xml:space="preserve">Desde 2016, a </w:t>
      </w:r>
      <w:r w:rsidR="00C4071F" w:rsidRPr="00F45A1F">
        <w:rPr>
          <w:rFonts w:ascii="Arial" w:hAnsi="Arial" w:cs="Arial"/>
        </w:rPr>
        <w:t>ELETRONUCLEAR</w:t>
      </w:r>
      <w:r w:rsidRPr="00F45A1F">
        <w:rPr>
          <w:rFonts w:ascii="Arial" w:hAnsi="Arial" w:cs="Arial"/>
        </w:rPr>
        <w:t xml:space="preserve"> vem buscando assessoria de consultorias especializadas visando à conclusão de Angra 3. Foram elas:</w:t>
      </w:r>
    </w:p>
    <w:p w14:paraId="303A1149" w14:textId="77777777" w:rsidR="000247B6" w:rsidRPr="00F45A1F" w:rsidRDefault="000247B6" w:rsidP="005144E2">
      <w:pPr>
        <w:jc w:val="both"/>
        <w:rPr>
          <w:rFonts w:ascii="Arial" w:hAnsi="Arial" w:cs="Arial"/>
        </w:rPr>
      </w:pPr>
    </w:p>
    <w:p w14:paraId="3EB5E2AE" w14:textId="4086AFE6" w:rsidR="000247B6" w:rsidRPr="00F45A1F" w:rsidRDefault="000247B6" w:rsidP="005144E2">
      <w:pPr>
        <w:pStyle w:val="PargrafodaLista"/>
        <w:numPr>
          <w:ilvl w:val="0"/>
          <w:numId w:val="33"/>
        </w:numPr>
        <w:jc w:val="both"/>
        <w:rPr>
          <w:rFonts w:ascii="Arial" w:hAnsi="Arial" w:cs="Arial"/>
        </w:rPr>
      </w:pPr>
      <w:r w:rsidRPr="00F45A1F">
        <w:rPr>
          <w:rFonts w:ascii="Arial" w:hAnsi="Arial" w:cs="Arial"/>
        </w:rPr>
        <w:t xml:space="preserve">Deloitte Consultores - Para auditar o status das obras civis e verificar irregularidades apresentadas pelo </w:t>
      </w:r>
      <w:r w:rsidR="00CE3BF5" w:rsidRPr="00F45A1F">
        <w:rPr>
          <w:rFonts w:ascii="Arial" w:hAnsi="Arial" w:cs="Arial"/>
        </w:rPr>
        <w:t xml:space="preserve">Tribunal de Contas da União - </w:t>
      </w:r>
      <w:r w:rsidRPr="00F45A1F">
        <w:rPr>
          <w:rFonts w:ascii="Arial" w:hAnsi="Arial" w:cs="Arial"/>
        </w:rPr>
        <w:t>TCU por meio de Relatório de Fiscalização (TC n. 002.651/2015-7), bem como efetuar uma análise da estimativa dos custos relacionados ao cancelamento das obras de implantação da usina, bem como da estimativa de custos para sua conclusão (“</w:t>
      </w:r>
      <w:proofErr w:type="spellStart"/>
      <w:r w:rsidRPr="00F45A1F">
        <w:rPr>
          <w:rFonts w:ascii="Arial" w:hAnsi="Arial" w:cs="Arial"/>
        </w:rPr>
        <w:t>Cost</w:t>
      </w:r>
      <w:proofErr w:type="spellEnd"/>
      <w:r w:rsidR="00DE6429">
        <w:rPr>
          <w:rFonts w:ascii="Arial" w:hAnsi="Arial" w:cs="Arial"/>
        </w:rPr>
        <w:t xml:space="preserve"> </w:t>
      </w:r>
      <w:proofErr w:type="spellStart"/>
      <w:r w:rsidRPr="00F45A1F">
        <w:rPr>
          <w:rFonts w:ascii="Arial" w:hAnsi="Arial" w:cs="Arial"/>
        </w:rPr>
        <w:t>to</w:t>
      </w:r>
      <w:proofErr w:type="spellEnd"/>
      <w:r w:rsidRPr="00F45A1F">
        <w:rPr>
          <w:rFonts w:ascii="Arial" w:hAnsi="Arial" w:cs="Arial"/>
        </w:rPr>
        <w:t xml:space="preserve"> Complete”), foi contratada a Deloitte Consultores. Foi analisada a procedência das constatações do TCU, bem como </w:t>
      </w:r>
      <w:r w:rsidR="005E4A2D" w:rsidRPr="00F45A1F">
        <w:rPr>
          <w:rFonts w:ascii="Arial" w:hAnsi="Arial" w:cs="Arial"/>
        </w:rPr>
        <w:t>estudos de mecanismos de ajuizamentos de ações em ressarcimentos a eventuais prejuízos identificados</w:t>
      </w:r>
      <w:r w:rsidRPr="00F45A1F">
        <w:rPr>
          <w:rFonts w:ascii="Arial" w:hAnsi="Arial" w:cs="Arial"/>
        </w:rPr>
        <w:t xml:space="preserve">.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w:t>
      </w:r>
      <w:r w:rsidR="000F358B" w:rsidRPr="00F45A1F">
        <w:rPr>
          <w:rFonts w:ascii="Arial" w:hAnsi="Arial" w:cs="Arial"/>
        </w:rPr>
        <w:t>Usina Termonuclear -</w:t>
      </w:r>
      <w:r w:rsidRPr="00F45A1F">
        <w:rPr>
          <w:rFonts w:ascii="Arial" w:hAnsi="Arial" w:cs="Arial"/>
        </w:rPr>
        <w:t>UTN Angra 3 considerou o custo de desmobilização das obras já existentes, a multa rescisória do contrato de comercialização e o custo financeiro de liquidação dos empréstimos vigentes;</w:t>
      </w:r>
    </w:p>
    <w:p w14:paraId="62C5F9C9" w14:textId="77777777" w:rsidR="000247B6" w:rsidRPr="00F45A1F" w:rsidRDefault="000247B6" w:rsidP="005144E2">
      <w:pPr>
        <w:jc w:val="both"/>
        <w:rPr>
          <w:rFonts w:ascii="Arial" w:hAnsi="Arial" w:cs="Arial"/>
        </w:rPr>
      </w:pPr>
    </w:p>
    <w:p w14:paraId="600C8649" w14:textId="77777777" w:rsidR="000247B6" w:rsidRPr="00F45A1F" w:rsidRDefault="000247B6" w:rsidP="005144E2">
      <w:pPr>
        <w:pStyle w:val="PargrafodaLista"/>
        <w:numPr>
          <w:ilvl w:val="0"/>
          <w:numId w:val="33"/>
        </w:numPr>
        <w:jc w:val="both"/>
        <w:rPr>
          <w:rFonts w:ascii="Arial" w:hAnsi="Arial" w:cs="Arial"/>
        </w:rPr>
      </w:pPr>
      <w:r w:rsidRPr="00F45A1F">
        <w:rPr>
          <w:rFonts w:ascii="Arial" w:hAnsi="Arial" w:cs="Arial"/>
        </w:rPr>
        <w:t>Alvarez &amp;</w:t>
      </w:r>
      <w:r w:rsidR="009965D8" w:rsidRPr="00F45A1F">
        <w:rPr>
          <w:rFonts w:ascii="Arial" w:hAnsi="Arial" w:cs="Arial"/>
        </w:rPr>
        <w:t xml:space="preserve"> </w:t>
      </w:r>
      <w:proofErr w:type="spellStart"/>
      <w:r w:rsidRPr="00F45A1F">
        <w:rPr>
          <w:rFonts w:ascii="Arial" w:hAnsi="Arial" w:cs="Arial"/>
        </w:rPr>
        <w:t>Marsal</w:t>
      </w:r>
      <w:proofErr w:type="spellEnd"/>
      <w:r w:rsidRPr="00F45A1F">
        <w:rPr>
          <w:rFonts w:ascii="Arial" w:hAnsi="Arial" w:cs="Arial"/>
        </w:rPr>
        <w:t xml:space="preserve"> - Tomando como base os relatórios da Deloitte, foi contratada uma consultoria especializada na estruturação de empresas, com conhecimento na avaliação da construção e operação de usinas nucleares, a Alvarez &amp;</w:t>
      </w:r>
      <w:r w:rsidR="009965D8" w:rsidRPr="00F45A1F">
        <w:rPr>
          <w:rFonts w:ascii="Arial" w:hAnsi="Arial" w:cs="Arial"/>
        </w:rPr>
        <w:t xml:space="preserve"> </w:t>
      </w:r>
      <w:proofErr w:type="spellStart"/>
      <w:r w:rsidRPr="00F45A1F">
        <w:rPr>
          <w:rFonts w:ascii="Arial" w:hAnsi="Arial" w:cs="Arial"/>
        </w:rPr>
        <w:t>Marsal</w:t>
      </w:r>
      <w:proofErr w:type="spellEnd"/>
      <w:r w:rsidRPr="00F45A1F">
        <w:rPr>
          <w:rFonts w:ascii="Arial" w:hAnsi="Arial" w:cs="Arial"/>
        </w:rPr>
        <w:t xml:space="preserve">, para realizar os estudos econômico-financeiros necessários para viabilizar uma parceria que atenda questões operacionais e financeiras de acordo com a visão societária definida pela </w:t>
      </w:r>
      <w:r w:rsidR="007C20CE" w:rsidRPr="00F45A1F">
        <w:rPr>
          <w:rFonts w:ascii="Arial" w:hAnsi="Arial" w:cs="Arial"/>
        </w:rPr>
        <w:t>C</w:t>
      </w:r>
      <w:r w:rsidR="00D51B67" w:rsidRPr="00F45A1F">
        <w:rPr>
          <w:rFonts w:ascii="Arial" w:hAnsi="Arial" w:cs="Arial"/>
        </w:rPr>
        <w:t>ompanhia</w:t>
      </w:r>
      <w:r w:rsidRPr="00F45A1F">
        <w:rPr>
          <w:rFonts w:ascii="Arial" w:hAnsi="Arial" w:cs="Arial"/>
        </w:rPr>
        <w:t xml:space="preserve">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5B88786F" w14:textId="77777777" w:rsidR="000247B6" w:rsidRPr="00F45A1F" w:rsidRDefault="000247B6" w:rsidP="005144E2">
      <w:pPr>
        <w:jc w:val="both"/>
        <w:rPr>
          <w:rFonts w:ascii="Arial" w:hAnsi="Arial" w:cs="Arial"/>
        </w:rPr>
      </w:pPr>
    </w:p>
    <w:p w14:paraId="1D8112F8" w14:textId="77777777" w:rsidR="000247B6" w:rsidRPr="00F45A1F" w:rsidRDefault="000247B6" w:rsidP="005144E2">
      <w:pPr>
        <w:pStyle w:val="PargrafodaLista"/>
        <w:numPr>
          <w:ilvl w:val="0"/>
          <w:numId w:val="33"/>
        </w:numPr>
        <w:jc w:val="both"/>
        <w:rPr>
          <w:rFonts w:ascii="Arial" w:hAnsi="Arial" w:cs="Arial"/>
        </w:rPr>
      </w:pPr>
      <w:proofErr w:type="spellStart"/>
      <w:r w:rsidRPr="00F45A1F">
        <w:rPr>
          <w:rFonts w:ascii="Arial" w:hAnsi="Arial" w:cs="Arial"/>
        </w:rPr>
        <w:t>Veirano</w:t>
      </w:r>
      <w:proofErr w:type="spellEnd"/>
      <w:r w:rsidRPr="00F45A1F">
        <w:rPr>
          <w:rFonts w:ascii="Arial" w:hAnsi="Arial" w:cs="Arial"/>
        </w:rPr>
        <w:t xml:space="preserve"> Advogados - Para analisar a legalidade da possível estrutura societária do negócio e do ambiente regulatório dos cenários estudados pela Alvarez &amp;</w:t>
      </w:r>
      <w:r w:rsidR="009965D8" w:rsidRPr="00F45A1F">
        <w:rPr>
          <w:rFonts w:ascii="Arial" w:hAnsi="Arial" w:cs="Arial"/>
        </w:rPr>
        <w:t xml:space="preserve"> </w:t>
      </w:r>
      <w:proofErr w:type="spellStart"/>
      <w:r w:rsidRPr="00F45A1F">
        <w:rPr>
          <w:rFonts w:ascii="Arial" w:hAnsi="Arial" w:cs="Arial"/>
        </w:rPr>
        <w:t>Marsal</w:t>
      </w:r>
      <w:proofErr w:type="spellEnd"/>
      <w:r w:rsidRPr="00F45A1F">
        <w:rPr>
          <w:rFonts w:ascii="Arial" w:hAnsi="Arial" w:cs="Arial"/>
        </w:rPr>
        <w:t>, bem como do modelo de efetivação da parceria</w:t>
      </w:r>
      <w:r w:rsidR="009F311B" w:rsidRPr="00F45A1F">
        <w:rPr>
          <w:rFonts w:ascii="Arial" w:hAnsi="Arial" w:cs="Arial"/>
        </w:rPr>
        <w:t xml:space="preserve"> em avaliação, foi contratado o </w:t>
      </w:r>
      <w:proofErr w:type="spellStart"/>
      <w:r w:rsidRPr="00F45A1F">
        <w:rPr>
          <w:rFonts w:ascii="Arial" w:hAnsi="Arial" w:cs="Arial"/>
        </w:rPr>
        <w:t>Veirano</w:t>
      </w:r>
      <w:proofErr w:type="spellEnd"/>
      <w:r w:rsidRPr="00F45A1F">
        <w:rPr>
          <w:rFonts w:ascii="Arial" w:hAnsi="Arial" w:cs="Arial"/>
        </w:rPr>
        <w:t xml:space="preserve"> Advogados, uma consultoria jurídica especializada em direito societário, com vasta experiência no setor elétrico.</w:t>
      </w:r>
    </w:p>
    <w:p w14:paraId="7BC162FF" w14:textId="77777777" w:rsidR="000247B6" w:rsidRPr="00F45A1F" w:rsidRDefault="000247B6" w:rsidP="005144E2">
      <w:pPr>
        <w:pStyle w:val="PargrafodaLista"/>
        <w:ind w:left="1080"/>
        <w:jc w:val="both"/>
        <w:rPr>
          <w:rFonts w:ascii="Arial" w:hAnsi="Arial" w:cs="Arial"/>
        </w:rPr>
      </w:pPr>
    </w:p>
    <w:p w14:paraId="44FFC59A" w14:textId="586BEF38" w:rsidR="000247B6" w:rsidRPr="00F45A1F" w:rsidRDefault="00782DCE" w:rsidP="005144E2">
      <w:pPr>
        <w:jc w:val="both"/>
        <w:rPr>
          <w:rFonts w:ascii="Arial" w:hAnsi="Arial" w:cs="Arial"/>
        </w:rPr>
      </w:pPr>
      <w:r w:rsidRPr="00F45A1F">
        <w:rPr>
          <w:rFonts w:ascii="Arial" w:hAnsi="Arial" w:cs="Arial"/>
        </w:rPr>
        <w:t>A conclusão das obras da U</w:t>
      </w:r>
      <w:r w:rsidR="000247B6" w:rsidRPr="00F45A1F">
        <w:rPr>
          <w:rFonts w:ascii="Arial" w:hAnsi="Arial" w:cs="Arial"/>
        </w:rPr>
        <w:t xml:space="preserve">sina de Angra </w:t>
      </w:r>
      <w:proofErr w:type="gramStart"/>
      <w:r w:rsidR="000247B6" w:rsidRPr="00F45A1F">
        <w:rPr>
          <w:rFonts w:ascii="Arial" w:hAnsi="Arial" w:cs="Arial"/>
        </w:rPr>
        <w:t>3</w:t>
      </w:r>
      <w:proofErr w:type="gramEnd"/>
      <w:r w:rsidR="000247B6" w:rsidRPr="00F45A1F">
        <w:rPr>
          <w:rFonts w:ascii="Arial" w:hAnsi="Arial" w:cs="Arial"/>
        </w:rPr>
        <w:t xml:space="preserve"> em condições sustentáveis depende de uma nova estruturação financeira, dado o montante de investimentos ainda a realizar, da ordem de R$ 15 bilhões</w:t>
      </w:r>
      <w:r w:rsidR="005E4A2D" w:rsidRPr="00F45A1F">
        <w:rPr>
          <w:rFonts w:ascii="Arial" w:hAnsi="Arial" w:cs="Arial"/>
        </w:rPr>
        <w:t xml:space="preserve"> (não </w:t>
      </w:r>
      <w:r w:rsidR="00950652">
        <w:rPr>
          <w:rFonts w:ascii="Arial" w:hAnsi="Arial" w:cs="Arial"/>
        </w:rPr>
        <w:t>revisado</w:t>
      </w:r>
      <w:r w:rsidR="00F45D74">
        <w:rPr>
          <w:rFonts w:ascii="Arial" w:hAnsi="Arial" w:cs="Arial"/>
        </w:rPr>
        <w:t xml:space="preserve"> pelo auditor independente</w:t>
      </w:r>
      <w:r w:rsidR="005E4A2D" w:rsidRPr="00F45A1F">
        <w:rPr>
          <w:rFonts w:ascii="Arial" w:hAnsi="Arial" w:cs="Arial"/>
        </w:rPr>
        <w:t>)</w:t>
      </w:r>
      <w:r w:rsidR="000247B6" w:rsidRPr="00F45A1F">
        <w:rPr>
          <w:rFonts w:ascii="Arial" w:hAnsi="Arial" w:cs="Arial"/>
        </w:rPr>
        <w:t>.</w:t>
      </w:r>
    </w:p>
    <w:p w14:paraId="234C6D41" w14:textId="77777777" w:rsidR="009F311B" w:rsidRPr="00F45A1F" w:rsidRDefault="009F311B" w:rsidP="005144E2">
      <w:pPr>
        <w:jc w:val="both"/>
        <w:rPr>
          <w:rFonts w:ascii="Arial" w:hAnsi="Arial" w:cs="Arial"/>
        </w:rPr>
      </w:pPr>
    </w:p>
    <w:p w14:paraId="460814F4" w14:textId="77777777" w:rsidR="000247B6" w:rsidRPr="00F45A1F" w:rsidRDefault="000247B6" w:rsidP="005144E2">
      <w:pPr>
        <w:jc w:val="both"/>
        <w:rPr>
          <w:rFonts w:ascii="Arial" w:hAnsi="Arial" w:cs="Arial"/>
        </w:rPr>
      </w:pPr>
      <w:r w:rsidRPr="00F45A1F">
        <w:rPr>
          <w:rFonts w:ascii="Arial" w:hAnsi="Arial" w:cs="Arial"/>
        </w:rPr>
        <w:t xml:space="preserve">Atualmente, a ELETRONUCLEAR não possui garantias disponíveis para conseguir um novo empréstimo, visto que todos os seus ativos já estão comprometidos nos créditos existentes. Além disso, em outubro de 2017 expirou o </w:t>
      </w:r>
      <w:proofErr w:type="spellStart"/>
      <w:r w:rsidRPr="00F45A1F">
        <w:rPr>
          <w:rFonts w:ascii="Arial" w:hAnsi="Arial" w:cs="Arial"/>
          <w:i/>
          <w:iCs/>
        </w:rPr>
        <w:t>waiver</w:t>
      </w:r>
      <w:proofErr w:type="spellEnd"/>
      <w:r w:rsidRPr="00F45A1F">
        <w:rPr>
          <w:rFonts w:ascii="Arial" w:hAnsi="Arial" w:cs="Arial"/>
        </w:rPr>
        <w:t xml:space="preserve"> contratual do BNDES e em julho de 2018 terminou também o período de carência da CEF, passando a </w:t>
      </w:r>
      <w:r w:rsidR="00F10D31" w:rsidRPr="00F45A1F">
        <w:rPr>
          <w:rFonts w:ascii="Arial" w:hAnsi="Arial" w:cs="Arial"/>
        </w:rPr>
        <w:t>C</w:t>
      </w:r>
      <w:r w:rsidR="009524F6" w:rsidRPr="00F45A1F">
        <w:rPr>
          <w:rFonts w:ascii="Arial" w:hAnsi="Arial" w:cs="Arial"/>
        </w:rPr>
        <w:t>ompanhia</w:t>
      </w:r>
      <w:r w:rsidRPr="00F45A1F">
        <w:rPr>
          <w:rFonts w:ascii="Arial" w:hAnsi="Arial" w:cs="Arial"/>
        </w:rPr>
        <w:t xml:space="preserve"> a ser obrigada a pagar também a parte relativa ao principal da dívida, além dos juros, comprometendo fortemente o caixa da </w:t>
      </w:r>
      <w:r w:rsidR="00F10D31" w:rsidRPr="00F45A1F">
        <w:rPr>
          <w:rFonts w:ascii="Arial" w:hAnsi="Arial" w:cs="Arial"/>
        </w:rPr>
        <w:t>C</w:t>
      </w:r>
      <w:r w:rsidR="009524F6" w:rsidRPr="00F45A1F">
        <w:rPr>
          <w:rFonts w:ascii="Arial" w:hAnsi="Arial" w:cs="Arial"/>
        </w:rPr>
        <w:t>ompanhia</w:t>
      </w:r>
      <w:r w:rsidRPr="00F45A1F">
        <w:rPr>
          <w:rFonts w:ascii="Arial" w:hAnsi="Arial" w:cs="Arial"/>
        </w:rPr>
        <w:t xml:space="preserve">. </w:t>
      </w:r>
    </w:p>
    <w:p w14:paraId="3F18B347" w14:textId="77777777" w:rsidR="009F311B" w:rsidRPr="00F45A1F" w:rsidRDefault="009F311B" w:rsidP="005144E2">
      <w:pPr>
        <w:jc w:val="both"/>
        <w:rPr>
          <w:rFonts w:ascii="Arial" w:hAnsi="Arial" w:cs="Arial"/>
        </w:rPr>
      </w:pPr>
    </w:p>
    <w:p w14:paraId="31A26E14" w14:textId="77777777" w:rsidR="000247B6" w:rsidRPr="00F45A1F" w:rsidRDefault="000247B6" w:rsidP="005144E2">
      <w:pPr>
        <w:jc w:val="both"/>
        <w:rPr>
          <w:rFonts w:ascii="Arial" w:hAnsi="Arial" w:cs="Arial"/>
        </w:rPr>
      </w:pPr>
      <w:r w:rsidRPr="00F45A1F">
        <w:rPr>
          <w:rFonts w:ascii="Arial" w:hAnsi="Arial" w:cs="Arial"/>
        </w:rPr>
        <w:t>Uma das grandes questões que precisava ser sanada para que fosse possível prosseguir rumo à conclusão do empreendimento de Angra 3 era a revisão do valor</w:t>
      </w:r>
      <w:r w:rsidR="0018423B" w:rsidRPr="00F45A1F">
        <w:rPr>
          <w:rFonts w:ascii="Arial" w:hAnsi="Arial" w:cs="Arial"/>
        </w:rPr>
        <w:t>,</w:t>
      </w:r>
      <w:r w:rsidRPr="00F45A1F">
        <w:rPr>
          <w:rFonts w:ascii="Arial" w:hAnsi="Arial" w:cs="Arial"/>
        </w:rPr>
        <w:t xml:space="preserve"> originalmente</w:t>
      </w:r>
      <w:r w:rsidR="0018423B" w:rsidRPr="00F45A1F">
        <w:rPr>
          <w:rFonts w:ascii="Arial" w:hAnsi="Arial" w:cs="Arial"/>
        </w:rPr>
        <w:t>,</w:t>
      </w:r>
      <w:r w:rsidRPr="00F45A1F">
        <w:rPr>
          <w:rFonts w:ascii="Arial" w:hAnsi="Arial" w:cs="Arial"/>
        </w:rPr>
        <w:t xml:space="preserve"> definido para a tarifa de Angra 3, de R$ 237/</w:t>
      </w:r>
      <w:proofErr w:type="spellStart"/>
      <w:r w:rsidRPr="00F45A1F">
        <w:rPr>
          <w:rFonts w:ascii="Arial" w:hAnsi="Arial" w:cs="Arial"/>
        </w:rPr>
        <w:t>MWh</w:t>
      </w:r>
      <w:proofErr w:type="spellEnd"/>
      <w:r w:rsidRPr="00F45A1F">
        <w:rPr>
          <w:rFonts w:ascii="Arial" w:hAnsi="Arial" w:cs="Arial"/>
        </w:rPr>
        <w:t xml:space="preserve"> (vigente entre novembro de 2016 e outubro de 2017). Esse valor apresentava grande defasagem em relação ao necessário para tornar a operação da usina sustentável, bem como inviabilizava a renegociação com credores. </w:t>
      </w:r>
    </w:p>
    <w:p w14:paraId="3F65D373" w14:textId="77777777" w:rsidR="009F311B" w:rsidRPr="00F45A1F" w:rsidRDefault="009F311B" w:rsidP="005144E2">
      <w:pPr>
        <w:jc w:val="both"/>
        <w:rPr>
          <w:rFonts w:ascii="Arial" w:hAnsi="Arial" w:cs="Arial"/>
        </w:rPr>
      </w:pPr>
    </w:p>
    <w:p w14:paraId="406DC8FB" w14:textId="77777777" w:rsidR="000247B6" w:rsidRPr="00F45A1F" w:rsidRDefault="000247B6" w:rsidP="005144E2">
      <w:pPr>
        <w:jc w:val="both"/>
        <w:rPr>
          <w:rFonts w:ascii="Arial" w:hAnsi="Arial" w:cs="Arial"/>
        </w:rPr>
      </w:pPr>
      <w:r w:rsidRPr="00F45A1F">
        <w:rPr>
          <w:rFonts w:ascii="Arial" w:hAnsi="Arial" w:cs="Arial"/>
        </w:rPr>
        <w:t xml:space="preserve">Para tentar solucionar essa questão, em 05 de junho de 2018, aconteceu a 3ª Reunião Extraordinária do CNPE, na qual foi determinada a formação de um Grupo de Trabalho </w:t>
      </w:r>
      <w:r w:rsidR="00960E5A" w:rsidRPr="00F45A1F">
        <w:rPr>
          <w:rFonts w:ascii="Arial" w:hAnsi="Arial" w:cs="Arial"/>
        </w:rPr>
        <w:t>-</w:t>
      </w:r>
      <w:r w:rsidRPr="00F45A1F">
        <w:rPr>
          <w:rFonts w:ascii="Arial" w:hAnsi="Arial" w:cs="Arial"/>
        </w:rPr>
        <w:t>GT liderado pelo MME, com a participação dos Ministérios do Planejamento e da Fazenda, da Empresa de Pesquisa Energética</w:t>
      </w:r>
      <w:r w:rsidR="0018423B" w:rsidRPr="00F45A1F">
        <w:rPr>
          <w:rFonts w:ascii="Arial" w:hAnsi="Arial" w:cs="Arial"/>
        </w:rPr>
        <w:t xml:space="preserve"> - EPE</w:t>
      </w:r>
      <w:r w:rsidRPr="00F45A1F">
        <w:rPr>
          <w:rFonts w:ascii="Arial" w:hAnsi="Arial" w:cs="Arial"/>
        </w:rPr>
        <w:t>, da E</w:t>
      </w:r>
      <w:r w:rsidR="008B2C0C" w:rsidRPr="00F45A1F">
        <w:rPr>
          <w:rFonts w:ascii="Arial" w:hAnsi="Arial" w:cs="Arial"/>
        </w:rPr>
        <w:t>letrobras</w:t>
      </w:r>
      <w:r w:rsidRPr="00F45A1F">
        <w:rPr>
          <w:rFonts w:ascii="Arial" w:hAnsi="Arial" w:cs="Arial"/>
        </w:rPr>
        <w:t>, da ELETRONUCLEAR e do Gabinete de Segurança Instituciona</w:t>
      </w:r>
      <w:r w:rsidR="0018423B" w:rsidRPr="00F45A1F">
        <w:rPr>
          <w:rFonts w:ascii="Arial" w:hAnsi="Arial" w:cs="Arial"/>
        </w:rPr>
        <w:t>l - GSI</w:t>
      </w:r>
      <w:r w:rsidRPr="00F45A1F">
        <w:rPr>
          <w:rFonts w:ascii="Arial" w:hAnsi="Arial" w:cs="Arial"/>
        </w:rPr>
        <w:t xml:space="preserve">, visando elaborar, em 60 dias, um documento propondo e justificando a revisão da tarifa de Angra 3 e as medidas necessárias para conclusão do projeto. A versão final do documento foi concluída em setembro de 2018. </w:t>
      </w:r>
    </w:p>
    <w:p w14:paraId="4EC415BB" w14:textId="77777777" w:rsidR="009F311B" w:rsidRPr="00F45A1F" w:rsidRDefault="009F311B" w:rsidP="005144E2">
      <w:pPr>
        <w:jc w:val="both"/>
        <w:rPr>
          <w:rFonts w:ascii="Arial" w:hAnsi="Arial" w:cs="Arial"/>
        </w:rPr>
      </w:pPr>
    </w:p>
    <w:p w14:paraId="53828AE3" w14:textId="77777777" w:rsidR="000247B6" w:rsidRPr="00F45A1F" w:rsidRDefault="000247B6" w:rsidP="005144E2">
      <w:pPr>
        <w:jc w:val="both"/>
        <w:rPr>
          <w:rFonts w:ascii="Arial" w:hAnsi="Arial" w:cs="Arial"/>
        </w:rPr>
      </w:pPr>
      <w:r w:rsidRPr="00F45A1F">
        <w:rPr>
          <w:rFonts w:ascii="Arial" w:hAnsi="Arial" w:cs="Arial"/>
        </w:rPr>
        <w:t>Em 23</w:t>
      </w:r>
      <w:r w:rsidR="005E42EE" w:rsidRPr="00F45A1F">
        <w:rPr>
          <w:rFonts w:ascii="Arial" w:hAnsi="Arial" w:cs="Arial"/>
        </w:rPr>
        <w:t xml:space="preserve"> de outubro de </w:t>
      </w:r>
      <w:r w:rsidR="0018423B" w:rsidRPr="00F45A1F">
        <w:rPr>
          <w:rFonts w:ascii="Arial" w:hAnsi="Arial" w:cs="Arial"/>
        </w:rPr>
        <w:t>2018</w:t>
      </w:r>
      <w:r w:rsidR="005E42EE" w:rsidRPr="00F45A1F">
        <w:rPr>
          <w:rFonts w:ascii="Arial" w:hAnsi="Arial" w:cs="Arial"/>
        </w:rPr>
        <w:t>,</w:t>
      </w:r>
      <w:r w:rsidRPr="00F45A1F">
        <w:rPr>
          <w:rFonts w:ascii="Arial" w:hAnsi="Arial" w:cs="Arial"/>
        </w:rPr>
        <w:t xml:space="preserve">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w:t>
      </w:r>
      <w:r w:rsidR="00555CDF" w:rsidRPr="00F45A1F">
        <w:rPr>
          <w:rFonts w:ascii="Arial" w:hAnsi="Arial" w:cs="Arial"/>
        </w:rPr>
        <w:t>r</w:t>
      </w:r>
      <w:r w:rsidRPr="00F45A1F">
        <w:rPr>
          <w:rFonts w:ascii="Arial" w:hAnsi="Arial" w:cs="Arial"/>
        </w:rPr>
        <w:t>esolução determinou a aprovação do valor de referência para o preço de energia de Angra 3, de R$ 480,00/</w:t>
      </w:r>
      <w:proofErr w:type="spellStart"/>
      <w:r w:rsidRPr="00F45A1F">
        <w:rPr>
          <w:rFonts w:ascii="Arial" w:hAnsi="Arial" w:cs="Arial"/>
        </w:rPr>
        <w:t>MWh</w:t>
      </w:r>
      <w:proofErr w:type="spellEnd"/>
      <w:r w:rsidRPr="00F45A1F">
        <w:rPr>
          <w:rFonts w:ascii="Arial" w:hAnsi="Arial" w:cs="Arial"/>
        </w:rPr>
        <w:t xml:space="preserve"> (base julho/2018),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w:t>
      </w:r>
      <w:r w:rsidR="00960E5A" w:rsidRPr="00F45A1F">
        <w:rPr>
          <w:rFonts w:ascii="Arial" w:hAnsi="Arial" w:cs="Arial"/>
        </w:rPr>
        <w:t>sociedade de propós</w:t>
      </w:r>
      <w:r w:rsidR="00BC46FA" w:rsidRPr="00F45A1F">
        <w:rPr>
          <w:rFonts w:ascii="Arial" w:hAnsi="Arial" w:cs="Arial"/>
        </w:rPr>
        <w:t>it</w:t>
      </w:r>
      <w:r w:rsidR="00960E5A" w:rsidRPr="00F45A1F">
        <w:rPr>
          <w:rFonts w:ascii="Arial" w:hAnsi="Arial" w:cs="Arial"/>
        </w:rPr>
        <w:t xml:space="preserve">o específico - </w:t>
      </w:r>
      <w:r w:rsidRPr="00F45A1F">
        <w:rPr>
          <w:rFonts w:ascii="Arial" w:hAnsi="Arial" w:cs="Arial"/>
        </w:rPr>
        <w:t>SPE), e definição do modelo de negócio e processo competitivo mais adequados.</w:t>
      </w:r>
    </w:p>
    <w:p w14:paraId="52170C24" w14:textId="77777777" w:rsidR="00555CDF" w:rsidRPr="00F45A1F" w:rsidRDefault="00555CDF" w:rsidP="005144E2">
      <w:pPr>
        <w:jc w:val="both"/>
        <w:rPr>
          <w:rFonts w:ascii="Arial" w:hAnsi="Arial" w:cs="Arial"/>
        </w:rPr>
      </w:pPr>
    </w:p>
    <w:p w14:paraId="5939AD93" w14:textId="77777777" w:rsidR="000247B6" w:rsidRPr="00F45A1F" w:rsidRDefault="000247B6" w:rsidP="005144E2">
      <w:pPr>
        <w:jc w:val="both"/>
        <w:rPr>
          <w:rFonts w:ascii="Arial" w:hAnsi="Arial" w:cs="Arial"/>
        </w:rPr>
      </w:pPr>
      <w:r w:rsidRPr="00F45A1F">
        <w:rPr>
          <w:rFonts w:ascii="Arial" w:hAnsi="Arial" w:cs="Arial"/>
        </w:rPr>
        <w:t xml:space="preserve">Essa revisão tarifária foi fundamental, pois, além de dar condições para a renegociação da dívida, restabeleceu a atratividade do projeto, fortalecendo o interesse dos eventuais parceiros. </w:t>
      </w:r>
    </w:p>
    <w:p w14:paraId="14C4BAD8" w14:textId="77777777" w:rsidR="009F311B" w:rsidRPr="00F45A1F" w:rsidRDefault="009F311B" w:rsidP="005144E2">
      <w:pPr>
        <w:jc w:val="both"/>
        <w:rPr>
          <w:rFonts w:ascii="Arial" w:hAnsi="Arial" w:cs="Arial"/>
        </w:rPr>
      </w:pPr>
    </w:p>
    <w:p w14:paraId="5A40AD29" w14:textId="77777777" w:rsidR="000247B6" w:rsidRPr="00F45A1F" w:rsidRDefault="000247B6" w:rsidP="005144E2">
      <w:pPr>
        <w:jc w:val="both"/>
        <w:rPr>
          <w:rFonts w:ascii="Arial" w:hAnsi="Arial" w:cs="Arial"/>
        </w:rPr>
      </w:pPr>
      <w:r w:rsidRPr="00F45A1F">
        <w:rPr>
          <w:rFonts w:ascii="Arial" w:hAnsi="Arial" w:cs="Arial"/>
        </w:rPr>
        <w:t>Desde outubro de 2018</w:t>
      </w:r>
      <w:r w:rsidR="00655F3B" w:rsidRPr="00F45A1F">
        <w:rPr>
          <w:rFonts w:ascii="Arial" w:hAnsi="Arial" w:cs="Arial"/>
        </w:rPr>
        <w:t>,</w:t>
      </w:r>
      <w:r w:rsidRPr="00F45A1F">
        <w:rPr>
          <w:rFonts w:ascii="Arial" w:hAnsi="Arial" w:cs="Arial"/>
        </w:rPr>
        <w:t xml:space="preserve"> vem ocorrendo reuniões entre a Secretaria</w:t>
      </w:r>
      <w:r w:rsidR="00EC1845" w:rsidRPr="00F45A1F">
        <w:rPr>
          <w:rFonts w:ascii="Arial" w:hAnsi="Arial" w:cs="Arial"/>
        </w:rPr>
        <w:t xml:space="preserve"> Especial do Programa de Parcerias e Investimentos- SPP</w:t>
      </w:r>
      <w:r w:rsidRPr="00F45A1F">
        <w:rPr>
          <w:rFonts w:ascii="Arial" w:hAnsi="Arial" w:cs="Arial"/>
        </w:rPr>
        <w:t xml:space="preserve">I e a </w:t>
      </w:r>
      <w:r w:rsidR="00785EB6" w:rsidRPr="00F45A1F">
        <w:rPr>
          <w:rFonts w:ascii="Arial" w:hAnsi="Arial" w:cs="Arial"/>
        </w:rPr>
        <w:t>ELETRONUCLEAR</w:t>
      </w:r>
      <w:r w:rsidRPr="00F45A1F">
        <w:rPr>
          <w:rFonts w:ascii="Arial" w:hAnsi="Arial" w:cs="Arial"/>
        </w:rPr>
        <w:t xml:space="preserve">, que tomou conhecimento de todo material referente à conclusão de Angra 3 produzido pelas consultorias contratadas pela </w:t>
      </w:r>
      <w:r w:rsidR="00785EB6" w:rsidRPr="00F45A1F">
        <w:rPr>
          <w:rFonts w:ascii="Arial" w:hAnsi="Arial" w:cs="Arial"/>
        </w:rPr>
        <w:t>Companhia</w:t>
      </w:r>
      <w:r w:rsidRPr="00F45A1F">
        <w:rPr>
          <w:rFonts w:ascii="Arial" w:hAnsi="Arial" w:cs="Arial"/>
        </w:rPr>
        <w:t xml:space="preserve">, entre outros. </w:t>
      </w:r>
    </w:p>
    <w:p w14:paraId="7E3FDCAD" w14:textId="77777777" w:rsidR="009F311B" w:rsidRPr="00F45A1F" w:rsidRDefault="009F311B" w:rsidP="005144E2">
      <w:pPr>
        <w:jc w:val="both"/>
        <w:rPr>
          <w:rFonts w:ascii="Arial" w:hAnsi="Arial" w:cs="Arial"/>
        </w:rPr>
      </w:pPr>
    </w:p>
    <w:p w14:paraId="7301D06E" w14:textId="2B646092" w:rsidR="000247B6" w:rsidRPr="00F45A1F" w:rsidRDefault="000247B6" w:rsidP="005144E2">
      <w:pPr>
        <w:jc w:val="both"/>
        <w:rPr>
          <w:rFonts w:ascii="Arial" w:hAnsi="Arial" w:cs="Arial"/>
        </w:rPr>
      </w:pPr>
      <w:r w:rsidRPr="00F45A1F">
        <w:rPr>
          <w:rFonts w:ascii="Arial" w:hAnsi="Arial" w:cs="Arial"/>
        </w:rPr>
        <w:t xml:space="preserve">Conforme orientação do </w:t>
      </w:r>
      <w:r w:rsidR="00785EB6" w:rsidRPr="00F45A1F">
        <w:rPr>
          <w:rFonts w:ascii="Arial" w:hAnsi="Arial" w:cs="Arial"/>
        </w:rPr>
        <w:t xml:space="preserve">Conselho de Programa de Parcerias de Investimentos - </w:t>
      </w:r>
      <w:r w:rsidRPr="00F45A1F">
        <w:rPr>
          <w:rFonts w:ascii="Arial" w:hAnsi="Arial" w:cs="Arial"/>
        </w:rPr>
        <w:t xml:space="preserve">CPPI, a ELETRONUCLEAR realizou, em maio e junho de 2019, o processo de </w:t>
      </w:r>
      <w:r w:rsidRPr="00F45A1F">
        <w:rPr>
          <w:rFonts w:ascii="Arial" w:hAnsi="Arial" w:cs="Arial"/>
          <w:i/>
          <w:iCs/>
        </w:rPr>
        <w:t xml:space="preserve">Market </w:t>
      </w:r>
      <w:proofErr w:type="spellStart"/>
      <w:r w:rsidRPr="00F45A1F">
        <w:rPr>
          <w:rFonts w:ascii="Arial" w:hAnsi="Arial" w:cs="Arial"/>
          <w:i/>
          <w:iCs/>
        </w:rPr>
        <w:t>Sounding</w:t>
      </w:r>
      <w:proofErr w:type="spellEnd"/>
      <w:r w:rsidRPr="00F45A1F">
        <w:rPr>
          <w:rFonts w:ascii="Arial" w:hAnsi="Arial" w:cs="Arial"/>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proofErr w:type="spellStart"/>
      <w:r w:rsidR="00785EB6" w:rsidRPr="00F45A1F">
        <w:rPr>
          <w:rFonts w:ascii="Arial" w:hAnsi="Arial" w:cs="Arial"/>
        </w:rPr>
        <w:t>Électricité</w:t>
      </w:r>
      <w:proofErr w:type="spellEnd"/>
      <w:r w:rsidR="00785EB6" w:rsidRPr="00F45A1F">
        <w:rPr>
          <w:rFonts w:ascii="Arial" w:hAnsi="Arial" w:cs="Arial"/>
        </w:rPr>
        <w:t xml:space="preserve"> de France</w:t>
      </w:r>
      <w:proofErr w:type="gramStart"/>
      <w:r w:rsidR="00785EB6" w:rsidRPr="00F45A1F">
        <w:rPr>
          <w:rFonts w:ascii="Arial" w:hAnsi="Arial" w:cs="Arial"/>
        </w:rPr>
        <w:t xml:space="preserve">  </w:t>
      </w:r>
      <w:proofErr w:type="gramEnd"/>
      <w:r w:rsidR="00785EB6" w:rsidRPr="00F45A1F">
        <w:rPr>
          <w:rFonts w:ascii="Arial" w:hAnsi="Arial" w:cs="Arial"/>
        </w:rPr>
        <w:t xml:space="preserve">- </w:t>
      </w:r>
      <w:r w:rsidRPr="00F45A1F">
        <w:rPr>
          <w:rFonts w:ascii="Arial" w:hAnsi="Arial" w:cs="Arial"/>
        </w:rPr>
        <w:t xml:space="preserve">EDF e </w:t>
      </w:r>
      <w:proofErr w:type="spellStart"/>
      <w:r w:rsidRPr="00F45A1F">
        <w:rPr>
          <w:rFonts w:ascii="Arial" w:hAnsi="Arial" w:cs="Arial"/>
        </w:rPr>
        <w:t>Framatome</w:t>
      </w:r>
      <w:proofErr w:type="spellEnd"/>
      <w:r w:rsidRPr="00F45A1F">
        <w:rPr>
          <w:rFonts w:ascii="Arial" w:hAnsi="Arial" w:cs="Arial"/>
        </w:rPr>
        <w:t xml:space="preserve"> (ambas da França), </w:t>
      </w:r>
      <w:proofErr w:type="spellStart"/>
      <w:r w:rsidRPr="00F45A1F">
        <w:rPr>
          <w:rFonts w:ascii="Arial" w:hAnsi="Arial" w:cs="Arial"/>
        </w:rPr>
        <w:t>Rosatom</w:t>
      </w:r>
      <w:r w:rsidR="0085155A" w:rsidRPr="00F45A1F">
        <w:rPr>
          <w:rFonts w:ascii="Arial" w:hAnsi="Arial" w:cs="Arial"/>
        </w:rPr>
        <w:t>StateAtomic</w:t>
      </w:r>
      <w:proofErr w:type="spellEnd"/>
      <w:r w:rsidR="0085155A" w:rsidRPr="00F45A1F">
        <w:rPr>
          <w:rFonts w:ascii="Arial" w:hAnsi="Arial" w:cs="Arial"/>
        </w:rPr>
        <w:t xml:space="preserve"> Energy Corporation</w:t>
      </w:r>
      <w:r w:rsidRPr="00F45A1F">
        <w:rPr>
          <w:rFonts w:ascii="Arial" w:hAnsi="Arial" w:cs="Arial"/>
        </w:rPr>
        <w:t xml:space="preserve"> (Rússia), </w:t>
      </w:r>
      <w:r w:rsidR="0085155A" w:rsidRPr="00F45A1F">
        <w:rPr>
          <w:rFonts w:ascii="Arial" w:hAnsi="Arial" w:cs="Arial"/>
        </w:rPr>
        <w:t xml:space="preserve">China Nacional Nuclear Corporation - </w:t>
      </w:r>
      <w:r w:rsidRPr="00F45A1F">
        <w:rPr>
          <w:rFonts w:ascii="Arial" w:hAnsi="Arial" w:cs="Arial"/>
        </w:rPr>
        <w:t>CNNC e</w:t>
      </w:r>
      <w:r w:rsidR="007E7DCB">
        <w:rPr>
          <w:rFonts w:ascii="Arial" w:hAnsi="Arial" w:cs="Arial"/>
        </w:rPr>
        <w:t xml:space="preserve"> </w:t>
      </w:r>
      <w:proofErr w:type="spellStart"/>
      <w:r w:rsidR="0058300C" w:rsidRPr="00F45A1F">
        <w:rPr>
          <w:rFonts w:ascii="Arial" w:hAnsi="Arial" w:cs="Arial"/>
        </w:rPr>
        <w:t>State</w:t>
      </w:r>
      <w:proofErr w:type="spellEnd"/>
      <w:r w:rsidR="0058300C" w:rsidRPr="00F45A1F">
        <w:rPr>
          <w:rFonts w:ascii="Arial" w:hAnsi="Arial" w:cs="Arial"/>
        </w:rPr>
        <w:t xml:space="preserve"> Nuclear Power Technology</w:t>
      </w:r>
      <w:r w:rsidRPr="00F45A1F">
        <w:rPr>
          <w:rFonts w:ascii="Arial" w:hAnsi="Arial" w:cs="Arial"/>
        </w:rPr>
        <w:t xml:space="preserve"> SNPTC (ambas chinesas), </w:t>
      </w:r>
      <w:proofErr w:type="spellStart"/>
      <w:r w:rsidR="0058300C" w:rsidRPr="00F45A1F">
        <w:rPr>
          <w:rFonts w:ascii="Arial" w:hAnsi="Arial" w:cs="Arial"/>
        </w:rPr>
        <w:t>Korea</w:t>
      </w:r>
      <w:proofErr w:type="spellEnd"/>
      <w:r w:rsidR="0058300C" w:rsidRPr="00F45A1F">
        <w:rPr>
          <w:rFonts w:ascii="Arial" w:hAnsi="Arial" w:cs="Arial"/>
        </w:rPr>
        <w:t xml:space="preserve"> Electric Power Corporation - KEPCO</w:t>
      </w:r>
      <w:r w:rsidRPr="00F45A1F">
        <w:rPr>
          <w:rFonts w:ascii="Arial" w:hAnsi="Arial" w:cs="Arial"/>
        </w:rPr>
        <w:t xml:space="preserve"> (Coréia)</w:t>
      </w:r>
      <w:r w:rsidR="0058300C" w:rsidRPr="00F45A1F">
        <w:rPr>
          <w:rFonts w:ascii="Arial" w:hAnsi="Arial" w:cs="Arial"/>
        </w:rPr>
        <w:t xml:space="preserve"> e</w:t>
      </w:r>
      <w:r w:rsidR="006B3A9A">
        <w:rPr>
          <w:rFonts w:ascii="Arial" w:hAnsi="Arial" w:cs="Arial"/>
        </w:rPr>
        <w:t xml:space="preserve"> </w:t>
      </w:r>
      <w:proofErr w:type="spellStart"/>
      <w:r w:rsidRPr="00F45A1F">
        <w:rPr>
          <w:rFonts w:ascii="Arial" w:hAnsi="Arial" w:cs="Arial"/>
        </w:rPr>
        <w:t>Westinghouse</w:t>
      </w:r>
      <w:proofErr w:type="spellEnd"/>
      <w:r w:rsidRPr="00F45A1F">
        <w:rPr>
          <w:rFonts w:ascii="Arial" w:hAnsi="Arial" w:cs="Arial"/>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w:t>
      </w:r>
      <w:r w:rsidR="000E70A3" w:rsidRPr="00F45A1F">
        <w:rPr>
          <w:rFonts w:ascii="Arial" w:hAnsi="Arial" w:cs="Arial"/>
        </w:rPr>
        <w:t>letrobras</w:t>
      </w:r>
      <w:r w:rsidRPr="00F45A1F">
        <w:rPr>
          <w:rFonts w:ascii="Arial" w:hAnsi="Arial" w:cs="Arial"/>
        </w:rPr>
        <w:t xml:space="preserve">, MME e CPPI em julho de 2019. É importante ressaltar que grande parte dessas empresas já visitaram o sítio e estabeleceram Memorandos de Entendimento com a </w:t>
      </w:r>
      <w:r w:rsidR="00897935" w:rsidRPr="00F45A1F">
        <w:rPr>
          <w:rFonts w:ascii="Arial" w:hAnsi="Arial" w:cs="Arial"/>
        </w:rPr>
        <w:t>ELETRONUCLEAR</w:t>
      </w:r>
      <w:r w:rsidRPr="00F45A1F">
        <w:rPr>
          <w:rFonts w:ascii="Arial" w:hAnsi="Arial" w:cs="Arial"/>
        </w:rPr>
        <w:t xml:space="preserve"> para troca de informações sobre o Projeto.</w:t>
      </w:r>
    </w:p>
    <w:p w14:paraId="27A60845" w14:textId="77777777" w:rsidR="007631FB" w:rsidRPr="00F45A1F" w:rsidRDefault="007631FB" w:rsidP="005144E2">
      <w:pPr>
        <w:jc w:val="both"/>
        <w:rPr>
          <w:rFonts w:ascii="Arial" w:hAnsi="Arial" w:cs="Arial"/>
        </w:rPr>
      </w:pPr>
    </w:p>
    <w:p w14:paraId="2797FFBB" w14:textId="77777777" w:rsidR="000247B6" w:rsidRPr="00F45A1F" w:rsidRDefault="000247B6" w:rsidP="005144E2">
      <w:pPr>
        <w:jc w:val="both"/>
        <w:rPr>
          <w:rFonts w:ascii="Arial" w:hAnsi="Arial" w:cs="Arial"/>
        </w:rPr>
      </w:pPr>
      <w:r w:rsidRPr="00F45A1F">
        <w:rPr>
          <w:rFonts w:ascii="Arial" w:hAnsi="Arial" w:cs="Arial"/>
        </w:rPr>
        <w:t>Em 16 de julho de 2019, foi publicado o Decreto Presidencial nº 9915/2019 que qualificou Angra 3 no Programa de Parceria de Investimentos (PPI).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Artigo 2º do aludido decreto presidencial, prevê que a ELETRONUCLEAR contrate estudos independentes, para suportar a decisão final do CPPI, na seleção do modelo.</w:t>
      </w:r>
    </w:p>
    <w:p w14:paraId="0D3A7969" w14:textId="77777777" w:rsidR="009F311B" w:rsidRPr="00F45A1F" w:rsidRDefault="009F311B" w:rsidP="005144E2">
      <w:pPr>
        <w:jc w:val="both"/>
        <w:rPr>
          <w:rFonts w:ascii="Arial" w:hAnsi="Arial" w:cs="Arial"/>
        </w:rPr>
      </w:pPr>
    </w:p>
    <w:p w14:paraId="175067C5" w14:textId="219754AB" w:rsidR="000247B6" w:rsidRPr="00F45A1F" w:rsidRDefault="000247B6" w:rsidP="005144E2">
      <w:pPr>
        <w:jc w:val="both"/>
        <w:rPr>
          <w:rFonts w:ascii="Arial" w:hAnsi="Arial" w:cs="Arial"/>
        </w:rPr>
      </w:pPr>
      <w:r w:rsidRPr="00F45A1F">
        <w:rPr>
          <w:rFonts w:ascii="Arial" w:hAnsi="Arial" w:cs="Arial"/>
        </w:rPr>
        <w:t>Em 25 de outubro de 2019</w:t>
      </w:r>
      <w:r w:rsidR="00897935" w:rsidRPr="00F45A1F">
        <w:rPr>
          <w:rFonts w:ascii="Arial" w:hAnsi="Arial" w:cs="Arial"/>
        </w:rPr>
        <w:t>,</w:t>
      </w:r>
      <w:r w:rsidRPr="00F45A1F">
        <w:rPr>
          <w:rFonts w:ascii="Arial" w:hAnsi="Arial" w:cs="Arial"/>
        </w:rPr>
        <w:t xml:space="preserve">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ELETRONUCLEAR anteriormente, conjuntamente com a Alvarez &amp;</w:t>
      </w:r>
      <w:r w:rsidR="005077A3">
        <w:rPr>
          <w:rFonts w:ascii="Arial" w:hAnsi="Arial" w:cs="Arial"/>
        </w:rPr>
        <w:t xml:space="preserve"> </w:t>
      </w:r>
      <w:proofErr w:type="spellStart"/>
      <w:r w:rsidRPr="00F45A1F">
        <w:rPr>
          <w:rFonts w:ascii="Arial" w:hAnsi="Arial" w:cs="Arial"/>
        </w:rPr>
        <w:t>Marsal</w:t>
      </w:r>
      <w:proofErr w:type="spellEnd"/>
      <w:r w:rsidRPr="00F45A1F">
        <w:rPr>
          <w:rFonts w:ascii="Arial" w:hAnsi="Arial" w:cs="Arial"/>
        </w:rPr>
        <w:t xml:space="preserve">, e recomendação sobre modelo de negócios mais adequado a ser adotado para a conclusão de Angra 3, bem como estruturação, condução e conclusão do processo de seleção de um parceiro e dos atos contratuais decorrentes. </w:t>
      </w:r>
    </w:p>
    <w:p w14:paraId="02A9B402" w14:textId="77777777" w:rsidR="009F311B" w:rsidRPr="00F45A1F" w:rsidRDefault="009F311B" w:rsidP="005144E2">
      <w:pPr>
        <w:jc w:val="both"/>
        <w:rPr>
          <w:rFonts w:ascii="Arial" w:hAnsi="Arial" w:cs="Arial"/>
        </w:rPr>
      </w:pPr>
    </w:p>
    <w:p w14:paraId="436B501F" w14:textId="77777777" w:rsidR="000247B6" w:rsidRPr="00F45A1F" w:rsidRDefault="000247B6" w:rsidP="005144E2">
      <w:pPr>
        <w:jc w:val="both"/>
        <w:rPr>
          <w:rFonts w:ascii="Arial" w:hAnsi="Arial" w:cs="Arial"/>
        </w:rPr>
      </w:pPr>
      <w:r w:rsidRPr="00F45A1F">
        <w:rPr>
          <w:rFonts w:ascii="Arial" w:hAnsi="Arial" w:cs="Arial"/>
        </w:rPr>
        <w:t>Desde então o BNDES tem se reunido periodicamente com a ELETRONUCLEAR, E</w:t>
      </w:r>
      <w:r w:rsidR="000E4096" w:rsidRPr="00F45A1F">
        <w:rPr>
          <w:rFonts w:ascii="Arial" w:hAnsi="Arial" w:cs="Arial"/>
        </w:rPr>
        <w:t>letrobras</w:t>
      </w:r>
      <w:r w:rsidRPr="00F45A1F">
        <w:rPr>
          <w:rFonts w:ascii="Arial" w:hAnsi="Arial" w:cs="Arial"/>
        </w:rPr>
        <w:t xml:space="preserve">, MME e outras instâncias. A minuta do relatório com os resultados da fase 1, com a indicação do modelo, foi entregue em janeiro de 2020. Depois de validado pela </w:t>
      </w:r>
      <w:r w:rsidR="00A31A9B" w:rsidRPr="00F45A1F">
        <w:rPr>
          <w:rFonts w:ascii="Arial" w:hAnsi="Arial" w:cs="Arial"/>
        </w:rPr>
        <w:t>ELETRONUCLEAR</w:t>
      </w:r>
      <w:r w:rsidRPr="00F45A1F">
        <w:rPr>
          <w:rFonts w:ascii="Arial" w:hAnsi="Arial" w:cs="Arial"/>
        </w:rPr>
        <w:t xml:space="preserve"> e Eletrobras, o relatório será encaminhado para o Comitê Interministerial e o CPPI para aprovação do modelo mais adequado e, em seguida, a </w:t>
      </w:r>
      <w:r w:rsidR="00A31A9B" w:rsidRPr="00F45A1F">
        <w:rPr>
          <w:rFonts w:ascii="Arial" w:hAnsi="Arial" w:cs="Arial"/>
        </w:rPr>
        <w:t>ELETRONUCLEAR</w:t>
      </w:r>
      <w:r w:rsidRPr="00F45A1F">
        <w:rPr>
          <w:rFonts w:ascii="Arial" w:hAnsi="Arial" w:cs="Arial"/>
        </w:rPr>
        <w:t xml:space="preserve"> e Eletrobras darão prosseguimento ao processo competitivo para seleção do parceiro para conclusão de Angra 3, via BNDES, conforme exibido </w:t>
      </w:r>
      <w:r w:rsidR="009F311B" w:rsidRPr="00F45A1F">
        <w:rPr>
          <w:rFonts w:ascii="Arial" w:hAnsi="Arial" w:cs="Arial"/>
        </w:rPr>
        <w:t>no fluxo de atividades a seguir:</w:t>
      </w:r>
    </w:p>
    <w:p w14:paraId="06ED933A" w14:textId="77777777" w:rsidR="009F311B" w:rsidRPr="00F45A1F" w:rsidRDefault="009F311B" w:rsidP="005144E2">
      <w:pPr>
        <w:jc w:val="both"/>
        <w:rPr>
          <w:rFonts w:ascii="Arial" w:hAnsi="Arial" w:cs="Arial"/>
        </w:rPr>
      </w:pPr>
      <w:r w:rsidRPr="00F45A1F">
        <w:rPr>
          <w:rFonts w:ascii="Arial" w:hAnsi="Arial" w:cs="Arial"/>
          <w:noProof/>
        </w:rPr>
        <w:drawing>
          <wp:inline distT="0" distB="0" distL="0" distR="0" wp14:anchorId="7CF302A4" wp14:editId="11B9428B">
            <wp:extent cx="5409565" cy="2999740"/>
            <wp:effectExtent l="0" t="0" r="635"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9565" cy="2999740"/>
                    </a:xfrm>
                    <a:prstGeom prst="rect">
                      <a:avLst/>
                    </a:prstGeom>
                    <a:noFill/>
                  </pic:spPr>
                </pic:pic>
              </a:graphicData>
            </a:graphic>
          </wp:inline>
        </w:drawing>
      </w:r>
    </w:p>
    <w:p w14:paraId="6335DA01" w14:textId="77777777" w:rsidR="000247B6" w:rsidRPr="00F45A1F" w:rsidRDefault="000247B6" w:rsidP="005144E2">
      <w:pPr>
        <w:jc w:val="both"/>
        <w:rPr>
          <w:rFonts w:ascii="Arial" w:hAnsi="Arial" w:cs="Arial"/>
        </w:rPr>
      </w:pPr>
    </w:p>
    <w:p w14:paraId="23F95293" w14:textId="5512D64A" w:rsidR="000247B6" w:rsidRPr="00F45A1F" w:rsidRDefault="000247B6" w:rsidP="005144E2">
      <w:pPr>
        <w:jc w:val="both"/>
        <w:rPr>
          <w:rFonts w:ascii="Arial" w:hAnsi="Arial" w:cs="Arial"/>
        </w:rPr>
      </w:pPr>
      <w:r w:rsidRPr="00F45A1F">
        <w:rPr>
          <w:rFonts w:ascii="Arial" w:hAnsi="Arial" w:cs="Arial"/>
        </w:rPr>
        <w:t xml:space="preserve">A retomada de alguns contratos de fornecimento de Angra </w:t>
      </w:r>
      <w:proofErr w:type="gramStart"/>
      <w:r w:rsidRPr="00F45A1F">
        <w:rPr>
          <w:rFonts w:ascii="Arial" w:hAnsi="Arial" w:cs="Arial"/>
        </w:rPr>
        <w:t>3</w:t>
      </w:r>
      <w:proofErr w:type="gramEnd"/>
      <w:r w:rsidRPr="00F45A1F">
        <w:rPr>
          <w:rFonts w:ascii="Arial" w:hAnsi="Arial" w:cs="Arial"/>
        </w:rPr>
        <w:t xml:space="preserve"> é outro ponto crucial para o cumprimento do cronograma de conclusão da usina,</w:t>
      </w:r>
      <w:r w:rsidR="006B3A9A">
        <w:rPr>
          <w:rFonts w:ascii="Arial" w:hAnsi="Arial" w:cs="Arial"/>
        </w:rPr>
        <w:t xml:space="preserve"> </w:t>
      </w:r>
      <w:r w:rsidRPr="00F45A1F">
        <w:rPr>
          <w:rFonts w:ascii="Arial" w:hAnsi="Arial" w:cs="Arial"/>
        </w:rPr>
        <w:t xml:space="preserve">por isso, em outubro de 2018, foi assinado um novo contrato com o escritório </w:t>
      </w:r>
      <w:proofErr w:type="spellStart"/>
      <w:r w:rsidRPr="00F45A1F">
        <w:rPr>
          <w:rFonts w:ascii="Arial" w:hAnsi="Arial" w:cs="Arial"/>
        </w:rPr>
        <w:t>Veirano</w:t>
      </w:r>
      <w:proofErr w:type="spellEnd"/>
      <w:r w:rsidRPr="00F45A1F">
        <w:rPr>
          <w:rFonts w:ascii="Arial" w:hAnsi="Arial" w:cs="Arial"/>
        </w:rPr>
        <w:t xml:space="preserve"> Advogados, de prestação de serviços de assistência jurídica no processo de retomada dos contratos de fornecimento de Angra 3, bem como a análise de acordos internacionais com países de potenciais parceiros, entre outras análises que suportarão a seleção do parceiro. </w:t>
      </w:r>
    </w:p>
    <w:p w14:paraId="2EE18EB2" w14:textId="77777777" w:rsidR="009F311B" w:rsidRPr="00F45A1F" w:rsidRDefault="009F311B" w:rsidP="005144E2">
      <w:pPr>
        <w:jc w:val="both"/>
        <w:rPr>
          <w:rFonts w:ascii="Arial" w:hAnsi="Arial" w:cs="Arial"/>
        </w:rPr>
      </w:pPr>
    </w:p>
    <w:p w14:paraId="1E2C0C79" w14:textId="556F16D5" w:rsidR="000F16C5" w:rsidRPr="00F45A1F" w:rsidRDefault="000247B6" w:rsidP="005144E2">
      <w:pPr>
        <w:jc w:val="both"/>
        <w:rPr>
          <w:rFonts w:ascii="Arial" w:hAnsi="Arial" w:cs="Arial"/>
        </w:rPr>
      </w:pPr>
      <w:r w:rsidRPr="00F45A1F">
        <w:rPr>
          <w:rFonts w:ascii="Arial" w:hAnsi="Arial" w:cs="Arial"/>
        </w:rPr>
        <w:t>Em paralelo, no segundo semestre de 2019, foi iniciado um estudo visando o planejamento de atividades para atendimento e viabilização da linha crítica do projeto, de forma a garantir o início de operação comercial em 2026, conforme cronograma vigente do empreendimento. Para tal, a ELETRONUCLEAR vem buscando recursos extraordinários junto à E</w:t>
      </w:r>
      <w:r w:rsidR="000E70A3" w:rsidRPr="00F45A1F">
        <w:rPr>
          <w:rFonts w:ascii="Arial" w:hAnsi="Arial" w:cs="Arial"/>
        </w:rPr>
        <w:t>letrobras</w:t>
      </w:r>
      <w:r w:rsidRPr="00F45A1F">
        <w:rPr>
          <w:rFonts w:ascii="Arial" w:hAnsi="Arial" w:cs="Arial"/>
        </w:rPr>
        <w:t>, entre 2020 e 2024, que permitir</w:t>
      </w:r>
      <w:r w:rsidR="009D03AF">
        <w:rPr>
          <w:rFonts w:ascii="Arial" w:hAnsi="Arial" w:cs="Arial"/>
        </w:rPr>
        <w:t>ão</w:t>
      </w:r>
      <w:r w:rsidRPr="00F45A1F">
        <w:rPr>
          <w:rFonts w:ascii="Arial" w:hAnsi="Arial" w:cs="Arial"/>
        </w:rPr>
        <w:t xml:space="preserve"> que algumas contratações fossem realizadas para atender às atividades prioritárias do cronograma do Projeto, minimizando os impactos na data de início de operação comercial de Angra 3.</w:t>
      </w:r>
    </w:p>
    <w:p w14:paraId="1AE72E37" w14:textId="77777777" w:rsidR="00D7798A" w:rsidRPr="00F45A1F" w:rsidRDefault="00D7798A" w:rsidP="005144E2">
      <w:pPr>
        <w:jc w:val="both"/>
        <w:rPr>
          <w:rFonts w:ascii="Arial" w:hAnsi="Arial" w:cs="Arial"/>
        </w:rPr>
      </w:pPr>
    </w:p>
    <w:p w14:paraId="31E4A68F" w14:textId="77777777" w:rsidR="0032123A" w:rsidRPr="00F45A1F" w:rsidRDefault="00D7798A" w:rsidP="005144E2">
      <w:pPr>
        <w:widowControl/>
        <w:jc w:val="both"/>
        <w:rPr>
          <w:rFonts w:ascii="Arial" w:hAnsi="Arial" w:cs="Arial"/>
        </w:rPr>
      </w:pPr>
      <w:r w:rsidRPr="00F45A1F">
        <w:rPr>
          <w:rFonts w:ascii="Arial" w:hAnsi="Arial" w:cs="Arial"/>
        </w:rPr>
        <w:t xml:space="preserve">Em que pesem as necessidades para a viabilidade de conclusão do empreendimento “Angra 3” estejam endereçadas no mais alto nível da administração governamental, por meio de esforços conjuntos do poder executivo e coordenados pelo Ministério de Minas e Energia - MME, a </w:t>
      </w:r>
      <w:r w:rsidR="00086900" w:rsidRPr="00F45A1F">
        <w:rPr>
          <w:rFonts w:ascii="Arial" w:hAnsi="Arial" w:cs="Arial"/>
        </w:rPr>
        <w:t>C</w:t>
      </w:r>
      <w:r w:rsidRPr="00F45A1F">
        <w:rPr>
          <w:rFonts w:ascii="Arial" w:hAnsi="Arial" w:cs="Arial"/>
        </w:rPr>
        <w:t>ompanhia tem, juntamente a sua holding (E</w:t>
      </w:r>
      <w:r w:rsidR="000E4096" w:rsidRPr="00F45A1F">
        <w:rPr>
          <w:rFonts w:ascii="Arial" w:hAnsi="Arial" w:cs="Arial"/>
        </w:rPr>
        <w:t>letrobras</w:t>
      </w:r>
      <w:r w:rsidRPr="00F45A1F">
        <w:rPr>
          <w:rFonts w:ascii="Arial" w:hAnsi="Arial" w:cs="Arial"/>
        </w:rPr>
        <w:t>), buscado alternativas para mitigar os riscos de liquidez de curto prazo, sendo estas alternativas alcançadas por meio de alívios no seu fluxo de caixa, sob a forma de manutenção de suspenções de pagamentos de amortizações em contratos de financiamentos junto à própria E</w:t>
      </w:r>
      <w:r w:rsidR="000E4096" w:rsidRPr="00F45A1F">
        <w:rPr>
          <w:rFonts w:ascii="Arial" w:hAnsi="Arial" w:cs="Arial"/>
        </w:rPr>
        <w:t>letrobras</w:t>
      </w:r>
      <w:r w:rsidRPr="00F45A1F">
        <w:rPr>
          <w:rFonts w:ascii="Arial" w:hAnsi="Arial" w:cs="Arial"/>
        </w:rPr>
        <w:t xml:space="preserve">, bem como também na possibilidade de obtenção de novos aportes de sua holding, </w:t>
      </w:r>
      <w:r w:rsidR="0032123A" w:rsidRPr="00F45A1F">
        <w:rPr>
          <w:rFonts w:ascii="Arial" w:hAnsi="Arial" w:cs="Arial"/>
        </w:rPr>
        <w:t>conforme observado na nota 25</w:t>
      </w:r>
      <w:r w:rsidR="00450DA2" w:rsidRPr="00F45A1F">
        <w:rPr>
          <w:rFonts w:ascii="Arial" w:hAnsi="Arial" w:cs="Arial"/>
        </w:rPr>
        <w:t>.</w:t>
      </w:r>
    </w:p>
    <w:p w14:paraId="2BD686BB" w14:textId="77777777" w:rsidR="00EC31C9" w:rsidRPr="00F45A1F" w:rsidRDefault="00EC31C9" w:rsidP="005144E2">
      <w:pPr>
        <w:widowControl/>
        <w:jc w:val="both"/>
        <w:rPr>
          <w:rFonts w:ascii="Arial" w:hAnsi="Arial" w:cs="Arial"/>
        </w:rPr>
      </w:pPr>
    </w:p>
    <w:p w14:paraId="5FFB720C" w14:textId="77777777" w:rsidR="00DC3E2F" w:rsidRPr="00F45A1F" w:rsidRDefault="00DC3E2F" w:rsidP="005144E2">
      <w:pPr>
        <w:widowControl/>
        <w:jc w:val="both"/>
        <w:rPr>
          <w:rFonts w:ascii="Arial" w:hAnsi="Arial" w:cs="Arial"/>
          <w:sz w:val="16"/>
          <w:szCs w:val="16"/>
        </w:rPr>
      </w:pPr>
    </w:p>
    <w:p w14:paraId="4C532674" w14:textId="77777777" w:rsidR="003F4719" w:rsidRPr="00F45A1F" w:rsidRDefault="003F4719" w:rsidP="005144E2">
      <w:pPr>
        <w:widowControl/>
        <w:jc w:val="both"/>
        <w:rPr>
          <w:rFonts w:ascii="Arial" w:hAnsi="Arial" w:cs="Arial"/>
          <w:b/>
        </w:rPr>
      </w:pPr>
      <w:r w:rsidRPr="00F45A1F">
        <w:rPr>
          <w:rFonts w:ascii="Arial" w:hAnsi="Arial" w:cs="Arial"/>
          <w:b/>
        </w:rPr>
        <w:t>4.2 -</w:t>
      </w:r>
      <w:r w:rsidRPr="00F45A1F">
        <w:rPr>
          <w:rFonts w:ascii="Arial" w:hAnsi="Arial" w:cs="Arial"/>
          <w:b/>
        </w:rPr>
        <w:tab/>
        <w:t>Gestão de capital</w:t>
      </w:r>
    </w:p>
    <w:p w14:paraId="2CF6FFCA" w14:textId="77777777" w:rsidR="003F4719" w:rsidRPr="00F45A1F" w:rsidRDefault="003F4719" w:rsidP="005144E2">
      <w:pPr>
        <w:widowControl/>
        <w:jc w:val="both"/>
        <w:rPr>
          <w:rFonts w:ascii="Arial" w:hAnsi="Arial" w:cs="Arial"/>
        </w:rPr>
      </w:pPr>
    </w:p>
    <w:p w14:paraId="1ABFC572" w14:textId="77777777" w:rsidR="003F4719" w:rsidRPr="00F45A1F" w:rsidRDefault="003F4719" w:rsidP="005144E2">
      <w:pPr>
        <w:widowControl/>
        <w:jc w:val="both"/>
        <w:rPr>
          <w:rFonts w:ascii="Arial" w:hAnsi="Arial" w:cs="Arial"/>
        </w:rPr>
      </w:pPr>
      <w:r w:rsidRPr="00F45A1F">
        <w:rPr>
          <w:rFonts w:ascii="Arial" w:hAnsi="Arial" w:cs="Arial"/>
        </w:rPr>
        <w:t>Os objetivos da Companhia ao administrar seu capital são os de salvaguardar a capacidade de continuidade, para oferecer retorno aos acionistas e benefícios às outras partes interessadas, além de manter uma estrutura de capital ideal para reduzir esse custo.</w:t>
      </w:r>
    </w:p>
    <w:p w14:paraId="4A0670D1" w14:textId="77777777" w:rsidR="003F4719" w:rsidRPr="00F45A1F" w:rsidRDefault="003F4719" w:rsidP="005144E2">
      <w:pPr>
        <w:widowControl/>
        <w:jc w:val="both"/>
        <w:rPr>
          <w:rFonts w:ascii="Arial" w:hAnsi="Arial" w:cs="Arial"/>
        </w:rPr>
      </w:pPr>
    </w:p>
    <w:p w14:paraId="7422E9EC" w14:textId="77777777" w:rsidR="003F4719" w:rsidRPr="00F45A1F" w:rsidRDefault="00C10686" w:rsidP="005144E2">
      <w:pPr>
        <w:widowControl/>
        <w:jc w:val="both"/>
        <w:rPr>
          <w:rFonts w:ascii="Arial" w:hAnsi="Arial" w:cs="Arial"/>
        </w:rPr>
      </w:pPr>
      <w:r w:rsidRPr="00F45A1F">
        <w:rPr>
          <w:rFonts w:ascii="Arial" w:hAnsi="Arial" w:cs="Arial"/>
        </w:rPr>
        <w:t>A</w:t>
      </w:r>
      <w:r w:rsidR="003F4719" w:rsidRPr="00F45A1F">
        <w:rPr>
          <w:rFonts w:ascii="Arial" w:hAnsi="Arial" w:cs="Arial"/>
        </w:rPr>
        <w:t xml:space="preserve"> ELETRONUCLEAR monitora o capital com base no índice de alavancagem financeira. Esse índice corresponde à dívida líquida dividida pelo capital total. </w:t>
      </w:r>
    </w:p>
    <w:p w14:paraId="7A75076E" w14:textId="77777777" w:rsidR="004A28B1" w:rsidRPr="00F45A1F" w:rsidRDefault="004A28B1" w:rsidP="005144E2">
      <w:pPr>
        <w:widowControl/>
        <w:jc w:val="both"/>
        <w:rPr>
          <w:rFonts w:ascii="Arial" w:hAnsi="Arial" w:cs="Arial"/>
        </w:rPr>
      </w:pPr>
    </w:p>
    <w:p w14:paraId="76AAFB2C" w14:textId="77777777" w:rsidR="003F4719" w:rsidRPr="00F45A1F" w:rsidRDefault="003F4719" w:rsidP="005144E2">
      <w:pPr>
        <w:widowControl/>
        <w:jc w:val="both"/>
        <w:rPr>
          <w:rFonts w:ascii="Arial" w:hAnsi="Arial" w:cs="Arial"/>
        </w:rPr>
      </w:pPr>
      <w:r w:rsidRPr="00F45A1F">
        <w:rPr>
          <w:rFonts w:ascii="Arial" w:hAnsi="Arial" w:cs="Arial"/>
        </w:rPr>
        <w:t>A dívida líquida, por sua vez, corresponde ao total de empréstimos (incluindo empréstimos de curto e longo prazo, conforme demonstrado no balanço patrimonial), subtraído do montante de caixa e equivalentes de caixa e títulos e valores mobiliários de curto prazo.</w:t>
      </w:r>
    </w:p>
    <w:p w14:paraId="1872BCB3" w14:textId="77777777" w:rsidR="003C4F3B" w:rsidRPr="00F45A1F" w:rsidRDefault="003C4F3B" w:rsidP="005144E2">
      <w:pPr>
        <w:widowControl/>
        <w:jc w:val="both"/>
        <w:rPr>
          <w:rFonts w:ascii="Arial" w:hAnsi="Arial" w:cs="Arial"/>
        </w:rPr>
      </w:pPr>
    </w:p>
    <w:p w14:paraId="04BDE04B" w14:textId="77777777" w:rsidR="003F4719" w:rsidRPr="00F45A1F" w:rsidRDefault="003F4719" w:rsidP="005144E2">
      <w:pPr>
        <w:widowControl/>
        <w:jc w:val="both"/>
        <w:rPr>
          <w:rFonts w:ascii="Arial" w:hAnsi="Arial" w:cs="Arial"/>
        </w:rPr>
      </w:pPr>
      <w:r w:rsidRPr="00F45A1F">
        <w:rPr>
          <w:rFonts w:ascii="Arial" w:hAnsi="Arial" w:cs="Arial"/>
        </w:rPr>
        <w:t>O capital total é apurado através da soma do patrimônio líquido, conforme demonstrado no balanço patrimonial, com a dívida líquida.</w:t>
      </w:r>
    </w:p>
    <w:p w14:paraId="035258BE" w14:textId="77777777" w:rsidR="00CC41D3" w:rsidRPr="00F45A1F" w:rsidRDefault="00CC41D3" w:rsidP="005144E2">
      <w:pPr>
        <w:widowControl/>
        <w:jc w:val="both"/>
        <w:rPr>
          <w:rFonts w:ascii="Arial" w:hAnsi="Arial" w:cs="Arial"/>
        </w:rPr>
      </w:pPr>
    </w:p>
    <w:p w14:paraId="09232D0B" w14:textId="77777777" w:rsidR="003F4719" w:rsidRPr="00F45A1F" w:rsidRDefault="003F4719" w:rsidP="005144E2">
      <w:pPr>
        <w:widowControl/>
        <w:jc w:val="both"/>
        <w:rPr>
          <w:rFonts w:ascii="Arial" w:hAnsi="Arial" w:cs="Arial"/>
        </w:rPr>
      </w:pPr>
      <w:r w:rsidRPr="00F45A1F">
        <w:rPr>
          <w:rFonts w:ascii="Arial" w:hAnsi="Arial" w:cs="Arial"/>
        </w:rPr>
        <w:t>Os índices de alavancagem financeira podem ser assim sumari</w:t>
      </w:r>
      <w:r w:rsidR="00826D41" w:rsidRPr="00F45A1F">
        <w:rPr>
          <w:rFonts w:ascii="Arial" w:hAnsi="Arial" w:cs="Arial"/>
        </w:rPr>
        <w:t>z</w:t>
      </w:r>
      <w:r w:rsidRPr="00F45A1F">
        <w:rPr>
          <w:rFonts w:ascii="Arial" w:hAnsi="Arial" w:cs="Arial"/>
        </w:rPr>
        <w:t>ados:</w:t>
      </w:r>
    </w:p>
    <w:p w14:paraId="2583C56F" w14:textId="77777777" w:rsidR="00AE1186" w:rsidRPr="00F45A1F" w:rsidRDefault="00AE1186" w:rsidP="005144E2">
      <w:pPr>
        <w:widowControl/>
        <w:jc w:val="both"/>
        <w:rPr>
          <w:rFonts w:ascii="Arial" w:hAnsi="Arial" w:cs="Arial"/>
          <w:b/>
          <w:sz w:val="16"/>
          <w:szCs w:val="16"/>
        </w:rPr>
      </w:pPr>
    </w:p>
    <w:p w14:paraId="4B39F3E7" w14:textId="28755232" w:rsidR="003A0508" w:rsidRPr="00F45A1F" w:rsidRDefault="003A0508" w:rsidP="005144E2">
      <w:pPr>
        <w:widowControl/>
        <w:jc w:val="both"/>
        <w:rPr>
          <w:rFonts w:ascii="Arial" w:hAnsi="Arial" w:cs="Arial"/>
          <w:b/>
        </w:rPr>
      </w:pPr>
    </w:p>
    <w:p w14:paraId="094EC58B" w14:textId="77777777" w:rsidR="003A0508" w:rsidRPr="00F45A1F" w:rsidRDefault="003A0508" w:rsidP="005144E2">
      <w:pPr>
        <w:widowControl/>
        <w:jc w:val="both"/>
        <w:rPr>
          <w:rFonts w:ascii="Arial" w:hAnsi="Arial" w:cs="Arial"/>
          <w:b/>
          <w:sz w:val="16"/>
          <w:szCs w:val="16"/>
        </w:rPr>
      </w:pPr>
    </w:p>
    <w:p w14:paraId="2DFD0E69" w14:textId="71246519" w:rsidR="003534B2" w:rsidRPr="00F45A1F" w:rsidRDefault="00F04762" w:rsidP="005144E2">
      <w:pPr>
        <w:widowControl/>
        <w:jc w:val="both"/>
        <w:rPr>
          <w:rFonts w:ascii="Arial" w:hAnsi="Arial" w:cs="Arial"/>
          <w:b/>
        </w:rPr>
      </w:pPr>
      <w:r w:rsidRPr="00F04762">
        <w:rPr>
          <w:noProof/>
        </w:rPr>
        <w:drawing>
          <wp:inline distT="0" distB="0" distL="0" distR="0" wp14:anchorId="74D7C779" wp14:editId="25CE2541">
            <wp:extent cx="5398135" cy="20383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8135" cy="2038350"/>
                    </a:xfrm>
                    <a:prstGeom prst="rect">
                      <a:avLst/>
                    </a:prstGeom>
                    <a:noFill/>
                    <a:ln>
                      <a:noFill/>
                    </a:ln>
                  </pic:spPr>
                </pic:pic>
              </a:graphicData>
            </a:graphic>
          </wp:inline>
        </w:drawing>
      </w:r>
    </w:p>
    <w:p w14:paraId="601E8C5D" w14:textId="77777777" w:rsidR="002B63E7" w:rsidRDefault="002B63E7" w:rsidP="005144E2">
      <w:pPr>
        <w:widowControl/>
        <w:jc w:val="both"/>
        <w:rPr>
          <w:rFonts w:ascii="Arial" w:hAnsi="Arial" w:cs="Arial"/>
          <w:b/>
        </w:rPr>
      </w:pPr>
    </w:p>
    <w:p w14:paraId="36C980AF" w14:textId="77777777" w:rsidR="00F2650C" w:rsidRDefault="00F2650C" w:rsidP="005144E2">
      <w:pPr>
        <w:widowControl/>
        <w:jc w:val="both"/>
        <w:rPr>
          <w:rFonts w:ascii="Arial" w:hAnsi="Arial" w:cs="Arial"/>
          <w:b/>
        </w:rPr>
      </w:pPr>
    </w:p>
    <w:p w14:paraId="6B5A87DF" w14:textId="77777777" w:rsidR="00F2650C" w:rsidRDefault="00F2650C" w:rsidP="005144E2">
      <w:pPr>
        <w:widowControl/>
        <w:jc w:val="both"/>
        <w:rPr>
          <w:rFonts w:ascii="Arial" w:hAnsi="Arial" w:cs="Arial"/>
          <w:b/>
        </w:rPr>
      </w:pPr>
    </w:p>
    <w:p w14:paraId="0B1B6F19" w14:textId="77777777" w:rsidR="00F2650C" w:rsidRDefault="00F2650C" w:rsidP="005144E2">
      <w:pPr>
        <w:widowControl/>
        <w:jc w:val="both"/>
        <w:rPr>
          <w:rFonts w:ascii="Arial" w:hAnsi="Arial" w:cs="Arial"/>
          <w:b/>
        </w:rPr>
      </w:pPr>
    </w:p>
    <w:p w14:paraId="3681D9F0" w14:textId="77777777" w:rsidR="00F2650C" w:rsidRDefault="00F2650C" w:rsidP="005144E2">
      <w:pPr>
        <w:widowControl/>
        <w:jc w:val="both"/>
        <w:rPr>
          <w:rFonts w:ascii="Arial" w:hAnsi="Arial" w:cs="Arial"/>
          <w:b/>
        </w:rPr>
      </w:pPr>
    </w:p>
    <w:p w14:paraId="67D413DF" w14:textId="77777777" w:rsidR="003F4719" w:rsidRPr="00F45A1F" w:rsidRDefault="003F4719" w:rsidP="005144E2">
      <w:pPr>
        <w:widowControl/>
        <w:jc w:val="both"/>
        <w:rPr>
          <w:rFonts w:ascii="Arial" w:hAnsi="Arial" w:cs="Arial"/>
          <w:b/>
        </w:rPr>
      </w:pPr>
      <w:r w:rsidRPr="00F45A1F">
        <w:rPr>
          <w:rFonts w:ascii="Arial" w:hAnsi="Arial" w:cs="Arial"/>
          <w:b/>
        </w:rPr>
        <w:t>4.</w:t>
      </w:r>
      <w:r w:rsidR="001838D2" w:rsidRPr="00F45A1F">
        <w:rPr>
          <w:rFonts w:ascii="Arial" w:hAnsi="Arial" w:cs="Arial"/>
          <w:b/>
        </w:rPr>
        <w:t>3</w:t>
      </w:r>
      <w:r w:rsidRPr="00F45A1F">
        <w:rPr>
          <w:rFonts w:ascii="Arial" w:hAnsi="Arial" w:cs="Arial"/>
          <w:b/>
        </w:rPr>
        <w:t xml:space="preserve"> -</w:t>
      </w:r>
      <w:r w:rsidRPr="00F45A1F">
        <w:rPr>
          <w:rFonts w:ascii="Arial" w:hAnsi="Arial" w:cs="Arial"/>
          <w:b/>
        </w:rPr>
        <w:tab/>
        <w:t>Estimativa do valor justo</w:t>
      </w:r>
    </w:p>
    <w:p w14:paraId="4E0B41F4" w14:textId="77777777" w:rsidR="003F4719" w:rsidRPr="00F45A1F" w:rsidRDefault="003F4719" w:rsidP="005144E2">
      <w:pPr>
        <w:widowControl/>
        <w:jc w:val="both"/>
        <w:rPr>
          <w:rFonts w:ascii="Arial" w:hAnsi="Arial" w:cs="Arial"/>
          <w:b/>
        </w:rPr>
      </w:pPr>
    </w:p>
    <w:p w14:paraId="20EE15B8" w14:textId="77777777" w:rsidR="003F4719" w:rsidRPr="00F45A1F" w:rsidRDefault="003F4719" w:rsidP="005144E2">
      <w:pPr>
        <w:widowControl/>
        <w:jc w:val="both"/>
        <w:rPr>
          <w:rFonts w:ascii="Arial" w:hAnsi="Arial" w:cs="Arial"/>
        </w:rPr>
      </w:pPr>
      <w:r w:rsidRPr="00F45A1F">
        <w:rPr>
          <w:rFonts w:ascii="Arial" w:hAnsi="Arial" w:cs="Arial"/>
        </w:rPr>
        <w:t>Pressupõe-se que os saldos das contas a receber de clientes e contas a pagar aos fornecedores pelo valor contábil, menos a perda (</w:t>
      </w:r>
      <w:proofErr w:type="spellStart"/>
      <w:r w:rsidRPr="00F45A1F">
        <w:rPr>
          <w:rFonts w:ascii="Arial" w:hAnsi="Arial" w:cs="Arial"/>
          <w:i/>
        </w:rPr>
        <w:t>impairment</w:t>
      </w:r>
      <w:proofErr w:type="spellEnd"/>
      <w:r w:rsidRPr="00F45A1F">
        <w:rPr>
          <w:rFonts w:ascii="Arial" w:hAnsi="Arial" w:cs="Arial"/>
        </w:rPr>
        <w:t xml:space="preserve">), estejam próximos de seus valores justos. </w:t>
      </w:r>
    </w:p>
    <w:p w14:paraId="68C3F2C8" w14:textId="77777777" w:rsidR="00D8137F" w:rsidRPr="00F45A1F" w:rsidRDefault="00D8137F" w:rsidP="005144E2">
      <w:pPr>
        <w:widowControl/>
        <w:jc w:val="both"/>
        <w:rPr>
          <w:rFonts w:ascii="Arial" w:hAnsi="Arial" w:cs="Arial"/>
        </w:rPr>
      </w:pPr>
    </w:p>
    <w:p w14:paraId="4045D2AD" w14:textId="77777777" w:rsidR="003F4719" w:rsidRPr="00F45A1F" w:rsidRDefault="003F4719" w:rsidP="005144E2">
      <w:pPr>
        <w:widowControl/>
        <w:autoSpaceDE w:val="0"/>
        <w:autoSpaceDN w:val="0"/>
        <w:adjustRightInd w:val="0"/>
        <w:jc w:val="both"/>
        <w:rPr>
          <w:rFonts w:ascii="Arial" w:hAnsi="Arial" w:cs="Arial"/>
          <w:b/>
        </w:rPr>
      </w:pPr>
      <w:r w:rsidRPr="00F45A1F">
        <w:rPr>
          <w:rFonts w:ascii="Arial" w:hAnsi="Arial" w:cs="Arial"/>
          <w:b/>
        </w:rPr>
        <w:t>Valor justo hierárquico</w:t>
      </w:r>
    </w:p>
    <w:p w14:paraId="51AFFF87" w14:textId="77777777" w:rsidR="00960E5A" w:rsidRPr="00F45A1F" w:rsidRDefault="00960E5A" w:rsidP="005144E2">
      <w:pPr>
        <w:widowControl/>
        <w:autoSpaceDE w:val="0"/>
        <w:autoSpaceDN w:val="0"/>
        <w:adjustRightInd w:val="0"/>
        <w:jc w:val="both"/>
        <w:rPr>
          <w:rFonts w:ascii="Arial" w:hAnsi="Arial" w:cs="Arial"/>
          <w:b/>
        </w:rPr>
      </w:pPr>
    </w:p>
    <w:p w14:paraId="67EABF39" w14:textId="77777777" w:rsidR="003F4719" w:rsidRPr="00F45A1F" w:rsidRDefault="003F4719" w:rsidP="005144E2">
      <w:pPr>
        <w:widowControl/>
        <w:autoSpaceDE w:val="0"/>
        <w:autoSpaceDN w:val="0"/>
        <w:adjustRightInd w:val="0"/>
        <w:jc w:val="both"/>
        <w:rPr>
          <w:rFonts w:ascii="Arial" w:hAnsi="Arial" w:cs="Arial"/>
        </w:rPr>
      </w:pPr>
      <w:r w:rsidRPr="00F45A1F">
        <w:rPr>
          <w:rFonts w:ascii="Arial" w:hAnsi="Arial" w:cs="Arial"/>
        </w:rPr>
        <w:t>Existem três níveis para classificação do Valor Justo referente a instrumentos financeiros, sendo que a hierarquia fornece prioridade para preços cotados não ajustados em mercado ativo referente a ativos ou passivos financeiros. A classificação dos Níveis Hierárquicos pode ser apresentada conforme exposto a seguir:</w:t>
      </w:r>
    </w:p>
    <w:p w14:paraId="33B6DE1A" w14:textId="77777777" w:rsidR="003F4719" w:rsidRPr="00F45A1F" w:rsidRDefault="003F4719" w:rsidP="005144E2">
      <w:pPr>
        <w:widowControl/>
        <w:autoSpaceDE w:val="0"/>
        <w:autoSpaceDN w:val="0"/>
        <w:adjustRightInd w:val="0"/>
        <w:jc w:val="both"/>
        <w:rPr>
          <w:rFonts w:ascii="Arial" w:hAnsi="Arial" w:cs="Arial"/>
        </w:rPr>
      </w:pPr>
    </w:p>
    <w:p w14:paraId="0973509C" w14:textId="77777777" w:rsidR="003F4719" w:rsidRPr="00F45A1F" w:rsidRDefault="003F4719" w:rsidP="005144E2">
      <w:pPr>
        <w:pStyle w:val="PargrafodaLista"/>
        <w:widowControl/>
        <w:numPr>
          <w:ilvl w:val="0"/>
          <w:numId w:val="11"/>
        </w:numPr>
        <w:autoSpaceDE w:val="0"/>
        <w:autoSpaceDN w:val="0"/>
        <w:adjustRightInd w:val="0"/>
        <w:jc w:val="both"/>
        <w:rPr>
          <w:rFonts w:ascii="Arial" w:hAnsi="Arial" w:cs="Arial"/>
        </w:rPr>
      </w:pPr>
      <w:r w:rsidRPr="00F45A1F">
        <w:rPr>
          <w:rFonts w:ascii="Arial" w:hAnsi="Arial" w:cs="Arial"/>
        </w:rPr>
        <w:t>Nível 1: Dados provenientes de mercado ativo (preço cotado não ajustado) de forma que seja possível acessar diariamente, inclusive na data da mensuração do valor justo.</w:t>
      </w:r>
    </w:p>
    <w:p w14:paraId="27E816E3" w14:textId="77777777" w:rsidR="003F4719" w:rsidRPr="00F45A1F" w:rsidRDefault="003F4719" w:rsidP="005144E2">
      <w:pPr>
        <w:pStyle w:val="PargrafodaLista"/>
        <w:widowControl/>
        <w:numPr>
          <w:ilvl w:val="0"/>
          <w:numId w:val="11"/>
        </w:numPr>
        <w:autoSpaceDE w:val="0"/>
        <w:autoSpaceDN w:val="0"/>
        <w:adjustRightInd w:val="0"/>
        <w:jc w:val="both"/>
        <w:rPr>
          <w:rFonts w:ascii="Arial" w:hAnsi="Arial" w:cs="Arial"/>
        </w:rPr>
      </w:pPr>
      <w:r w:rsidRPr="00F45A1F">
        <w:rPr>
          <w:rFonts w:ascii="Arial" w:hAnsi="Arial" w:cs="Arial"/>
        </w:rPr>
        <w:t>Nível 2: Dados diferentes dos provenientes de mercado ativo (preço cotado não ajustado) incluídos no Nível 1, extraídos de modelo de precificação, baseado em dados observáveis de mercado.</w:t>
      </w:r>
    </w:p>
    <w:p w14:paraId="0DC2CE5F" w14:textId="77777777" w:rsidR="003F4719" w:rsidRPr="00F45A1F" w:rsidRDefault="003F4719" w:rsidP="005144E2">
      <w:pPr>
        <w:pStyle w:val="PargrafodaLista"/>
        <w:widowControl/>
        <w:numPr>
          <w:ilvl w:val="0"/>
          <w:numId w:val="11"/>
        </w:numPr>
        <w:autoSpaceDE w:val="0"/>
        <w:autoSpaceDN w:val="0"/>
        <w:adjustRightInd w:val="0"/>
        <w:jc w:val="both"/>
        <w:rPr>
          <w:rFonts w:ascii="Arial" w:hAnsi="Arial" w:cs="Arial"/>
        </w:rPr>
      </w:pPr>
      <w:r w:rsidRPr="00F45A1F">
        <w:rPr>
          <w:rFonts w:ascii="Arial" w:hAnsi="Arial" w:cs="Arial"/>
        </w:rPr>
        <w:t>Nível 3: Dados extraídos de modelo de precificação, baseado em dados não observáveis de mercado.</w:t>
      </w:r>
    </w:p>
    <w:p w14:paraId="0573C611" w14:textId="77777777" w:rsidR="00CC41D3" w:rsidRPr="00F45A1F" w:rsidRDefault="00CC41D3" w:rsidP="005144E2">
      <w:pPr>
        <w:pStyle w:val="PargrafodaLista"/>
        <w:widowControl/>
        <w:autoSpaceDE w:val="0"/>
        <w:autoSpaceDN w:val="0"/>
        <w:adjustRightInd w:val="0"/>
        <w:ind w:left="340"/>
        <w:jc w:val="both"/>
        <w:rPr>
          <w:rFonts w:ascii="Arial" w:hAnsi="Arial" w:cs="Arial"/>
        </w:rPr>
      </w:pPr>
    </w:p>
    <w:p w14:paraId="45822C74" w14:textId="77777777" w:rsidR="003F4719" w:rsidRPr="00F45A1F" w:rsidRDefault="003F4719" w:rsidP="005144E2">
      <w:pPr>
        <w:widowControl/>
        <w:jc w:val="both"/>
        <w:rPr>
          <w:rFonts w:ascii="Arial" w:hAnsi="Arial" w:cs="Arial"/>
        </w:rPr>
      </w:pPr>
      <w:r w:rsidRPr="00F45A1F">
        <w:rPr>
          <w:rFonts w:ascii="Arial" w:hAnsi="Arial" w:cs="Arial"/>
        </w:rPr>
        <w:t xml:space="preserve">Em </w:t>
      </w:r>
      <w:r w:rsidR="005D6BDC" w:rsidRPr="00F45A1F">
        <w:rPr>
          <w:rFonts w:ascii="Arial" w:hAnsi="Arial" w:cs="Arial"/>
        </w:rPr>
        <w:t>3</w:t>
      </w:r>
      <w:r w:rsidR="00F63FAE" w:rsidRPr="00F45A1F">
        <w:rPr>
          <w:rFonts w:ascii="Arial" w:hAnsi="Arial" w:cs="Arial"/>
        </w:rPr>
        <w:t>1</w:t>
      </w:r>
      <w:r w:rsidR="005D6BDC" w:rsidRPr="00F45A1F">
        <w:rPr>
          <w:rFonts w:ascii="Arial" w:hAnsi="Arial" w:cs="Arial"/>
        </w:rPr>
        <w:t xml:space="preserve"> de </w:t>
      </w:r>
      <w:r w:rsidR="007A0D7B" w:rsidRPr="00F45A1F">
        <w:rPr>
          <w:rFonts w:ascii="Arial" w:hAnsi="Arial" w:cs="Arial"/>
        </w:rPr>
        <w:t xml:space="preserve">março </w:t>
      </w:r>
      <w:r w:rsidR="007C0483" w:rsidRPr="00F45A1F">
        <w:rPr>
          <w:rFonts w:ascii="Arial" w:hAnsi="Arial" w:cs="Arial"/>
        </w:rPr>
        <w:t>de 20</w:t>
      </w:r>
      <w:r w:rsidR="007A0D7B" w:rsidRPr="00F45A1F">
        <w:rPr>
          <w:rFonts w:ascii="Arial" w:hAnsi="Arial" w:cs="Arial"/>
        </w:rPr>
        <w:t>20</w:t>
      </w:r>
      <w:r w:rsidR="00B24F1B" w:rsidRPr="00F45A1F">
        <w:rPr>
          <w:rFonts w:ascii="Arial" w:hAnsi="Arial" w:cs="Arial"/>
        </w:rPr>
        <w:t>,</w:t>
      </w:r>
      <w:r w:rsidRPr="00F45A1F">
        <w:rPr>
          <w:rFonts w:ascii="Arial" w:hAnsi="Arial" w:cs="Arial"/>
        </w:rPr>
        <w:t xml:space="preserve"> a classificação por Nível Hierárquico apresenta-se da seguinte forma para os instrumentos financeiros valorizados a valor justo:</w:t>
      </w:r>
    </w:p>
    <w:p w14:paraId="2DF03369" w14:textId="77777777" w:rsidR="008640BF" w:rsidRPr="00F45A1F" w:rsidRDefault="008640BF" w:rsidP="005144E2">
      <w:pPr>
        <w:widowControl/>
        <w:jc w:val="both"/>
        <w:rPr>
          <w:rFonts w:ascii="Arial" w:hAnsi="Arial" w:cs="Arial"/>
          <w:sz w:val="16"/>
          <w:szCs w:val="16"/>
        </w:rPr>
      </w:pPr>
    </w:p>
    <w:p w14:paraId="72F111BE" w14:textId="77777777" w:rsidR="00D65E64" w:rsidRPr="00F45A1F" w:rsidRDefault="00DC01B8" w:rsidP="005144E2">
      <w:pPr>
        <w:widowControl/>
        <w:jc w:val="both"/>
        <w:rPr>
          <w:rFonts w:ascii="Arial" w:hAnsi="Arial" w:cs="Arial"/>
        </w:rPr>
      </w:pPr>
      <w:r w:rsidRPr="00F45A1F">
        <w:rPr>
          <w:noProof/>
        </w:rPr>
        <w:drawing>
          <wp:inline distT="0" distB="0" distL="0" distR="0" wp14:anchorId="6EF76BFB" wp14:editId="24F665D6">
            <wp:extent cx="6073140" cy="1653167"/>
            <wp:effectExtent l="0" t="0" r="3810" b="4445"/>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3140" cy="1653167"/>
                    </a:xfrm>
                    <a:prstGeom prst="rect">
                      <a:avLst/>
                    </a:prstGeom>
                    <a:noFill/>
                    <a:ln>
                      <a:noFill/>
                    </a:ln>
                  </pic:spPr>
                </pic:pic>
              </a:graphicData>
            </a:graphic>
          </wp:inline>
        </w:drawing>
      </w:r>
    </w:p>
    <w:p w14:paraId="2542949F" w14:textId="77777777" w:rsidR="00D812D9" w:rsidRPr="00F45A1F" w:rsidRDefault="00D812D9" w:rsidP="005144E2">
      <w:pPr>
        <w:widowControl/>
        <w:autoSpaceDE w:val="0"/>
        <w:autoSpaceDN w:val="0"/>
        <w:adjustRightInd w:val="0"/>
        <w:jc w:val="both"/>
        <w:rPr>
          <w:rFonts w:ascii="Arial" w:hAnsi="Arial" w:cs="Arial"/>
        </w:rPr>
      </w:pPr>
    </w:p>
    <w:p w14:paraId="064C4F23" w14:textId="77777777" w:rsidR="00CC41D3" w:rsidRPr="00F45A1F" w:rsidRDefault="00CC41D3" w:rsidP="005144E2">
      <w:pPr>
        <w:widowControl/>
        <w:autoSpaceDE w:val="0"/>
        <w:autoSpaceDN w:val="0"/>
        <w:adjustRightInd w:val="0"/>
        <w:jc w:val="both"/>
        <w:rPr>
          <w:rFonts w:ascii="Arial" w:hAnsi="Arial" w:cs="Arial"/>
        </w:rPr>
      </w:pPr>
    </w:p>
    <w:p w14:paraId="3884AE1C" w14:textId="77777777" w:rsidR="003F4719" w:rsidRPr="00F45A1F" w:rsidRDefault="003F4719" w:rsidP="005144E2">
      <w:pPr>
        <w:widowControl/>
        <w:autoSpaceDE w:val="0"/>
        <w:autoSpaceDN w:val="0"/>
        <w:adjustRightInd w:val="0"/>
        <w:jc w:val="both"/>
        <w:rPr>
          <w:rFonts w:ascii="Arial" w:hAnsi="Arial" w:cs="Arial"/>
          <w:b/>
        </w:rPr>
      </w:pPr>
      <w:r w:rsidRPr="00F45A1F">
        <w:rPr>
          <w:rFonts w:ascii="Arial" w:hAnsi="Arial" w:cs="Arial"/>
          <w:b/>
        </w:rPr>
        <w:t>Gerenciamento do capital</w:t>
      </w:r>
    </w:p>
    <w:p w14:paraId="55182B15" w14:textId="77777777" w:rsidR="00F47B74" w:rsidRPr="00F45A1F" w:rsidRDefault="00F47B74" w:rsidP="005144E2">
      <w:pPr>
        <w:widowControl/>
        <w:autoSpaceDE w:val="0"/>
        <w:autoSpaceDN w:val="0"/>
        <w:adjustRightInd w:val="0"/>
        <w:jc w:val="both"/>
        <w:rPr>
          <w:rFonts w:ascii="Arial" w:hAnsi="Arial" w:cs="Arial"/>
          <w:b/>
        </w:rPr>
      </w:pPr>
    </w:p>
    <w:p w14:paraId="1B39A657" w14:textId="77777777" w:rsidR="003F4719" w:rsidRPr="00F45A1F" w:rsidRDefault="003F4719" w:rsidP="005144E2">
      <w:pPr>
        <w:widowControl/>
        <w:autoSpaceDE w:val="0"/>
        <w:autoSpaceDN w:val="0"/>
        <w:adjustRightInd w:val="0"/>
        <w:jc w:val="both"/>
        <w:rPr>
          <w:rFonts w:ascii="Arial" w:hAnsi="Arial" w:cs="Arial"/>
        </w:rPr>
      </w:pPr>
      <w:r w:rsidRPr="00F45A1F">
        <w:rPr>
          <w:rFonts w:ascii="Arial" w:hAnsi="Arial" w:cs="Arial"/>
        </w:rPr>
        <w:t>A política da Administração, bem como as demais áreas, procura um equilíbrio entre a rentabilidade vis-à-vis o risco incorrido, de modo a não expor seu patrimônio, ou de sofrer aumento súbito ou flutuações do mercado. Visando a gestão do capital saudável, a Companhia adota a política de preservar a liquidez, com o acompanhamento de perto do fluxo de caixa de curto e longo prazo.</w:t>
      </w:r>
    </w:p>
    <w:p w14:paraId="0DAF05B1" w14:textId="77777777" w:rsidR="00CC41D3" w:rsidRPr="00F45A1F" w:rsidRDefault="00CC41D3" w:rsidP="005144E2">
      <w:pPr>
        <w:widowControl/>
        <w:autoSpaceDE w:val="0"/>
        <w:autoSpaceDN w:val="0"/>
        <w:adjustRightInd w:val="0"/>
        <w:jc w:val="both"/>
        <w:rPr>
          <w:rFonts w:ascii="Arial" w:hAnsi="Arial" w:cs="Arial"/>
        </w:rPr>
      </w:pPr>
    </w:p>
    <w:p w14:paraId="794FF93B" w14:textId="77777777" w:rsidR="003F4719" w:rsidRPr="00F45A1F" w:rsidRDefault="003F4719" w:rsidP="005144E2">
      <w:pPr>
        <w:keepNext/>
        <w:widowControl/>
        <w:jc w:val="both"/>
        <w:rPr>
          <w:rFonts w:ascii="Arial" w:hAnsi="Arial" w:cs="Arial"/>
          <w:b/>
          <w:sz w:val="26"/>
          <w:szCs w:val="26"/>
        </w:rPr>
      </w:pPr>
      <w:r w:rsidRPr="00F45A1F">
        <w:rPr>
          <w:rFonts w:ascii="Arial" w:hAnsi="Arial" w:cs="Arial"/>
          <w:b/>
          <w:sz w:val="26"/>
          <w:szCs w:val="26"/>
        </w:rPr>
        <w:t>NOTA 5 - CAIXA E EQUIVALENTES DE CAIXA E TÍTULOS E VALORES MOBILIÁRIOS DE CURTO PRAZO</w:t>
      </w:r>
    </w:p>
    <w:p w14:paraId="0C194C6A" w14:textId="77777777" w:rsidR="00DE3B4D" w:rsidRPr="00F45A1F" w:rsidRDefault="00DE3B4D" w:rsidP="005144E2">
      <w:pPr>
        <w:widowControl/>
        <w:jc w:val="both"/>
        <w:rPr>
          <w:rFonts w:ascii="Arial" w:hAnsi="Arial" w:cs="Arial"/>
        </w:rPr>
      </w:pPr>
    </w:p>
    <w:p w14:paraId="41953B46" w14:textId="77777777" w:rsidR="003C1547" w:rsidRPr="00F45A1F" w:rsidRDefault="003C1547" w:rsidP="005144E2">
      <w:pPr>
        <w:widowControl/>
        <w:jc w:val="both"/>
        <w:rPr>
          <w:rFonts w:ascii="Arial" w:hAnsi="Arial" w:cs="Arial"/>
        </w:rPr>
      </w:pPr>
    </w:p>
    <w:p w14:paraId="150FD22F" w14:textId="77777777" w:rsidR="003F4719" w:rsidRPr="00F45A1F" w:rsidRDefault="003F4719" w:rsidP="005144E2">
      <w:pPr>
        <w:widowControl/>
        <w:jc w:val="both"/>
        <w:rPr>
          <w:rFonts w:ascii="Arial" w:hAnsi="Arial" w:cs="Arial"/>
        </w:rPr>
      </w:pPr>
      <w:r w:rsidRPr="00F45A1F">
        <w:rPr>
          <w:rFonts w:ascii="Arial" w:hAnsi="Arial" w:cs="Arial"/>
        </w:rPr>
        <w:t>Conforme estabelecido pela Resolução n</w:t>
      </w:r>
      <w:r w:rsidRPr="00F45A1F">
        <w:rPr>
          <w:rFonts w:ascii="Arial" w:hAnsi="Arial" w:cs="Arial"/>
          <w:vertAlign w:val="superscript"/>
        </w:rPr>
        <w:t>o</w:t>
      </w:r>
      <w:r w:rsidRPr="00F45A1F">
        <w:rPr>
          <w:rFonts w:ascii="Arial" w:hAnsi="Arial" w:cs="Arial"/>
        </w:rPr>
        <w:t xml:space="preserve"> 3.284/05, emitida pelo Banco Central do Brasil</w:t>
      </w:r>
      <w:r w:rsidR="00A854F5" w:rsidRPr="00F45A1F">
        <w:rPr>
          <w:rFonts w:ascii="Arial" w:hAnsi="Arial" w:cs="Arial"/>
        </w:rPr>
        <w:t xml:space="preserve"> - BACEN</w:t>
      </w:r>
      <w:r w:rsidRPr="00F45A1F">
        <w:rPr>
          <w:rFonts w:ascii="Arial" w:hAnsi="Arial" w:cs="Arial"/>
        </w:rPr>
        <w:t>, em 25 de maio de 2005, as aplicações financeiras resultantes das receitas próprias das empresas públicas e das sociedades de economia mista, integrantes da Administração Federal Indireta, somente podem ser efetuadas por intermédio da Caixa Econômica Federal</w:t>
      </w:r>
      <w:r w:rsidR="003534B2" w:rsidRPr="00F45A1F">
        <w:rPr>
          <w:rFonts w:ascii="Arial" w:hAnsi="Arial" w:cs="Arial"/>
        </w:rPr>
        <w:t xml:space="preserve"> - CEF</w:t>
      </w:r>
      <w:r w:rsidRPr="00F45A1F">
        <w:rPr>
          <w:rFonts w:ascii="Arial" w:hAnsi="Arial" w:cs="Arial"/>
        </w:rPr>
        <w:t>, do Banco do Brasil S.A</w:t>
      </w:r>
      <w:r w:rsidR="003534B2" w:rsidRPr="00F45A1F">
        <w:rPr>
          <w:rFonts w:ascii="Arial" w:hAnsi="Arial" w:cs="Arial"/>
        </w:rPr>
        <w:t xml:space="preserve"> - BB</w:t>
      </w:r>
      <w:r w:rsidRPr="00F45A1F">
        <w:rPr>
          <w:rFonts w:ascii="Arial" w:hAnsi="Arial" w:cs="Arial"/>
        </w:rPr>
        <w:t xml:space="preserve">. </w:t>
      </w:r>
      <w:proofErr w:type="gramStart"/>
      <w:r w:rsidRPr="00F45A1F">
        <w:rPr>
          <w:rFonts w:ascii="Arial" w:hAnsi="Arial" w:cs="Arial"/>
        </w:rPr>
        <w:t>ou</w:t>
      </w:r>
      <w:proofErr w:type="gramEnd"/>
      <w:r w:rsidRPr="00F45A1F">
        <w:rPr>
          <w:rFonts w:ascii="Arial" w:hAnsi="Arial" w:cs="Arial"/>
        </w:rPr>
        <w:t xml:space="preserve"> por instituição integrante do conglomerado financeiro por eles liderados.</w:t>
      </w:r>
    </w:p>
    <w:p w14:paraId="1AFF222E" w14:textId="77777777" w:rsidR="003F4719" w:rsidRPr="00F45A1F" w:rsidRDefault="003F4719" w:rsidP="005144E2">
      <w:pPr>
        <w:widowControl/>
        <w:tabs>
          <w:tab w:val="left" w:pos="7635"/>
        </w:tabs>
        <w:jc w:val="both"/>
        <w:rPr>
          <w:rFonts w:ascii="Arial" w:hAnsi="Arial" w:cs="Arial"/>
        </w:rPr>
      </w:pPr>
    </w:p>
    <w:p w14:paraId="48CEEEAA" w14:textId="77777777" w:rsidR="003F4719" w:rsidRPr="00F45A1F" w:rsidRDefault="003F4719" w:rsidP="005144E2">
      <w:pPr>
        <w:widowControl/>
        <w:tabs>
          <w:tab w:val="left" w:pos="7635"/>
        </w:tabs>
        <w:jc w:val="both"/>
        <w:rPr>
          <w:rFonts w:ascii="Arial" w:hAnsi="Arial" w:cs="Arial"/>
        </w:rPr>
      </w:pPr>
      <w:r w:rsidRPr="00F45A1F">
        <w:rPr>
          <w:rFonts w:ascii="Arial" w:hAnsi="Arial" w:cs="Arial"/>
        </w:rPr>
        <w:t xml:space="preserve">As aplicações financeiras da Companhia, apresentadas no quadro abaixo (“b - Títulos e valores mobiliários de curto prazo”), resultam de recursos oriundos de financiamento concedido pelo BNDES e pela CEF, que são mantidos no </w:t>
      </w:r>
      <w:r w:rsidR="003534B2" w:rsidRPr="00F45A1F">
        <w:rPr>
          <w:rFonts w:ascii="Arial" w:hAnsi="Arial" w:cs="Arial"/>
        </w:rPr>
        <w:t>BB</w:t>
      </w:r>
      <w:r w:rsidRPr="00F45A1F">
        <w:rPr>
          <w:rFonts w:ascii="Arial" w:hAnsi="Arial" w:cs="Arial"/>
        </w:rPr>
        <w:t xml:space="preserve"> e na CEF por força contratual. Estão aplicados em </w:t>
      </w:r>
      <w:proofErr w:type="spellStart"/>
      <w:r w:rsidRPr="00F45A1F">
        <w:rPr>
          <w:rFonts w:ascii="Arial" w:hAnsi="Arial" w:cs="Arial"/>
        </w:rPr>
        <w:t>Extramercado</w:t>
      </w:r>
      <w:proofErr w:type="spellEnd"/>
      <w:r w:rsidRPr="00F45A1F">
        <w:rPr>
          <w:rFonts w:ascii="Arial" w:hAnsi="Arial" w:cs="Arial"/>
        </w:rPr>
        <w:t xml:space="preserve"> FAE - Fundo de Investimento em Renda Fixa, que oferece liquidez diária e são compostas, principalmente, de títulos do governo brasileiro e certificados de depósitos bancários. O fundo de investimento possui possibilidade de resgate com liquidez imediata e sem carência. </w:t>
      </w:r>
    </w:p>
    <w:p w14:paraId="7B31CD8A" w14:textId="77777777" w:rsidR="001F1A89" w:rsidRPr="00F45A1F" w:rsidRDefault="001F1A89" w:rsidP="005144E2">
      <w:pPr>
        <w:widowControl/>
        <w:tabs>
          <w:tab w:val="left" w:pos="7635"/>
        </w:tabs>
        <w:jc w:val="both"/>
        <w:rPr>
          <w:rFonts w:ascii="Arial" w:hAnsi="Arial" w:cs="Arial"/>
        </w:rPr>
      </w:pPr>
    </w:p>
    <w:p w14:paraId="40A722D7" w14:textId="77777777" w:rsidR="001F1A89" w:rsidRPr="00F45A1F" w:rsidRDefault="001F1A89" w:rsidP="005144E2">
      <w:pPr>
        <w:widowControl/>
        <w:tabs>
          <w:tab w:val="left" w:pos="7635"/>
        </w:tabs>
        <w:jc w:val="both"/>
        <w:rPr>
          <w:rFonts w:ascii="Arial" w:hAnsi="Arial" w:cs="Arial"/>
        </w:rPr>
      </w:pPr>
    </w:p>
    <w:p w14:paraId="66F067BF" w14:textId="77777777" w:rsidR="003A256A" w:rsidRPr="00F45A1F" w:rsidRDefault="003A256A" w:rsidP="005144E2">
      <w:pPr>
        <w:widowControl/>
        <w:tabs>
          <w:tab w:val="left" w:pos="7635"/>
        </w:tabs>
        <w:jc w:val="both"/>
        <w:rPr>
          <w:rFonts w:ascii="Arial" w:hAnsi="Arial" w:cs="Arial"/>
        </w:rPr>
      </w:pPr>
    </w:p>
    <w:p w14:paraId="2FC8FBD4" w14:textId="77777777" w:rsidR="003F4719" w:rsidRPr="00F45A1F" w:rsidRDefault="003F4719" w:rsidP="005144E2">
      <w:pPr>
        <w:pStyle w:val="PargrafodaLista"/>
        <w:widowControl/>
        <w:numPr>
          <w:ilvl w:val="0"/>
          <w:numId w:val="8"/>
        </w:numPr>
        <w:tabs>
          <w:tab w:val="left" w:pos="7635"/>
        </w:tabs>
        <w:ind w:left="284" w:hanging="284"/>
        <w:jc w:val="both"/>
        <w:rPr>
          <w:rFonts w:ascii="Arial" w:hAnsi="Arial" w:cs="Arial"/>
          <w:b/>
        </w:rPr>
      </w:pPr>
      <w:r w:rsidRPr="00F45A1F">
        <w:rPr>
          <w:rFonts w:ascii="Arial" w:hAnsi="Arial" w:cs="Arial"/>
          <w:b/>
        </w:rPr>
        <w:t>Caixa e equivalentes de caixa</w:t>
      </w:r>
    </w:p>
    <w:p w14:paraId="4C71CE01" w14:textId="77777777" w:rsidR="00B64F66" w:rsidRPr="00F45A1F" w:rsidRDefault="00B64F66" w:rsidP="00B64F66">
      <w:pPr>
        <w:widowControl/>
        <w:tabs>
          <w:tab w:val="left" w:pos="7635"/>
        </w:tabs>
        <w:jc w:val="both"/>
        <w:rPr>
          <w:rFonts w:ascii="Arial" w:hAnsi="Arial" w:cs="Arial"/>
          <w:b/>
          <w:sz w:val="16"/>
          <w:szCs w:val="16"/>
        </w:rPr>
      </w:pPr>
    </w:p>
    <w:p w14:paraId="44F8DBF9" w14:textId="77777777" w:rsidR="001A199C" w:rsidRPr="00F45A1F" w:rsidRDefault="00B64F66" w:rsidP="005144E2">
      <w:pPr>
        <w:widowControl/>
        <w:tabs>
          <w:tab w:val="left" w:pos="7635"/>
        </w:tabs>
        <w:jc w:val="both"/>
        <w:rPr>
          <w:rFonts w:ascii="Arial" w:hAnsi="Arial" w:cs="Arial"/>
          <w:b/>
        </w:rPr>
      </w:pPr>
      <w:r w:rsidRPr="00F45A1F">
        <w:rPr>
          <w:noProof/>
        </w:rPr>
        <w:drawing>
          <wp:inline distT="0" distB="0" distL="0" distR="0" wp14:anchorId="1BAD7AB7" wp14:editId="69498C41">
            <wp:extent cx="4619625" cy="1057275"/>
            <wp:effectExtent l="0" t="0" r="9525" b="9525"/>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9625" cy="1057275"/>
                    </a:xfrm>
                    <a:prstGeom prst="rect">
                      <a:avLst/>
                    </a:prstGeom>
                    <a:noFill/>
                    <a:ln>
                      <a:noFill/>
                    </a:ln>
                  </pic:spPr>
                </pic:pic>
              </a:graphicData>
            </a:graphic>
          </wp:inline>
        </w:drawing>
      </w:r>
    </w:p>
    <w:p w14:paraId="1A1BB09B" w14:textId="77777777" w:rsidR="001A199C" w:rsidRPr="00F45A1F" w:rsidRDefault="001A199C" w:rsidP="005144E2">
      <w:pPr>
        <w:widowControl/>
        <w:tabs>
          <w:tab w:val="left" w:pos="7635"/>
        </w:tabs>
        <w:jc w:val="both"/>
        <w:rPr>
          <w:rFonts w:ascii="Arial" w:hAnsi="Arial" w:cs="Arial"/>
          <w:b/>
        </w:rPr>
      </w:pPr>
    </w:p>
    <w:p w14:paraId="3352F949" w14:textId="77777777" w:rsidR="00850544" w:rsidRPr="00F45A1F" w:rsidRDefault="00850544" w:rsidP="005144E2">
      <w:pPr>
        <w:widowControl/>
        <w:tabs>
          <w:tab w:val="left" w:pos="7635"/>
        </w:tabs>
        <w:jc w:val="both"/>
        <w:rPr>
          <w:rFonts w:ascii="Arial" w:hAnsi="Arial" w:cs="Arial"/>
          <w:b/>
        </w:rPr>
      </w:pPr>
    </w:p>
    <w:p w14:paraId="11322A3B" w14:textId="77777777" w:rsidR="003F4719" w:rsidRPr="00F45A1F" w:rsidRDefault="003F4719" w:rsidP="005144E2">
      <w:pPr>
        <w:pStyle w:val="PargrafodaLista"/>
        <w:widowControl/>
        <w:numPr>
          <w:ilvl w:val="0"/>
          <w:numId w:val="8"/>
        </w:numPr>
        <w:tabs>
          <w:tab w:val="left" w:pos="7635"/>
        </w:tabs>
        <w:ind w:left="284" w:hanging="284"/>
        <w:jc w:val="both"/>
        <w:rPr>
          <w:rFonts w:ascii="Arial" w:hAnsi="Arial" w:cs="Arial"/>
          <w:b/>
        </w:rPr>
      </w:pPr>
      <w:r w:rsidRPr="00F45A1F">
        <w:rPr>
          <w:rFonts w:ascii="Arial" w:hAnsi="Arial" w:cs="Arial"/>
          <w:b/>
        </w:rPr>
        <w:t>Títulos e valores mobiliários de curto prazo</w:t>
      </w:r>
    </w:p>
    <w:p w14:paraId="4C8AE290" w14:textId="77777777" w:rsidR="00AE1186" w:rsidRPr="00F45A1F" w:rsidRDefault="00AE1186" w:rsidP="005144E2">
      <w:pPr>
        <w:widowControl/>
        <w:tabs>
          <w:tab w:val="left" w:pos="7635"/>
        </w:tabs>
        <w:jc w:val="both"/>
        <w:rPr>
          <w:rFonts w:ascii="Arial" w:hAnsi="Arial" w:cs="Arial"/>
          <w:b/>
          <w:sz w:val="16"/>
          <w:szCs w:val="16"/>
        </w:rPr>
      </w:pPr>
    </w:p>
    <w:p w14:paraId="072292F2" w14:textId="0AC26568" w:rsidR="00AE1186" w:rsidRPr="00F45A1F" w:rsidRDefault="00CD4F8E" w:rsidP="005144E2">
      <w:pPr>
        <w:widowControl/>
        <w:tabs>
          <w:tab w:val="left" w:pos="7635"/>
        </w:tabs>
        <w:jc w:val="both"/>
        <w:rPr>
          <w:rFonts w:ascii="Arial" w:hAnsi="Arial" w:cs="Arial"/>
          <w:b/>
        </w:rPr>
      </w:pPr>
      <w:r w:rsidRPr="00CD4F8E">
        <w:rPr>
          <w:noProof/>
        </w:rPr>
        <w:drawing>
          <wp:inline distT="0" distB="0" distL="0" distR="0" wp14:anchorId="035D0CF9" wp14:editId="65137E22">
            <wp:extent cx="6073140" cy="1422126"/>
            <wp:effectExtent l="0" t="0" r="3810" b="698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3140" cy="1422126"/>
                    </a:xfrm>
                    <a:prstGeom prst="rect">
                      <a:avLst/>
                    </a:prstGeom>
                    <a:noFill/>
                    <a:ln>
                      <a:noFill/>
                    </a:ln>
                  </pic:spPr>
                </pic:pic>
              </a:graphicData>
            </a:graphic>
          </wp:inline>
        </w:drawing>
      </w:r>
    </w:p>
    <w:p w14:paraId="546BFF37" w14:textId="77777777" w:rsidR="00FB3ADB" w:rsidRPr="00F45A1F" w:rsidRDefault="00FB3ADB" w:rsidP="005144E2">
      <w:pPr>
        <w:widowControl/>
        <w:tabs>
          <w:tab w:val="left" w:pos="7635"/>
        </w:tabs>
        <w:jc w:val="both"/>
        <w:rPr>
          <w:rFonts w:ascii="Arial" w:hAnsi="Arial" w:cs="Arial"/>
          <w:b/>
        </w:rPr>
      </w:pPr>
    </w:p>
    <w:p w14:paraId="4E2ACEC0" w14:textId="0E0B02F4" w:rsidR="00897DFD" w:rsidRPr="00F45A1F" w:rsidRDefault="00524645" w:rsidP="005144E2">
      <w:pPr>
        <w:widowControl/>
        <w:tabs>
          <w:tab w:val="left" w:pos="7635"/>
        </w:tabs>
        <w:jc w:val="both"/>
        <w:rPr>
          <w:rFonts w:ascii="Arial" w:hAnsi="Arial" w:cs="Arial"/>
        </w:rPr>
      </w:pPr>
      <w:r w:rsidRPr="00F45A1F">
        <w:rPr>
          <w:rFonts w:ascii="Arial" w:hAnsi="Arial" w:cs="Arial"/>
        </w:rPr>
        <w:t xml:space="preserve">Em 2020, houve aplicação em títulos e valores mobiliários de curto prazo no valor de R$ </w:t>
      </w:r>
      <w:r>
        <w:rPr>
          <w:rFonts w:ascii="Arial" w:hAnsi="Arial" w:cs="Arial"/>
        </w:rPr>
        <w:t>250.000</w:t>
      </w:r>
      <w:r w:rsidRPr="00F45A1F">
        <w:rPr>
          <w:rFonts w:ascii="Arial" w:hAnsi="Arial" w:cs="Arial"/>
        </w:rPr>
        <w:t xml:space="preserve">, rendimento bruto de R$ </w:t>
      </w:r>
      <w:r>
        <w:rPr>
          <w:rFonts w:ascii="Arial" w:hAnsi="Arial" w:cs="Arial"/>
        </w:rPr>
        <w:t>927</w:t>
      </w:r>
      <w:r w:rsidRPr="00F45A1F">
        <w:rPr>
          <w:rFonts w:ascii="Arial" w:hAnsi="Arial" w:cs="Arial"/>
        </w:rPr>
        <w:t xml:space="preserve"> e resgate de recursos, incluso IRRF e pagamento de IOF, no montante de R$ </w:t>
      </w:r>
      <w:r>
        <w:rPr>
          <w:rFonts w:ascii="Arial" w:hAnsi="Arial" w:cs="Arial"/>
        </w:rPr>
        <w:t>275.077</w:t>
      </w:r>
      <w:r w:rsidR="00897DFD" w:rsidRPr="00F45A1F">
        <w:rPr>
          <w:rFonts w:ascii="Arial" w:hAnsi="Arial" w:cs="Arial"/>
        </w:rPr>
        <w:t>.</w:t>
      </w:r>
    </w:p>
    <w:p w14:paraId="53264CAC" w14:textId="77777777" w:rsidR="003F4719" w:rsidRPr="00F45A1F" w:rsidRDefault="003F4719" w:rsidP="005144E2">
      <w:pPr>
        <w:widowControl/>
        <w:tabs>
          <w:tab w:val="left" w:pos="7635"/>
        </w:tabs>
        <w:jc w:val="both"/>
        <w:rPr>
          <w:rFonts w:ascii="Arial" w:hAnsi="Arial" w:cs="Arial"/>
          <w:b/>
          <w:sz w:val="26"/>
          <w:szCs w:val="26"/>
        </w:rPr>
      </w:pPr>
      <w:r w:rsidRPr="00F45A1F">
        <w:rPr>
          <w:rFonts w:ascii="Arial" w:hAnsi="Arial" w:cs="Arial"/>
          <w:b/>
          <w:sz w:val="26"/>
          <w:szCs w:val="26"/>
        </w:rPr>
        <w:t>NOTA 6 – CLIENTES</w:t>
      </w:r>
    </w:p>
    <w:p w14:paraId="78C11A4B" w14:textId="77777777" w:rsidR="00E6025D" w:rsidRPr="00F45A1F" w:rsidRDefault="00E6025D" w:rsidP="005144E2">
      <w:pPr>
        <w:widowControl/>
        <w:tabs>
          <w:tab w:val="left" w:pos="7635"/>
        </w:tabs>
        <w:jc w:val="both"/>
        <w:rPr>
          <w:rFonts w:ascii="Arial" w:hAnsi="Arial" w:cs="Arial"/>
          <w:b/>
        </w:rPr>
      </w:pPr>
    </w:p>
    <w:p w14:paraId="231AA69C" w14:textId="77777777" w:rsidR="00283239" w:rsidRPr="00F45A1F" w:rsidRDefault="00404C00" w:rsidP="005144E2">
      <w:pPr>
        <w:widowControl/>
        <w:tabs>
          <w:tab w:val="left" w:pos="7635"/>
        </w:tabs>
        <w:jc w:val="both"/>
        <w:rPr>
          <w:rFonts w:ascii="Arial" w:hAnsi="Arial" w:cs="Arial"/>
          <w:b/>
        </w:rPr>
      </w:pPr>
      <w:r w:rsidRPr="00F45A1F">
        <w:rPr>
          <w:noProof/>
        </w:rPr>
        <w:drawing>
          <wp:inline distT="0" distB="0" distL="0" distR="0" wp14:anchorId="3434D48F" wp14:editId="69CB353C">
            <wp:extent cx="5457825" cy="2009775"/>
            <wp:effectExtent l="0" t="0" r="9525" b="9525"/>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57825" cy="2009775"/>
                    </a:xfrm>
                    <a:prstGeom prst="rect">
                      <a:avLst/>
                    </a:prstGeom>
                    <a:noFill/>
                    <a:ln>
                      <a:noFill/>
                    </a:ln>
                  </pic:spPr>
                </pic:pic>
              </a:graphicData>
            </a:graphic>
          </wp:inline>
        </w:drawing>
      </w:r>
    </w:p>
    <w:p w14:paraId="50766FC9" w14:textId="77777777" w:rsidR="00283239" w:rsidRPr="00F45A1F" w:rsidRDefault="00283239" w:rsidP="005144E2">
      <w:pPr>
        <w:widowControl/>
        <w:tabs>
          <w:tab w:val="left" w:pos="7635"/>
        </w:tabs>
        <w:jc w:val="both"/>
        <w:rPr>
          <w:rFonts w:ascii="Arial" w:hAnsi="Arial" w:cs="Arial"/>
          <w:b/>
        </w:rPr>
      </w:pPr>
    </w:p>
    <w:p w14:paraId="6AAB45F0" w14:textId="77777777" w:rsidR="00F722BD" w:rsidRPr="00F45A1F" w:rsidRDefault="00D051E7" w:rsidP="005144E2">
      <w:pPr>
        <w:pStyle w:val="PargrafodaLista"/>
        <w:widowControl/>
        <w:numPr>
          <w:ilvl w:val="0"/>
          <w:numId w:val="9"/>
        </w:numPr>
        <w:ind w:left="426" w:hanging="426"/>
        <w:jc w:val="both"/>
        <w:rPr>
          <w:rFonts w:ascii="Arial" w:hAnsi="Arial" w:cs="Arial"/>
          <w:lang w:eastAsia="en-GB"/>
        </w:rPr>
      </w:pPr>
      <w:r w:rsidRPr="00F45A1F">
        <w:rPr>
          <w:rFonts w:ascii="Arial" w:hAnsi="Arial" w:cs="Arial"/>
        </w:rPr>
        <w:t>O faturamento da Companhia é realizado, mensalmente, com base na Resolução Normativa nº 530, editada em 21 de dezembro de 2012, pela A</w:t>
      </w:r>
      <w:r w:rsidR="00E6025D" w:rsidRPr="00F45A1F">
        <w:rPr>
          <w:rFonts w:ascii="Arial" w:hAnsi="Arial" w:cs="Arial"/>
        </w:rPr>
        <w:t>neel</w:t>
      </w:r>
      <w:r w:rsidRPr="00F45A1F">
        <w:rPr>
          <w:rFonts w:ascii="Arial" w:hAnsi="Arial" w:cs="Arial"/>
        </w:rPr>
        <w:t xml:space="preserve">, para todas as concessionárias, permissionárias ou autorizadas de serviço público de distribuição no Sistema Interligado Nacional – SIN. </w:t>
      </w:r>
      <w:r w:rsidR="00FC2DBC" w:rsidRPr="00F45A1F">
        <w:rPr>
          <w:rFonts w:ascii="Arial" w:hAnsi="Arial" w:cs="Arial"/>
        </w:rPr>
        <w:t xml:space="preserve">Em </w:t>
      </w:r>
      <w:r w:rsidR="00123EF5" w:rsidRPr="00F45A1F">
        <w:rPr>
          <w:rFonts w:ascii="Arial" w:hAnsi="Arial" w:cs="Arial"/>
        </w:rPr>
        <w:t>3</w:t>
      </w:r>
      <w:r w:rsidR="00F63FAE" w:rsidRPr="00F45A1F">
        <w:rPr>
          <w:rFonts w:ascii="Arial" w:hAnsi="Arial" w:cs="Arial"/>
        </w:rPr>
        <w:t>1</w:t>
      </w:r>
      <w:r w:rsidR="00123EF5" w:rsidRPr="00F45A1F">
        <w:rPr>
          <w:rFonts w:ascii="Arial" w:hAnsi="Arial" w:cs="Arial"/>
        </w:rPr>
        <w:t xml:space="preserve"> de</w:t>
      </w:r>
      <w:r w:rsidR="00D91E94" w:rsidRPr="00F45A1F">
        <w:rPr>
          <w:rFonts w:ascii="Arial" w:hAnsi="Arial" w:cs="Arial"/>
        </w:rPr>
        <w:t xml:space="preserve"> março de 2020</w:t>
      </w:r>
      <w:r w:rsidR="00FC2DBC" w:rsidRPr="00F45A1F">
        <w:rPr>
          <w:rFonts w:ascii="Arial" w:hAnsi="Arial" w:cs="Arial"/>
        </w:rPr>
        <w:t>,</w:t>
      </w:r>
      <w:r w:rsidR="006E13A5" w:rsidRPr="00F45A1F">
        <w:rPr>
          <w:rFonts w:ascii="Arial" w:hAnsi="Arial" w:cs="Arial"/>
        </w:rPr>
        <w:t xml:space="preserve"> não </w:t>
      </w:r>
      <w:r w:rsidR="00062A22" w:rsidRPr="00F45A1F">
        <w:rPr>
          <w:rFonts w:ascii="Arial" w:hAnsi="Arial" w:cs="Arial"/>
        </w:rPr>
        <w:t>há histórico</w:t>
      </w:r>
      <w:r w:rsidR="00383229" w:rsidRPr="00F45A1F">
        <w:rPr>
          <w:rFonts w:ascii="Arial" w:hAnsi="Arial" w:cs="Arial"/>
        </w:rPr>
        <w:t xml:space="preserve"> de inadimplência, razão pela qual não foi constituída</w:t>
      </w:r>
      <w:r w:rsidR="00E6025D" w:rsidRPr="00F45A1F">
        <w:rPr>
          <w:rFonts w:ascii="Arial" w:hAnsi="Arial" w:cs="Arial"/>
        </w:rPr>
        <w:t xml:space="preserve"> Provisão </w:t>
      </w:r>
      <w:r w:rsidR="00987D04" w:rsidRPr="00F45A1F">
        <w:rPr>
          <w:rFonts w:ascii="Arial" w:hAnsi="Arial" w:cs="Arial"/>
        </w:rPr>
        <w:t>para</w:t>
      </w:r>
      <w:r w:rsidR="00E6025D" w:rsidRPr="00F45A1F">
        <w:rPr>
          <w:rFonts w:ascii="Arial" w:hAnsi="Arial" w:cs="Arial"/>
        </w:rPr>
        <w:t xml:space="preserve"> Créditos </w:t>
      </w:r>
      <w:r w:rsidR="00987D04" w:rsidRPr="00F45A1F">
        <w:rPr>
          <w:rFonts w:ascii="Arial" w:hAnsi="Arial" w:cs="Arial"/>
        </w:rPr>
        <w:t>de</w:t>
      </w:r>
      <w:r w:rsidR="00E6025D" w:rsidRPr="00F45A1F">
        <w:rPr>
          <w:rFonts w:ascii="Arial" w:hAnsi="Arial" w:cs="Arial"/>
        </w:rPr>
        <w:t xml:space="preserve"> Liquidação Duvidosa -</w:t>
      </w:r>
      <w:r w:rsidR="00383229" w:rsidRPr="00F45A1F">
        <w:rPr>
          <w:rFonts w:ascii="Arial" w:hAnsi="Arial" w:cs="Arial"/>
        </w:rPr>
        <w:t xml:space="preserve"> PCLD.</w:t>
      </w:r>
    </w:p>
    <w:p w14:paraId="47A6F2CF" w14:textId="77777777" w:rsidR="00515D44" w:rsidRPr="00F45A1F" w:rsidRDefault="00515D44" w:rsidP="00515D44">
      <w:pPr>
        <w:widowControl/>
        <w:jc w:val="both"/>
        <w:rPr>
          <w:rFonts w:ascii="Arial" w:hAnsi="Arial" w:cs="Arial"/>
          <w:lang w:eastAsia="en-GB"/>
        </w:rPr>
      </w:pPr>
    </w:p>
    <w:p w14:paraId="6ABDDB3E" w14:textId="77777777" w:rsidR="00F722BD" w:rsidRPr="00F45A1F" w:rsidRDefault="00AB6BB7" w:rsidP="005144E2">
      <w:pPr>
        <w:pStyle w:val="PargrafodaLista"/>
        <w:numPr>
          <w:ilvl w:val="0"/>
          <w:numId w:val="9"/>
        </w:numPr>
        <w:ind w:left="425" w:hanging="425"/>
        <w:jc w:val="both"/>
        <w:rPr>
          <w:rFonts w:ascii="Arial" w:hAnsi="Arial" w:cs="Arial"/>
          <w:lang w:eastAsia="en-GB"/>
        </w:rPr>
      </w:pPr>
      <w:r w:rsidRPr="00F45A1F">
        <w:rPr>
          <w:rFonts w:ascii="Arial" w:hAnsi="Arial" w:cs="Arial"/>
          <w:lang w:eastAsia="en-GB"/>
        </w:rPr>
        <w:t xml:space="preserve">Em </w:t>
      </w:r>
      <w:r w:rsidR="00FC2DBC" w:rsidRPr="00F45A1F">
        <w:rPr>
          <w:rFonts w:ascii="Arial" w:hAnsi="Arial" w:cs="Arial"/>
          <w:lang w:eastAsia="en-GB"/>
        </w:rPr>
        <w:t>3</w:t>
      </w:r>
      <w:r w:rsidR="00BA1862" w:rsidRPr="00F45A1F">
        <w:rPr>
          <w:rFonts w:ascii="Arial" w:hAnsi="Arial" w:cs="Arial"/>
          <w:lang w:eastAsia="en-GB"/>
        </w:rPr>
        <w:t>1</w:t>
      </w:r>
      <w:r w:rsidR="0070226C" w:rsidRPr="00F45A1F">
        <w:rPr>
          <w:rFonts w:ascii="Arial" w:hAnsi="Arial" w:cs="Arial"/>
          <w:lang w:eastAsia="en-GB"/>
        </w:rPr>
        <w:t xml:space="preserve"> de </w:t>
      </w:r>
      <w:r w:rsidR="00D91E94" w:rsidRPr="00F45A1F">
        <w:rPr>
          <w:rFonts w:ascii="Arial" w:hAnsi="Arial" w:cs="Arial"/>
          <w:lang w:eastAsia="en-GB"/>
        </w:rPr>
        <w:t xml:space="preserve">março </w:t>
      </w:r>
      <w:r w:rsidR="0070226C" w:rsidRPr="00F45A1F">
        <w:rPr>
          <w:rFonts w:ascii="Arial" w:hAnsi="Arial" w:cs="Arial"/>
          <w:lang w:eastAsia="en-GB"/>
        </w:rPr>
        <w:t>de</w:t>
      </w:r>
      <w:r w:rsidR="00F722BD" w:rsidRPr="00F45A1F">
        <w:rPr>
          <w:rFonts w:ascii="Arial" w:hAnsi="Arial" w:cs="Arial"/>
          <w:lang w:eastAsia="en-GB"/>
        </w:rPr>
        <w:t xml:space="preserve"> 20</w:t>
      </w:r>
      <w:r w:rsidR="00D91E94" w:rsidRPr="00F45A1F">
        <w:rPr>
          <w:rFonts w:ascii="Arial" w:hAnsi="Arial" w:cs="Arial"/>
          <w:lang w:eastAsia="en-GB"/>
        </w:rPr>
        <w:t>20</w:t>
      </w:r>
      <w:r w:rsidR="00F722BD" w:rsidRPr="00F45A1F">
        <w:rPr>
          <w:rFonts w:ascii="Arial" w:hAnsi="Arial" w:cs="Arial"/>
          <w:lang w:eastAsia="en-GB"/>
        </w:rPr>
        <w:t>, o saldo a receber das distribuidoras participantes do Sistema Interligado Nacional – SIN, referente a</w:t>
      </w:r>
      <w:r w:rsidR="00CE4716" w:rsidRPr="00F45A1F">
        <w:rPr>
          <w:rFonts w:ascii="Arial" w:hAnsi="Arial" w:cs="Arial"/>
          <w:lang w:eastAsia="en-GB"/>
        </w:rPr>
        <w:t xml:space="preserve">o desvio positivo apurado no exercício de </w:t>
      </w:r>
      <w:r w:rsidR="00A94B56" w:rsidRPr="00F45A1F">
        <w:rPr>
          <w:rFonts w:ascii="Arial" w:hAnsi="Arial" w:cs="Arial"/>
          <w:lang w:eastAsia="en-GB"/>
        </w:rPr>
        <w:t>201</w:t>
      </w:r>
      <w:r w:rsidR="00D91E94" w:rsidRPr="00F45A1F">
        <w:rPr>
          <w:rFonts w:ascii="Arial" w:hAnsi="Arial" w:cs="Arial"/>
          <w:lang w:eastAsia="en-GB"/>
        </w:rPr>
        <w:t>9</w:t>
      </w:r>
      <w:r w:rsidR="00C06C3C" w:rsidRPr="00F45A1F">
        <w:rPr>
          <w:rFonts w:ascii="Arial" w:hAnsi="Arial" w:cs="Arial"/>
          <w:lang w:eastAsia="en-GB"/>
        </w:rPr>
        <w:t>,</w:t>
      </w:r>
      <w:r w:rsidR="00CE4716" w:rsidRPr="00F45A1F">
        <w:rPr>
          <w:rFonts w:ascii="Arial" w:hAnsi="Arial" w:cs="Arial"/>
          <w:lang w:eastAsia="en-GB"/>
        </w:rPr>
        <w:t xml:space="preserve"> foi</w:t>
      </w:r>
      <w:r w:rsidR="00C06C3C" w:rsidRPr="00F45A1F">
        <w:rPr>
          <w:rFonts w:ascii="Arial" w:hAnsi="Arial" w:cs="Arial"/>
          <w:lang w:eastAsia="en-GB"/>
        </w:rPr>
        <w:t xml:space="preserve"> de</w:t>
      </w:r>
      <w:r w:rsidR="00D91E94" w:rsidRPr="00F45A1F">
        <w:rPr>
          <w:rFonts w:ascii="Arial" w:hAnsi="Arial" w:cs="Arial"/>
          <w:lang w:eastAsia="en-GB"/>
        </w:rPr>
        <w:t xml:space="preserve"> </w:t>
      </w:r>
      <w:r w:rsidR="00C67CA4" w:rsidRPr="00F45A1F">
        <w:rPr>
          <w:rFonts w:ascii="Arial" w:hAnsi="Arial" w:cs="Arial"/>
          <w:lang w:eastAsia="en-GB"/>
        </w:rPr>
        <w:t xml:space="preserve">R$ </w:t>
      </w:r>
      <w:r w:rsidR="00515D44" w:rsidRPr="00F45A1F">
        <w:rPr>
          <w:rFonts w:ascii="Arial" w:hAnsi="Arial" w:cs="Arial"/>
          <w:lang w:eastAsia="en-GB"/>
        </w:rPr>
        <w:t>91.870.</w:t>
      </w:r>
    </w:p>
    <w:p w14:paraId="1090D6E2" w14:textId="77777777" w:rsidR="00D051E7" w:rsidRPr="00F45A1F" w:rsidRDefault="00D051E7" w:rsidP="00161C85">
      <w:pPr>
        <w:pStyle w:val="PargrafodaLista"/>
        <w:jc w:val="both"/>
        <w:rPr>
          <w:rFonts w:ascii="Arial" w:hAnsi="Arial" w:cs="Arial"/>
          <w:lang w:eastAsia="en-GB"/>
        </w:rPr>
      </w:pPr>
    </w:p>
    <w:p w14:paraId="7DA01A10" w14:textId="77777777" w:rsidR="006277A2" w:rsidRPr="00F45A1F" w:rsidRDefault="006277A2" w:rsidP="005144E2">
      <w:pPr>
        <w:pStyle w:val="PargrafodaLista"/>
        <w:rPr>
          <w:rFonts w:ascii="Arial" w:hAnsi="Arial" w:cs="Arial"/>
          <w:lang w:eastAsia="en-GB"/>
        </w:rPr>
      </w:pPr>
    </w:p>
    <w:p w14:paraId="0214E488" w14:textId="77777777" w:rsidR="00515D44" w:rsidRPr="00F45A1F" w:rsidRDefault="003F4719" w:rsidP="005144E2">
      <w:pPr>
        <w:jc w:val="both"/>
        <w:rPr>
          <w:rFonts w:ascii="Arial" w:hAnsi="Arial" w:cs="Arial"/>
          <w:b/>
          <w:sz w:val="26"/>
          <w:szCs w:val="26"/>
        </w:rPr>
      </w:pPr>
      <w:r w:rsidRPr="00F45A1F">
        <w:rPr>
          <w:rFonts w:ascii="Arial" w:hAnsi="Arial" w:cs="Arial"/>
          <w:b/>
          <w:sz w:val="26"/>
          <w:szCs w:val="26"/>
        </w:rPr>
        <w:t>NOTA 7 – IMPOSTOS E CONTRIBUIÇÕES SOCIAIS – ATIVO</w:t>
      </w:r>
    </w:p>
    <w:p w14:paraId="768FEDAD" w14:textId="77777777" w:rsidR="00515D44" w:rsidRPr="00F45A1F" w:rsidRDefault="00515D44" w:rsidP="005144E2">
      <w:pPr>
        <w:jc w:val="both"/>
        <w:rPr>
          <w:rFonts w:ascii="Arial" w:hAnsi="Arial" w:cs="Arial"/>
          <w:b/>
          <w:sz w:val="26"/>
          <w:szCs w:val="26"/>
        </w:rPr>
      </w:pPr>
    </w:p>
    <w:p w14:paraId="0A9DEF81" w14:textId="77777777" w:rsidR="00515D44" w:rsidRPr="00F45A1F" w:rsidRDefault="00515D44" w:rsidP="005144E2">
      <w:pPr>
        <w:jc w:val="both"/>
        <w:rPr>
          <w:rFonts w:ascii="Arial" w:hAnsi="Arial" w:cs="Arial"/>
          <w:b/>
          <w:sz w:val="26"/>
          <w:szCs w:val="26"/>
        </w:rPr>
      </w:pPr>
    </w:p>
    <w:p w14:paraId="67F9D066" w14:textId="77777777" w:rsidR="004F5BEE" w:rsidRPr="00F45A1F" w:rsidRDefault="00131B78" w:rsidP="005144E2">
      <w:pPr>
        <w:jc w:val="both"/>
        <w:rPr>
          <w:rFonts w:ascii="Arial" w:hAnsi="Arial" w:cs="Arial"/>
          <w:b/>
        </w:rPr>
      </w:pPr>
      <w:r w:rsidRPr="006B7C7F">
        <w:rPr>
          <w:noProof/>
        </w:rPr>
        <w:drawing>
          <wp:inline distT="0" distB="0" distL="0" distR="0" wp14:anchorId="33C61CFC" wp14:editId="5252AF63">
            <wp:extent cx="5267325" cy="2781300"/>
            <wp:effectExtent l="0" t="0" r="9525" b="0"/>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7325" cy="2781300"/>
                    </a:xfrm>
                    <a:prstGeom prst="rect">
                      <a:avLst/>
                    </a:prstGeom>
                    <a:noFill/>
                    <a:ln>
                      <a:noFill/>
                    </a:ln>
                  </pic:spPr>
                </pic:pic>
              </a:graphicData>
            </a:graphic>
          </wp:inline>
        </w:drawing>
      </w:r>
    </w:p>
    <w:p w14:paraId="01386DBA" w14:textId="77777777" w:rsidR="003F4719" w:rsidRPr="00F45A1F" w:rsidRDefault="003F4719" w:rsidP="005144E2">
      <w:pPr>
        <w:keepNext/>
        <w:widowControl/>
        <w:jc w:val="both"/>
        <w:outlineLvl w:val="3"/>
        <w:rPr>
          <w:rFonts w:ascii="Arial" w:hAnsi="Arial" w:cs="Arial"/>
          <w:b/>
          <w:sz w:val="26"/>
          <w:szCs w:val="26"/>
        </w:rPr>
      </w:pPr>
      <w:r w:rsidRPr="00F45A1F">
        <w:rPr>
          <w:rFonts w:ascii="Arial" w:hAnsi="Arial" w:cs="Arial"/>
          <w:b/>
          <w:sz w:val="26"/>
          <w:szCs w:val="26"/>
        </w:rPr>
        <w:t xml:space="preserve">NOTA 8 - ESTOQUE DE COMBUSTÍVEL NUCLEAR </w:t>
      </w:r>
    </w:p>
    <w:p w14:paraId="6F19DD64" w14:textId="77777777" w:rsidR="000329BB" w:rsidRPr="00F45A1F" w:rsidRDefault="000329BB" w:rsidP="005144E2">
      <w:pPr>
        <w:jc w:val="both"/>
        <w:rPr>
          <w:rFonts w:ascii="Arial" w:hAnsi="Arial" w:cs="Arial"/>
          <w:b/>
          <w:snapToGrid w:val="0"/>
        </w:rPr>
      </w:pPr>
    </w:p>
    <w:p w14:paraId="4E4F48AD" w14:textId="77777777" w:rsidR="003F4719" w:rsidRPr="00F45A1F" w:rsidRDefault="003F4719" w:rsidP="005144E2">
      <w:pPr>
        <w:jc w:val="both"/>
        <w:rPr>
          <w:rFonts w:ascii="Arial" w:hAnsi="Arial" w:cs="Arial"/>
          <w:snapToGrid w:val="0"/>
        </w:rPr>
      </w:pPr>
      <w:r w:rsidRPr="00F45A1F">
        <w:rPr>
          <w:rFonts w:ascii="Arial" w:hAnsi="Arial" w:cs="Arial"/>
          <w:snapToGrid w:val="0"/>
        </w:rPr>
        <w:t>O com</w:t>
      </w:r>
      <w:r w:rsidR="00782DCE" w:rsidRPr="00F45A1F">
        <w:rPr>
          <w:rFonts w:ascii="Arial" w:hAnsi="Arial" w:cs="Arial"/>
          <w:snapToGrid w:val="0"/>
        </w:rPr>
        <w:t>bustível nuclear utilizado nas U</w:t>
      </w:r>
      <w:r w:rsidRPr="00F45A1F">
        <w:rPr>
          <w:rFonts w:ascii="Arial" w:hAnsi="Arial" w:cs="Arial"/>
          <w:snapToGrid w:val="0"/>
        </w:rPr>
        <w:t xml:space="preserve">sinas nucleares Angra 1 e Angra 2 é constituído de elementos fabricados com componentes metálicos e pastilhas de urânio em seu interior. </w:t>
      </w:r>
    </w:p>
    <w:p w14:paraId="52A3FEB8" w14:textId="77777777" w:rsidR="003F4719" w:rsidRPr="00F45A1F" w:rsidRDefault="003F4719" w:rsidP="005144E2">
      <w:pPr>
        <w:widowControl/>
        <w:jc w:val="both"/>
        <w:rPr>
          <w:rFonts w:ascii="Arial" w:hAnsi="Arial" w:cs="Arial"/>
          <w:snapToGrid w:val="0"/>
        </w:rPr>
      </w:pPr>
    </w:p>
    <w:p w14:paraId="786FCBEE" w14:textId="77777777" w:rsidR="003F4719" w:rsidRPr="00F45A1F" w:rsidRDefault="003F4719" w:rsidP="005144E2">
      <w:pPr>
        <w:widowControl/>
        <w:jc w:val="both"/>
        <w:rPr>
          <w:rFonts w:ascii="Arial" w:hAnsi="Arial" w:cs="Arial"/>
          <w:snapToGrid w:val="0"/>
        </w:rPr>
      </w:pPr>
      <w:r w:rsidRPr="00F45A1F">
        <w:rPr>
          <w:rFonts w:ascii="Arial" w:hAnsi="Arial" w:cs="Arial"/>
          <w:snapToGrid w:val="0"/>
        </w:rPr>
        <w:t xml:space="preserve">Na sua etapa inicial de formação, são adquiridos o minério de urânio e os serviços necessários </w:t>
      </w:r>
      <w:r w:rsidR="008A6C8C" w:rsidRPr="00F45A1F">
        <w:rPr>
          <w:rFonts w:ascii="Arial" w:hAnsi="Arial" w:cs="Arial"/>
          <w:snapToGrid w:val="0"/>
        </w:rPr>
        <w:t>à</w:t>
      </w:r>
      <w:r w:rsidRPr="00F45A1F">
        <w:rPr>
          <w:rFonts w:ascii="Arial" w:hAnsi="Arial" w:cs="Arial"/>
          <w:snapToGrid w:val="0"/>
        </w:rPr>
        <w:t xml:space="preserve"> sua fabricação, e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73EF69A9" w14:textId="77777777" w:rsidR="00F62FC9" w:rsidRPr="00F45A1F" w:rsidRDefault="00F62FC9" w:rsidP="005144E2">
      <w:pPr>
        <w:widowControl/>
        <w:jc w:val="both"/>
        <w:rPr>
          <w:rFonts w:ascii="Arial" w:hAnsi="Arial" w:cs="Arial"/>
          <w:snapToGrid w:val="0"/>
        </w:rPr>
      </w:pPr>
    </w:p>
    <w:p w14:paraId="42B57081" w14:textId="77777777" w:rsidR="003F4719" w:rsidRDefault="003F4719" w:rsidP="005144E2">
      <w:pPr>
        <w:jc w:val="both"/>
        <w:rPr>
          <w:rFonts w:ascii="Arial" w:hAnsi="Arial" w:cs="Arial"/>
          <w:snapToGrid w:val="0"/>
        </w:rPr>
      </w:pPr>
      <w:r w:rsidRPr="00F45A1F">
        <w:rPr>
          <w:rFonts w:ascii="Arial" w:hAnsi="Arial" w:cs="Arial"/>
          <w:snapToGrid w:val="0"/>
        </w:rPr>
        <w:t>A amortização do combustível nuclear ocorre pela perda do potencial de energia térmica dos elementos, que proporciona a geração de energia elétrica. A amortização não é linear, não havendo geração de energia, não há amortização.</w:t>
      </w:r>
    </w:p>
    <w:p w14:paraId="3A29E9B1" w14:textId="77777777" w:rsidR="00FB7D94" w:rsidRPr="00F45A1F" w:rsidRDefault="00FB7D94" w:rsidP="005144E2">
      <w:pPr>
        <w:jc w:val="both"/>
        <w:rPr>
          <w:rFonts w:ascii="Arial" w:hAnsi="Arial" w:cs="Arial"/>
          <w:snapToGrid w:val="0"/>
        </w:rPr>
      </w:pPr>
    </w:p>
    <w:p w14:paraId="45A9E54C" w14:textId="3DD36365" w:rsidR="00201BD4" w:rsidRPr="00F45A1F" w:rsidRDefault="00A82EDC" w:rsidP="005144E2">
      <w:pPr>
        <w:jc w:val="both"/>
        <w:rPr>
          <w:rFonts w:ascii="Arial" w:hAnsi="Arial" w:cs="Arial"/>
          <w:snapToGrid w:val="0"/>
        </w:rPr>
      </w:pPr>
      <w:r w:rsidRPr="00A82EDC">
        <w:rPr>
          <w:noProof/>
        </w:rPr>
        <w:drawing>
          <wp:inline distT="0" distB="0" distL="0" distR="0" wp14:anchorId="4D19D2A3" wp14:editId="60647A31">
            <wp:extent cx="3867150" cy="2305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67150" cy="2305050"/>
                    </a:xfrm>
                    <a:prstGeom prst="rect">
                      <a:avLst/>
                    </a:prstGeom>
                    <a:noFill/>
                    <a:ln>
                      <a:noFill/>
                    </a:ln>
                  </pic:spPr>
                </pic:pic>
              </a:graphicData>
            </a:graphic>
          </wp:inline>
        </w:drawing>
      </w:r>
    </w:p>
    <w:p w14:paraId="10AA516A" w14:textId="1C170510" w:rsidR="00DE6150" w:rsidRPr="00C110ED" w:rsidRDefault="00DE6150" w:rsidP="005144E2">
      <w:pPr>
        <w:jc w:val="both"/>
        <w:rPr>
          <w:rFonts w:ascii="Arial" w:hAnsi="Arial" w:cs="Arial"/>
          <w:snapToGrid w:val="0"/>
        </w:rPr>
      </w:pPr>
    </w:p>
    <w:p w14:paraId="7102156A" w14:textId="77777777" w:rsidR="00DE6150" w:rsidRPr="00F45A1F" w:rsidRDefault="00DE6150" w:rsidP="005144E2">
      <w:pPr>
        <w:jc w:val="both"/>
        <w:rPr>
          <w:rFonts w:ascii="Arial" w:hAnsi="Arial" w:cs="Arial"/>
          <w:b/>
          <w:snapToGrid w:val="0"/>
          <w:sz w:val="16"/>
          <w:szCs w:val="16"/>
        </w:rPr>
      </w:pPr>
      <w:r w:rsidRPr="00F45A1F">
        <w:rPr>
          <w:rFonts w:ascii="Arial" w:hAnsi="Arial" w:cs="Arial"/>
          <w:snapToGrid w:val="0"/>
        </w:rPr>
        <w:t>A movimentação do estoque de combustível nuclear está apresentada a seguir:</w:t>
      </w:r>
    </w:p>
    <w:p w14:paraId="77FC6F67" w14:textId="77777777" w:rsidR="00DE6150" w:rsidRPr="00F45A1F" w:rsidRDefault="00DE6150" w:rsidP="005144E2">
      <w:pPr>
        <w:jc w:val="both"/>
        <w:rPr>
          <w:rFonts w:ascii="Arial" w:hAnsi="Arial" w:cs="Arial"/>
          <w:b/>
          <w:snapToGrid w:val="0"/>
          <w:sz w:val="16"/>
          <w:szCs w:val="16"/>
        </w:rPr>
      </w:pPr>
    </w:p>
    <w:p w14:paraId="2A4AB1D7" w14:textId="05EAFF2F" w:rsidR="00CA7E43" w:rsidRPr="00F45A1F" w:rsidRDefault="00A82EDC" w:rsidP="005144E2">
      <w:pPr>
        <w:jc w:val="both"/>
        <w:rPr>
          <w:rFonts w:ascii="Arial" w:hAnsi="Arial" w:cs="Arial"/>
          <w:b/>
          <w:snapToGrid w:val="0"/>
        </w:rPr>
      </w:pPr>
      <w:r w:rsidRPr="00A82EDC">
        <w:rPr>
          <w:noProof/>
        </w:rPr>
        <w:drawing>
          <wp:inline distT="0" distB="0" distL="0" distR="0" wp14:anchorId="411C1C21" wp14:editId="00D653B2">
            <wp:extent cx="5314950" cy="21240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4950" cy="2124075"/>
                    </a:xfrm>
                    <a:prstGeom prst="rect">
                      <a:avLst/>
                    </a:prstGeom>
                    <a:noFill/>
                    <a:ln>
                      <a:noFill/>
                    </a:ln>
                  </pic:spPr>
                </pic:pic>
              </a:graphicData>
            </a:graphic>
          </wp:inline>
        </w:drawing>
      </w:r>
    </w:p>
    <w:p w14:paraId="0E953C7B" w14:textId="77777777" w:rsidR="00244DB4" w:rsidRPr="00F45A1F" w:rsidRDefault="00244DB4" w:rsidP="005144E2">
      <w:pPr>
        <w:jc w:val="both"/>
        <w:rPr>
          <w:rFonts w:ascii="Arial" w:hAnsi="Arial" w:cs="Arial"/>
          <w:b/>
          <w:snapToGrid w:val="0"/>
        </w:rPr>
      </w:pPr>
    </w:p>
    <w:p w14:paraId="0E3DF714" w14:textId="0024B3A6" w:rsidR="00EF2941" w:rsidRPr="00F45A1F" w:rsidRDefault="005C4DE8" w:rsidP="005144E2">
      <w:pPr>
        <w:jc w:val="both"/>
        <w:rPr>
          <w:rFonts w:ascii="Arial" w:hAnsi="Arial" w:cs="Arial"/>
          <w:b/>
          <w:snapToGrid w:val="0"/>
        </w:rPr>
      </w:pPr>
      <w:r w:rsidRPr="005C4DE8">
        <w:rPr>
          <w:noProof/>
        </w:rPr>
        <w:drawing>
          <wp:inline distT="0" distB="0" distL="0" distR="0" wp14:anchorId="4511B108" wp14:editId="60B4E70B">
            <wp:extent cx="6073140" cy="1690656"/>
            <wp:effectExtent l="0" t="0" r="3810" b="508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3140" cy="1690656"/>
                    </a:xfrm>
                    <a:prstGeom prst="rect">
                      <a:avLst/>
                    </a:prstGeom>
                    <a:noFill/>
                    <a:ln>
                      <a:noFill/>
                    </a:ln>
                  </pic:spPr>
                </pic:pic>
              </a:graphicData>
            </a:graphic>
          </wp:inline>
        </w:drawing>
      </w:r>
    </w:p>
    <w:p w14:paraId="7A3C7D2C" w14:textId="77777777" w:rsidR="00161C85" w:rsidRPr="00F45A1F" w:rsidRDefault="00161C85" w:rsidP="005144E2">
      <w:pPr>
        <w:jc w:val="both"/>
        <w:rPr>
          <w:rFonts w:ascii="Arial" w:hAnsi="Arial" w:cs="Arial"/>
          <w:b/>
          <w:snapToGrid w:val="0"/>
        </w:rPr>
      </w:pPr>
    </w:p>
    <w:p w14:paraId="7D9B090D" w14:textId="77777777" w:rsidR="000329BB" w:rsidRPr="00F45A1F" w:rsidRDefault="000329BB" w:rsidP="005144E2">
      <w:pPr>
        <w:jc w:val="both"/>
        <w:rPr>
          <w:rFonts w:ascii="Arial" w:hAnsi="Arial" w:cs="Arial"/>
          <w:b/>
          <w:snapToGrid w:val="0"/>
        </w:rPr>
      </w:pPr>
    </w:p>
    <w:p w14:paraId="3FB73288" w14:textId="77777777" w:rsidR="003F4719" w:rsidRPr="00F45A1F" w:rsidRDefault="003F4719" w:rsidP="00CE167E">
      <w:pPr>
        <w:keepNext/>
        <w:widowControl/>
        <w:jc w:val="both"/>
        <w:outlineLvl w:val="3"/>
        <w:rPr>
          <w:rFonts w:ascii="Arial" w:hAnsi="Arial" w:cs="Arial"/>
          <w:b/>
          <w:snapToGrid w:val="0"/>
          <w:sz w:val="26"/>
          <w:szCs w:val="26"/>
        </w:rPr>
      </w:pPr>
      <w:r w:rsidRPr="00F45A1F">
        <w:rPr>
          <w:rFonts w:ascii="Arial" w:hAnsi="Arial" w:cs="Arial"/>
          <w:b/>
          <w:snapToGrid w:val="0"/>
          <w:sz w:val="26"/>
          <w:szCs w:val="26"/>
        </w:rPr>
        <w:t>NOTA 9</w:t>
      </w:r>
      <w:r w:rsidR="00CE167E" w:rsidRPr="00F45A1F">
        <w:rPr>
          <w:rFonts w:ascii="Arial" w:hAnsi="Arial" w:cs="Arial"/>
          <w:b/>
          <w:snapToGrid w:val="0"/>
          <w:sz w:val="26"/>
          <w:szCs w:val="26"/>
        </w:rPr>
        <w:t xml:space="preserve"> </w:t>
      </w:r>
      <w:r w:rsidRPr="00F45A1F">
        <w:rPr>
          <w:rFonts w:ascii="Arial" w:hAnsi="Arial" w:cs="Arial"/>
          <w:b/>
          <w:snapToGrid w:val="0"/>
          <w:sz w:val="26"/>
          <w:szCs w:val="26"/>
        </w:rPr>
        <w:t>– ALMOXARIFADO</w:t>
      </w:r>
    </w:p>
    <w:p w14:paraId="721A5A27" w14:textId="77777777" w:rsidR="00D33680" w:rsidRPr="00F45A1F" w:rsidRDefault="00D33680" w:rsidP="005144E2">
      <w:pPr>
        <w:jc w:val="both"/>
        <w:rPr>
          <w:rFonts w:ascii="Arial" w:hAnsi="Arial" w:cs="Arial"/>
        </w:rPr>
      </w:pPr>
    </w:p>
    <w:p w14:paraId="780186B2" w14:textId="77777777" w:rsidR="00811F73" w:rsidRPr="00F45A1F" w:rsidRDefault="00811F73" w:rsidP="005144E2">
      <w:pPr>
        <w:jc w:val="both"/>
        <w:rPr>
          <w:rFonts w:ascii="Arial" w:hAnsi="Arial" w:cs="Arial"/>
        </w:rPr>
      </w:pPr>
    </w:p>
    <w:p w14:paraId="6D9956AB" w14:textId="77777777" w:rsidR="003F4719" w:rsidRPr="00F45A1F" w:rsidRDefault="00824BDB" w:rsidP="005144E2">
      <w:pPr>
        <w:jc w:val="both"/>
        <w:rPr>
          <w:rFonts w:ascii="Arial" w:hAnsi="Arial" w:cs="Arial"/>
        </w:rPr>
      </w:pPr>
      <w:r w:rsidRPr="00F45A1F">
        <w:rPr>
          <w:rFonts w:ascii="Arial" w:hAnsi="Arial" w:cs="Arial"/>
        </w:rPr>
        <w:t xml:space="preserve">Em 31 de </w:t>
      </w:r>
      <w:r w:rsidR="005518ED" w:rsidRPr="00F45A1F">
        <w:rPr>
          <w:rFonts w:ascii="Arial" w:hAnsi="Arial" w:cs="Arial"/>
        </w:rPr>
        <w:t>março d</w:t>
      </w:r>
      <w:r w:rsidRPr="00F45A1F">
        <w:rPr>
          <w:rFonts w:ascii="Arial" w:hAnsi="Arial" w:cs="Arial"/>
        </w:rPr>
        <w:t>e 20</w:t>
      </w:r>
      <w:r w:rsidR="005518ED" w:rsidRPr="00F45A1F">
        <w:rPr>
          <w:rFonts w:ascii="Arial" w:hAnsi="Arial" w:cs="Arial"/>
        </w:rPr>
        <w:t>20</w:t>
      </w:r>
      <w:r w:rsidRPr="00F45A1F">
        <w:rPr>
          <w:rFonts w:ascii="Arial" w:hAnsi="Arial" w:cs="Arial"/>
        </w:rPr>
        <w:t>, o</w:t>
      </w:r>
      <w:r w:rsidR="003F4719" w:rsidRPr="00F45A1F">
        <w:rPr>
          <w:rFonts w:ascii="Arial" w:hAnsi="Arial" w:cs="Arial"/>
        </w:rPr>
        <w:t xml:space="preserve"> saldo do almoxarifado é composto por materiais utilizados para consumo</w:t>
      </w:r>
      <w:r w:rsidR="0004058C" w:rsidRPr="00F45A1F">
        <w:rPr>
          <w:rFonts w:ascii="Arial" w:hAnsi="Arial" w:cs="Arial"/>
        </w:rPr>
        <w:t xml:space="preserve"> das usinas</w:t>
      </w:r>
      <w:r w:rsidR="003F4719" w:rsidRPr="00F45A1F">
        <w:rPr>
          <w:rFonts w:ascii="Arial" w:hAnsi="Arial" w:cs="Arial"/>
        </w:rPr>
        <w:t xml:space="preserve">, no montante de R$ </w:t>
      </w:r>
      <w:r w:rsidR="00D328DD" w:rsidRPr="00F45A1F">
        <w:rPr>
          <w:rFonts w:ascii="Arial" w:hAnsi="Arial" w:cs="Arial"/>
        </w:rPr>
        <w:t>80.819</w:t>
      </w:r>
      <w:r w:rsidR="001F7C3B" w:rsidRPr="00F45A1F">
        <w:rPr>
          <w:rFonts w:ascii="Arial" w:hAnsi="Arial" w:cs="Arial"/>
        </w:rPr>
        <w:t xml:space="preserve"> </w:t>
      </w:r>
      <w:r w:rsidR="003F4719" w:rsidRPr="00F45A1F">
        <w:rPr>
          <w:rFonts w:ascii="Arial" w:hAnsi="Arial" w:cs="Arial"/>
        </w:rPr>
        <w:t>(R$</w:t>
      </w:r>
      <w:r w:rsidR="000A70AB" w:rsidRPr="00F45A1F">
        <w:rPr>
          <w:rFonts w:ascii="Arial" w:hAnsi="Arial" w:cs="Arial"/>
        </w:rPr>
        <w:t xml:space="preserve"> </w:t>
      </w:r>
      <w:r w:rsidR="005518ED" w:rsidRPr="00F45A1F">
        <w:rPr>
          <w:rFonts w:ascii="Arial" w:hAnsi="Arial" w:cs="Arial"/>
        </w:rPr>
        <w:t>83</w:t>
      </w:r>
      <w:r w:rsidR="000A70AB" w:rsidRPr="00F45A1F">
        <w:rPr>
          <w:rFonts w:ascii="Arial" w:hAnsi="Arial" w:cs="Arial"/>
        </w:rPr>
        <w:t>.</w:t>
      </w:r>
      <w:r w:rsidR="005518ED" w:rsidRPr="00F45A1F">
        <w:rPr>
          <w:rFonts w:ascii="Arial" w:hAnsi="Arial" w:cs="Arial"/>
        </w:rPr>
        <w:t xml:space="preserve">985 </w:t>
      </w:r>
      <w:r w:rsidR="003F4719" w:rsidRPr="00F45A1F">
        <w:rPr>
          <w:rFonts w:ascii="Arial" w:hAnsi="Arial" w:cs="Arial"/>
        </w:rPr>
        <w:t xml:space="preserve">em 31 de </w:t>
      </w:r>
      <w:r w:rsidR="006E63D1" w:rsidRPr="00F45A1F">
        <w:rPr>
          <w:rFonts w:ascii="Arial" w:hAnsi="Arial" w:cs="Arial"/>
        </w:rPr>
        <w:t xml:space="preserve">dezembro </w:t>
      </w:r>
      <w:r w:rsidR="003F4719" w:rsidRPr="00F45A1F">
        <w:rPr>
          <w:rFonts w:ascii="Arial" w:hAnsi="Arial" w:cs="Arial"/>
        </w:rPr>
        <w:t>de 201</w:t>
      </w:r>
      <w:r w:rsidR="005518ED" w:rsidRPr="00F45A1F">
        <w:rPr>
          <w:rFonts w:ascii="Arial" w:hAnsi="Arial" w:cs="Arial"/>
        </w:rPr>
        <w:t>9</w:t>
      </w:r>
      <w:r w:rsidR="003F4719" w:rsidRPr="00F45A1F">
        <w:rPr>
          <w:rFonts w:ascii="Arial" w:hAnsi="Arial" w:cs="Arial"/>
        </w:rPr>
        <w:t>) no curto prazo, assim como, os adiantamentos efetuados a fornecedores para a aquisição dos correspondentes materiais, no montante de R$</w:t>
      </w:r>
      <w:r w:rsidR="005518ED" w:rsidRPr="00F45A1F">
        <w:rPr>
          <w:rFonts w:ascii="Arial" w:hAnsi="Arial" w:cs="Arial"/>
        </w:rPr>
        <w:t xml:space="preserve"> </w:t>
      </w:r>
      <w:r w:rsidR="00D328DD" w:rsidRPr="00F45A1F">
        <w:rPr>
          <w:rFonts w:ascii="Arial" w:hAnsi="Arial" w:cs="Arial"/>
        </w:rPr>
        <w:t>18.239</w:t>
      </w:r>
      <w:r w:rsidR="003F4719" w:rsidRPr="00F45A1F">
        <w:rPr>
          <w:rFonts w:ascii="Arial" w:hAnsi="Arial" w:cs="Arial"/>
        </w:rPr>
        <w:t xml:space="preserve"> (R$</w:t>
      </w:r>
      <w:r w:rsidR="000A70AB" w:rsidRPr="00F45A1F">
        <w:rPr>
          <w:rFonts w:ascii="Arial" w:hAnsi="Arial" w:cs="Arial"/>
        </w:rPr>
        <w:t xml:space="preserve"> </w:t>
      </w:r>
      <w:r w:rsidR="005518ED" w:rsidRPr="00F45A1F">
        <w:rPr>
          <w:rFonts w:ascii="Arial" w:hAnsi="Arial" w:cs="Arial"/>
        </w:rPr>
        <w:t xml:space="preserve">18.248 </w:t>
      </w:r>
      <w:r w:rsidR="003F4719" w:rsidRPr="00F45A1F">
        <w:rPr>
          <w:rFonts w:ascii="Arial" w:hAnsi="Arial" w:cs="Arial"/>
        </w:rPr>
        <w:t>em 31 de dezembro de 201</w:t>
      </w:r>
      <w:r w:rsidR="005518ED" w:rsidRPr="00F45A1F">
        <w:rPr>
          <w:rFonts w:ascii="Arial" w:hAnsi="Arial" w:cs="Arial"/>
        </w:rPr>
        <w:t>9</w:t>
      </w:r>
      <w:r w:rsidR="003F4719" w:rsidRPr="00F45A1F">
        <w:rPr>
          <w:rFonts w:ascii="Arial" w:hAnsi="Arial" w:cs="Arial"/>
        </w:rPr>
        <w:t xml:space="preserve">), totalizando R$ </w:t>
      </w:r>
      <w:r w:rsidR="00D328DD" w:rsidRPr="00F45A1F">
        <w:rPr>
          <w:rFonts w:ascii="Arial" w:hAnsi="Arial" w:cs="Arial"/>
        </w:rPr>
        <w:t>99.058</w:t>
      </w:r>
      <w:r w:rsidR="005518ED" w:rsidRPr="00F45A1F">
        <w:rPr>
          <w:rFonts w:ascii="Arial" w:hAnsi="Arial" w:cs="Arial"/>
        </w:rPr>
        <w:t xml:space="preserve"> </w:t>
      </w:r>
      <w:r w:rsidR="003F4719" w:rsidRPr="00F45A1F">
        <w:rPr>
          <w:rFonts w:ascii="Arial" w:hAnsi="Arial" w:cs="Arial"/>
        </w:rPr>
        <w:t xml:space="preserve">(R$ </w:t>
      </w:r>
      <w:r w:rsidR="005518ED" w:rsidRPr="00F45A1F">
        <w:rPr>
          <w:rFonts w:ascii="Arial" w:hAnsi="Arial" w:cs="Arial"/>
        </w:rPr>
        <w:t xml:space="preserve">102.233 </w:t>
      </w:r>
      <w:r w:rsidR="003F4719" w:rsidRPr="00F45A1F">
        <w:rPr>
          <w:rFonts w:ascii="Arial" w:hAnsi="Arial" w:cs="Arial"/>
        </w:rPr>
        <w:t>em 31 de dezembro de 201</w:t>
      </w:r>
      <w:r w:rsidR="005518ED" w:rsidRPr="00F45A1F">
        <w:rPr>
          <w:rFonts w:ascii="Arial" w:hAnsi="Arial" w:cs="Arial"/>
        </w:rPr>
        <w:t>9</w:t>
      </w:r>
      <w:r w:rsidR="003F4719" w:rsidRPr="00F45A1F">
        <w:rPr>
          <w:rFonts w:ascii="Arial" w:hAnsi="Arial" w:cs="Arial"/>
        </w:rPr>
        <w:t>).</w:t>
      </w:r>
    </w:p>
    <w:p w14:paraId="2E9ECFA4" w14:textId="77777777" w:rsidR="000329BB" w:rsidRPr="00F45A1F" w:rsidRDefault="000329BB" w:rsidP="005144E2">
      <w:pPr>
        <w:jc w:val="both"/>
        <w:rPr>
          <w:rFonts w:ascii="Arial" w:hAnsi="Arial" w:cs="Arial"/>
        </w:rPr>
      </w:pPr>
    </w:p>
    <w:p w14:paraId="1D908140" w14:textId="77777777" w:rsidR="000329BB" w:rsidRPr="00F45A1F" w:rsidRDefault="000329BB" w:rsidP="005144E2">
      <w:pPr>
        <w:jc w:val="both"/>
        <w:rPr>
          <w:rFonts w:ascii="Arial" w:hAnsi="Arial" w:cs="Arial"/>
        </w:rPr>
      </w:pPr>
    </w:p>
    <w:p w14:paraId="4BBB3058" w14:textId="77777777" w:rsidR="000329BB" w:rsidRPr="00F45A1F" w:rsidRDefault="000329BB" w:rsidP="005144E2">
      <w:pPr>
        <w:jc w:val="both"/>
        <w:rPr>
          <w:rFonts w:ascii="Arial" w:hAnsi="Arial" w:cs="Arial"/>
        </w:rPr>
      </w:pPr>
    </w:p>
    <w:p w14:paraId="673A6D5E" w14:textId="77777777" w:rsidR="003F4719" w:rsidRPr="00F45A1F" w:rsidRDefault="003F4719" w:rsidP="005144E2">
      <w:pPr>
        <w:widowControl/>
        <w:jc w:val="both"/>
        <w:rPr>
          <w:rFonts w:ascii="Arial" w:hAnsi="Arial" w:cs="Arial"/>
          <w:b/>
          <w:sz w:val="26"/>
          <w:szCs w:val="26"/>
        </w:rPr>
      </w:pPr>
      <w:r w:rsidRPr="00F45A1F">
        <w:rPr>
          <w:rFonts w:ascii="Arial" w:hAnsi="Arial" w:cs="Arial"/>
          <w:b/>
          <w:sz w:val="26"/>
          <w:szCs w:val="26"/>
        </w:rPr>
        <w:t>NOTA 10 – OUTROS ATIVOS</w:t>
      </w:r>
    </w:p>
    <w:p w14:paraId="4782A157" w14:textId="77777777" w:rsidR="006B6D6C" w:rsidRPr="00F45A1F" w:rsidRDefault="006B6D6C" w:rsidP="005144E2">
      <w:pPr>
        <w:widowControl/>
        <w:jc w:val="both"/>
        <w:rPr>
          <w:rFonts w:ascii="Arial" w:hAnsi="Arial" w:cs="Arial"/>
          <w:b/>
        </w:rPr>
      </w:pPr>
    </w:p>
    <w:p w14:paraId="7974598C" w14:textId="77777777" w:rsidR="009E3291" w:rsidRPr="00F45A1F" w:rsidRDefault="009E3291" w:rsidP="005144E2">
      <w:pPr>
        <w:widowControl/>
        <w:jc w:val="both"/>
        <w:rPr>
          <w:rFonts w:ascii="Arial" w:hAnsi="Arial" w:cs="Arial"/>
          <w:b/>
        </w:rPr>
      </w:pPr>
    </w:p>
    <w:p w14:paraId="7F9C52FB" w14:textId="77777777" w:rsidR="008C4013" w:rsidRPr="00F45A1F" w:rsidRDefault="002E39AC" w:rsidP="005144E2">
      <w:pPr>
        <w:widowControl/>
        <w:jc w:val="both"/>
        <w:rPr>
          <w:rFonts w:ascii="Arial" w:hAnsi="Arial" w:cs="Arial"/>
          <w:b/>
        </w:rPr>
      </w:pPr>
      <w:r w:rsidRPr="00F45A1F">
        <w:rPr>
          <w:noProof/>
        </w:rPr>
        <w:drawing>
          <wp:inline distT="0" distB="0" distL="0" distR="0" wp14:anchorId="7520DB35" wp14:editId="088677D8">
            <wp:extent cx="6073140" cy="1873383"/>
            <wp:effectExtent l="0" t="0" r="381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3140" cy="1873383"/>
                    </a:xfrm>
                    <a:prstGeom prst="rect">
                      <a:avLst/>
                    </a:prstGeom>
                    <a:noFill/>
                    <a:ln>
                      <a:noFill/>
                    </a:ln>
                  </pic:spPr>
                </pic:pic>
              </a:graphicData>
            </a:graphic>
          </wp:inline>
        </w:drawing>
      </w:r>
    </w:p>
    <w:p w14:paraId="2B286298" w14:textId="77777777" w:rsidR="00B9017C" w:rsidRPr="00F45A1F" w:rsidRDefault="00B9017C" w:rsidP="002E39AC">
      <w:pPr>
        <w:pStyle w:val="PargrafodaLista"/>
        <w:widowControl/>
        <w:numPr>
          <w:ilvl w:val="0"/>
          <w:numId w:val="39"/>
        </w:numPr>
        <w:tabs>
          <w:tab w:val="left" w:pos="284"/>
        </w:tabs>
        <w:ind w:left="0" w:firstLine="0"/>
        <w:jc w:val="both"/>
        <w:rPr>
          <w:rFonts w:ascii="Arial" w:hAnsi="Arial" w:cs="Arial"/>
        </w:rPr>
      </w:pPr>
      <w:r w:rsidRPr="00F45A1F">
        <w:rPr>
          <w:rFonts w:ascii="Arial" w:hAnsi="Arial" w:cs="Arial"/>
        </w:rPr>
        <w:t xml:space="preserve">Veja detalhes sobre as transações com partes relacionadas na </w:t>
      </w:r>
      <w:r w:rsidR="008E6B5F" w:rsidRPr="00F45A1F">
        <w:rPr>
          <w:rFonts w:ascii="Arial" w:hAnsi="Arial" w:cs="Arial"/>
        </w:rPr>
        <w:t>n</w:t>
      </w:r>
      <w:r w:rsidRPr="00F45A1F">
        <w:rPr>
          <w:rFonts w:ascii="Arial" w:hAnsi="Arial" w:cs="Arial"/>
        </w:rPr>
        <w:t>ota 34.</w:t>
      </w:r>
    </w:p>
    <w:p w14:paraId="475B1AFD" w14:textId="77777777" w:rsidR="003A0508" w:rsidRPr="00F45A1F" w:rsidRDefault="003A0508" w:rsidP="005144E2">
      <w:pPr>
        <w:pStyle w:val="PargrafodaLista"/>
        <w:widowControl/>
        <w:ind w:left="426"/>
        <w:jc w:val="both"/>
        <w:rPr>
          <w:rFonts w:ascii="Arial" w:hAnsi="Arial" w:cs="Arial"/>
        </w:rPr>
      </w:pPr>
    </w:p>
    <w:p w14:paraId="0D27377A" w14:textId="77777777" w:rsidR="009E3291" w:rsidRDefault="009E3291" w:rsidP="005144E2">
      <w:pPr>
        <w:pStyle w:val="PargrafodaLista"/>
        <w:widowControl/>
        <w:ind w:left="426"/>
        <w:jc w:val="both"/>
        <w:rPr>
          <w:rFonts w:ascii="Arial" w:hAnsi="Arial" w:cs="Arial"/>
        </w:rPr>
      </w:pPr>
    </w:p>
    <w:p w14:paraId="322E0EC2" w14:textId="77777777" w:rsidR="00C110ED" w:rsidRDefault="00C110ED" w:rsidP="005144E2">
      <w:pPr>
        <w:pStyle w:val="PargrafodaLista"/>
        <w:widowControl/>
        <w:ind w:left="426"/>
        <w:jc w:val="both"/>
        <w:rPr>
          <w:rFonts w:ascii="Arial" w:hAnsi="Arial" w:cs="Arial"/>
        </w:rPr>
      </w:pPr>
    </w:p>
    <w:p w14:paraId="2BF9083D" w14:textId="77777777" w:rsidR="00C110ED" w:rsidRDefault="00C110ED" w:rsidP="005144E2">
      <w:pPr>
        <w:pStyle w:val="PargrafodaLista"/>
        <w:widowControl/>
        <w:ind w:left="426"/>
        <w:jc w:val="both"/>
        <w:rPr>
          <w:rFonts w:ascii="Arial" w:hAnsi="Arial" w:cs="Arial"/>
        </w:rPr>
      </w:pPr>
    </w:p>
    <w:p w14:paraId="0BBDC4E2" w14:textId="77777777" w:rsidR="00C110ED" w:rsidRPr="00F45A1F" w:rsidRDefault="00C110ED" w:rsidP="005144E2">
      <w:pPr>
        <w:pStyle w:val="PargrafodaLista"/>
        <w:widowControl/>
        <w:ind w:left="426"/>
        <w:jc w:val="both"/>
        <w:rPr>
          <w:rFonts w:ascii="Arial" w:hAnsi="Arial" w:cs="Arial"/>
        </w:rPr>
      </w:pPr>
    </w:p>
    <w:p w14:paraId="3487F573" w14:textId="77777777" w:rsidR="009E3291" w:rsidRPr="00F45A1F" w:rsidRDefault="009E3291" w:rsidP="005144E2">
      <w:pPr>
        <w:pStyle w:val="PargrafodaLista"/>
        <w:widowControl/>
        <w:ind w:left="426"/>
        <w:jc w:val="both"/>
        <w:rPr>
          <w:rFonts w:ascii="Arial" w:hAnsi="Arial" w:cs="Arial"/>
        </w:rPr>
      </w:pPr>
    </w:p>
    <w:p w14:paraId="5EE0041C" w14:textId="77777777" w:rsidR="003F4719" w:rsidRPr="00F45A1F" w:rsidRDefault="003F4719" w:rsidP="005144E2">
      <w:pPr>
        <w:keepNext/>
        <w:widowControl/>
        <w:jc w:val="both"/>
        <w:outlineLvl w:val="3"/>
        <w:rPr>
          <w:rFonts w:ascii="Arial" w:hAnsi="Arial" w:cs="Arial"/>
          <w:b/>
          <w:sz w:val="26"/>
          <w:szCs w:val="26"/>
        </w:rPr>
      </w:pPr>
      <w:r w:rsidRPr="00F45A1F">
        <w:rPr>
          <w:rFonts w:ascii="Arial" w:hAnsi="Arial" w:cs="Arial"/>
          <w:b/>
          <w:sz w:val="26"/>
          <w:szCs w:val="26"/>
        </w:rPr>
        <w:t>NOTA 11 – TÍTULOS E VALORES MOBILIÁRIOS DE LONGO PRAZO - FUNDO PARA O DESCOMISSIONAMENTO</w:t>
      </w:r>
    </w:p>
    <w:p w14:paraId="530A7D03" w14:textId="77777777" w:rsidR="00FE7624" w:rsidRPr="00F45A1F" w:rsidRDefault="00FE7624" w:rsidP="005144E2">
      <w:pPr>
        <w:widowControl/>
        <w:jc w:val="both"/>
        <w:rPr>
          <w:rFonts w:ascii="Arial" w:hAnsi="Arial" w:cs="Arial"/>
        </w:rPr>
      </w:pPr>
    </w:p>
    <w:p w14:paraId="546AC9EF" w14:textId="77777777" w:rsidR="009E3291" w:rsidRPr="00F45A1F" w:rsidRDefault="009E3291" w:rsidP="005144E2">
      <w:pPr>
        <w:widowControl/>
        <w:jc w:val="both"/>
        <w:rPr>
          <w:rFonts w:ascii="Arial" w:hAnsi="Arial" w:cs="Arial"/>
        </w:rPr>
      </w:pPr>
    </w:p>
    <w:p w14:paraId="1FD1BA9B" w14:textId="77777777" w:rsidR="003F4719" w:rsidRPr="00F45A1F" w:rsidRDefault="003F4719" w:rsidP="005144E2">
      <w:pPr>
        <w:widowControl/>
        <w:tabs>
          <w:tab w:val="center" w:pos="4419"/>
          <w:tab w:val="right" w:pos="8838"/>
        </w:tabs>
        <w:jc w:val="both"/>
        <w:rPr>
          <w:rFonts w:ascii="Arial" w:hAnsi="Arial" w:cs="Arial"/>
        </w:rPr>
      </w:pPr>
      <w:r w:rsidRPr="00F45A1F">
        <w:rPr>
          <w:rFonts w:ascii="Arial" w:hAnsi="Arial" w:cs="Arial"/>
        </w:rPr>
        <w:t xml:space="preserve">O </w:t>
      </w:r>
      <w:proofErr w:type="spellStart"/>
      <w:r w:rsidRPr="00F45A1F">
        <w:rPr>
          <w:rFonts w:ascii="Arial" w:hAnsi="Arial" w:cs="Arial"/>
        </w:rPr>
        <w:t>descomissionamento</w:t>
      </w:r>
      <w:proofErr w:type="spellEnd"/>
      <w:r w:rsidRPr="00F45A1F">
        <w:rPr>
          <w:rFonts w:ascii="Arial" w:hAnsi="Arial" w:cs="Arial"/>
        </w:rPr>
        <w:t xml:space="preserve"> de usinas nucleares constitui-se de um conjunto de medidas tomadas para retirar de serviço, com segurança, uma instalação nuclear, reduzindo a radioatividade residual a níveis que permitam liberar o local para uso restrito ou irres</w:t>
      </w:r>
      <w:r w:rsidR="00E15412" w:rsidRPr="00F45A1F">
        <w:rPr>
          <w:rFonts w:ascii="Arial" w:hAnsi="Arial" w:cs="Arial"/>
        </w:rPr>
        <w:t xml:space="preserve">trito. Para permitir a </w:t>
      </w:r>
      <w:r w:rsidR="002A4D85" w:rsidRPr="00F45A1F">
        <w:rPr>
          <w:rFonts w:ascii="Arial" w:hAnsi="Arial" w:cs="Arial"/>
        </w:rPr>
        <w:t>inclusão</w:t>
      </w:r>
      <w:r w:rsidR="001835E7" w:rsidRPr="00F45A1F">
        <w:rPr>
          <w:rFonts w:ascii="Arial" w:hAnsi="Arial" w:cs="Arial"/>
        </w:rPr>
        <w:t xml:space="preserve">, </w:t>
      </w:r>
      <w:r w:rsidRPr="00F45A1F">
        <w:rPr>
          <w:rFonts w:ascii="Arial" w:hAnsi="Arial" w:cs="Arial"/>
        </w:rPr>
        <w:t>na ELETRONUCLEAR</w:t>
      </w:r>
      <w:r w:rsidR="00E15412" w:rsidRPr="00F45A1F">
        <w:rPr>
          <w:rFonts w:ascii="Arial" w:hAnsi="Arial" w:cs="Arial"/>
        </w:rPr>
        <w:t xml:space="preserve">, </w:t>
      </w:r>
      <w:r w:rsidRPr="00F45A1F">
        <w:rPr>
          <w:rFonts w:ascii="Arial" w:hAnsi="Arial" w:cs="Arial"/>
        </w:rPr>
        <w:t>dos custos a serem incorrido</w:t>
      </w:r>
      <w:r w:rsidR="00782DCE" w:rsidRPr="00F45A1F">
        <w:rPr>
          <w:rFonts w:ascii="Arial" w:hAnsi="Arial" w:cs="Arial"/>
        </w:rPr>
        <w:t xml:space="preserve">s com o </w:t>
      </w:r>
      <w:proofErr w:type="spellStart"/>
      <w:r w:rsidR="00782DCE" w:rsidRPr="00F45A1F">
        <w:rPr>
          <w:rFonts w:ascii="Arial" w:hAnsi="Arial" w:cs="Arial"/>
        </w:rPr>
        <w:t>descomissionamento</w:t>
      </w:r>
      <w:proofErr w:type="spellEnd"/>
      <w:r w:rsidR="00782DCE" w:rsidRPr="00F45A1F">
        <w:rPr>
          <w:rFonts w:ascii="Arial" w:hAnsi="Arial" w:cs="Arial"/>
        </w:rPr>
        <w:t xml:space="preserve"> das U</w:t>
      </w:r>
      <w:r w:rsidRPr="00F45A1F">
        <w:rPr>
          <w:rFonts w:ascii="Arial" w:hAnsi="Arial" w:cs="Arial"/>
        </w:rPr>
        <w:t xml:space="preserve">sinas Angra 1 e 2, foi constituído contabilmente uma obrigação para desmobilização de ativos, com base em estudos técnicos elaborados pela Companhia, conforme </w:t>
      </w:r>
      <w:r w:rsidR="008E6B5F" w:rsidRPr="00F45A1F">
        <w:rPr>
          <w:rFonts w:ascii="Arial" w:hAnsi="Arial" w:cs="Arial"/>
        </w:rPr>
        <w:t>n</w:t>
      </w:r>
      <w:r w:rsidRPr="00F45A1F">
        <w:rPr>
          <w:rFonts w:ascii="Arial" w:hAnsi="Arial" w:cs="Arial"/>
        </w:rPr>
        <w:t>ota 2</w:t>
      </w:r>
      <w:r w:rsidR="00C06C3C" w:rsidRPr="00F45A1F">
        <w:rPr>
          <w:rFonts w:ascii="Arial" w:hAnsi="Arial" w:cs="Arial"/>
        </w:rPr>
        <w:t>4</w:t>
      </w:r>
      <w:r w:rsidRPr="00F45A1F">
        <w:rPr>
          <w:rFonts w:ascii="Arial" w:hAnsi="Arial" w:cs="Arial"/>
        </w:rPr>
        <w:t>.</w:t>
      </w:r>
    </w:p>
    <w:p w14:paraId="4BF08B8C" w14:textId="77777777" w:rsidR="00EE5EF9" w:rsidRPr="00F45A1F" w:rsidRDefault="00EE5EF9" w:rsidP="005144E2">
      <w:pPr>
        <w:widowControl/>
        <w:tabs>
          <w:tab w:val="center" w:pos="4419"/>
          <w:tab w:val="right" w:pos="8838"/>
        </w:tabs>
        <w:jc w:val="both"/>
        <w:rPr>
          <w:rFonts w:ascii="Arial" w:hAnsi="Arial" w:cs="Arial"/>
        </w:rPr>
      </w:pPr>
    </w:p>
    <w:p w14:paraId="66265F63" w14:textId="77777777" w:rsidR="003F4719" w:rsidRPr="00F45A1F" w:rsidRDefault="003F4719" w:rsidP="005144E2">
      <w:pPr>
        <w:widowControl/>
        <w:tabs>
          <w:tab w:val="center" w:pos="4419"/>
          <w:tab w:val="right" w:pos="8838"/>
        </w:tabs>
        <w:jc w:val="both"/>
        <w:rPr>
          <w:rFonts w:ascii="Arial" w:hAnsi="Arial" w:cs="Arial"/>
        </w:rPr>
      </w:pPr>
      <w:r w:rsidRPr="00F45A1F">
        <w:rPr>
          <w:rFonts w:ascii="Arial" w:hAnsi="Arial" w:cs="Arial"/>
        </w:rPr>
        <w:t xml:space="preserve">De acordo com a determinação do Conselho Nacional de Política Energética - CNPE, as atribuições pelas atividades de instituir e viabilizar o fundo, para fazer face ao efetivo </w:t>
      </w:r>
      <w:proofErr w:type="spellStart"/>
      <w:r w:rsidRPr="00F45A1F">
        <w:rPr>
          <w:rFonts w:ascii="Arial" w:hAnsi="Arial" w:cs="Arial"/>
        </w:rPr>
        <w:t>descomissionamento</w:t>
      </w:r>
      <w:proofErr w:type="spellEnd"/>
      <w:r w:rsidRPr="00F45A1F">
        <w:rPr>
          <w:rFonts w:ascii="Arial" w:hAnsi="Arial" w:cs="Arial"/>
        </w:rPr>
        <w:t xml:space="preserve"> das </w:t>
      </w:r>
      <w:r w:rsidR="00782DCE" w:rsidRPr="00F45A1F">
        <w:rPr>
          <w:rFonts w:ascii="Arial" w:hAnsi="Arial" w:cs="Arial"/>
        </w:rPr>
        <w:t>U</w:t>
      </w:r>
      <w:r w:rsidRPr="00F45A1F">
        <w:rPr>
          <w:rFonts w:ascii="Arial" w:hAnsi="Arial" w:cs="Arial"/>
        </w:rPr>
        <w:t xml:space="preserve">sinas nucleares Angra 1 e 2, ao final da vida útil econômica das referidas usinas, foram atribuídas à Eletrobras. </w:t>
      </w:r>
    </w:p>
    <w:p w14:paraId="69263786" w14:textId="77777777" w:rsidR="00CC350C" w:rsidRPr="00F45A1F" w:rsidRDefault="00CC350C" w:rsidP="005144E2">
      <w:pPr>
        <w:widowControl/>
        <w:tabs>
          <w:tab w:val="center" w:pos="4419"/>
          <w:tab w:val="right" w:pos="8838"/>
        </w:tabs>
        <w:jc w:val="both"/>
        <w:rPr>
          <w:rFonts w:ascii="Arial" w:hAnsi="Arial" w:cs="Arial"/>
        </w:rPr>
      </w:pPr>
    </w:p>
    <w:p w14:paraId="7A2CF25B" w14:textId="77777777" w:rsidR="003F4719" w:rsidRPr="00F45A1F" w:rsidRDefault="003F4719" w:rsidP="005144E2">
      <w:pPr>
        <w:widowControl/>
        <w:tabs>
          <w:tab w:val="center" w:pos="4419"/>
          <w:tab w:val="right" w:pos="8838"/>
        </w:tabs>
        <w:jc w:val="both"/>
        <w:rPr>
          <w:rFonts w:ascii="Arial" w:hAnsi="Arial" w:cs="Arial"/>
        </w:rPr>
      </w:pPr>
      <w:r w:rsidRPr="00F45A1F">
        <w:rPr>
          <w:rFonts w:ascii="Arial" w:hAnsi="Arial" w:cs="Arial"/>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295A95BB" w14:textId="77777777" w:rsidR="003F4719" w:rsidRPr="00F45A1F" w:rsidRDefault="003F4719" w:rsidP="005144E2">
      <w:pPr>
        <w:widowControl/>
        <w:tabs>
          <w:tab w:val="center" w:pos="4419"/>
          <w:tab w:val="right" w:pos="8838"/>
        </w:tabs>
        <w:jc w:val="both"/>
        <w:rPr>
          <w:rFonts w:ascii="Arial" w:hAnsi="Arial" w:cs="Arial"/>
        </w:rPr>
      </w:pPr>
    </w:p>
    <w:p w14:paraId="132EE667" w14:textId="77777777" w:rsidR="0077459D" w:rsidRPr="00F45A1F" w:rsidRDefault="003F4719" w:rsidP="005144E2">
      <w:pPr>
        <w:widowControl/>
        <w:tabs>
          <w:tab w:val="center" w:pos="4419"/>
          <w:tab w:val="right" w:pos="8838"/>
        </w:tabs>
        <w:jc w:val="both"/>
        <w:rPr>
          <w:rFonts w:ascii="Arial" w:hAnsi="Arial" w:cs="Arial"/>
        </w:rPr>
      </w:pPr>
      <w:r w:rsidRPr="00F45A1F">
        <w:rPr>
          <w:rFonts w:ascii="Arial" w:hAnsi="Arial" w:cs="Arial"/>
        </w:rPr>
        <w:t xml:space="preserve">Assim sendo, a ELETRONUCLEAR, em 20 de fevereiro de 2008, iniciou o processo de pagamento à Eletrobras, para o devido recolhimento ao fundo financeiro para o </w:t>
      </w:r>
      <w:proofErr w:type="spellStart"/>
      <w:r w:rsidRPr="00F45A1F">
        <w:rPr>
          <w:rFonts w:ascii="Arial" w:hAnsi="Arial" w:cs="Arial"/>
        </w:rPr>
        <w:t>descomissionamento</w:t>
      </w:r>
      <w:proofErr w:type="spellEnd"/>
      <w:r w:rsidRPr="00F45A1F">
        <w:rPr>
          <w:rFonts w:ascii="Arial" w:hAnsi="Arial" w:cs="Arial"/>
        </w:rPr>
        <w:t xml:space="preserve">. </w:t>
      </w:r>
    </w:p>
    <w:p w14:paraId="0949AB21" w14:textId="77777777" w:rsidR="00A10BF4" w:rsidRPr="00F45A1F" w:rsidRDefault="00A10BF4" w:rsidP="005144E2">
      <w:pPr>
        <w:widowControl/>
        <w:tabs>
          <w:tab w:val="center" w:pos="4419"/>
          <w:tab w:val="right" w:pos="8838"/>
        </w:tabs>
        <w:jc w:val="both"/>
        <w:rPr>
          <w:rFonts w:ascii="Arial" w:hAnsi="Arial" w:cs="Arial"/>
        </w:rPr>
      </w:pPr>
    </w:p>
    <w:p w14:paraId="6A36BCD2" w14:textId="47506562" w:rsidR="003F4719" w:rsidRPr="00F45A1F" w:rsidRDefault="003F4719" w:rsidP="005144E2">
      <w:pPr>
        <w:jc w:val="both"/>
        <w:rPr>
          <w:rFonts w:ascii="Arial" w:hAnsi="Arial" w:cs="Arial"/>
          <w:color w:val="FF0000"/>
        </w:rPr>
      </w:pPr>
      <w:r w:rsidRPr="00F45A1F">
        <w:rPr>
          <w:rFonts w:ascii="Arial" w:hAnsi="Arial" w:cs="Arial"/>
        </w:rPr>
        <w:t xml:space="preserve">Anualmente, a Eletrobras estabelece o montante a ser recolhido ao fundo financeiro do Banco do Brasil para o </w:t>
      </w:r>
      <w:proofErr w:type="spellStart"/>
      <w:r w:rsidRPr="00F45A1F">
        <w:rPr>
          <w:rFonts w:ascii="Arial" w:hAnsi="Arial" w:cs="Arial"/>
        </w:rPr>
        <w:t>descomissionamento</w:t>
      </w:r>
      <w:proofErr w:type="spellEnd"/>
      <w:r w:rsidRPr="00F45A1F">
        <w:rPr>
          <w:rFonts w:ascii="Arial" w:hAnsi="Arial" w:cs="Arial"/>
        </w:rPr>
        <w:t xml:space="preserve"> das Usinas Angra 1 e Angra 2, </w:t>
      </w:r>
      <w:r w:rsidRPr="00CD4F8E">
        <w:rPr>
          <w:rFonts w:ascii="Arial" w:hAnsi="Arial" w:cs="Arial"/>
        </w:rPr>
        <w:t>considerando como base de cálculo, a parcela considerada pela A</w:t>
      </w:r>
      <w:r w:rsidR="009E3291" w:rsidRPr="00CD4F8E">
        <w:rPr>
          <w:rFonts w:ascii="Arial" w:hAnsi="Arial" w:cs="Arial"/>
        </w:rPr>
        <w:t>neel</w:t>
      </w:r>
      <w:r w:rsidRPr="00CD4F8E">
        <w:rPr>
          <w:rFonts w:ascii="Arial" w:hAnsi="Arial" w:cs="Arial"/>
        </w:rPr>
        <w:t>, na receita fixa</w:t>
      </w:r>
      <w:r w:rsidRPr="00F45A1F">
        <w:rPr>
          <w:rFonts w:ascii="Arial" w:hAnsi="Arial" w:cs="Arial"/>
        </w:rPr>
        <w:t xml:space="preserve"> das </w:t>
      </w:r>
      <w:r w:rsidRPr="007B1E12">
        <w:rPr>
          <w:rFonts w:ascii="Arial" w:hAnsi="Arial" w:cs="Arial"/>
          <w:color w:val="000000" w:themeColor="text1"/>
        </w:rPr>
        <w:t>mencionadas usinas. Para o exercício de 20</w:t>
      </w:r>
      <w:r w:rsidR="00733334" w:rsidRPr="007B1E12">
        <w:rPr>
          <w:rFonts w:ascii="Arial" w:hAnsi="Arial" w:cs="Arial"/>
          <w:color w:val="000000" w:themeColor="text1"/>
        </w:rPr>
        <w:t>20</w:t>
      </w:r>
      <w:r w:rsidRPr="007B1E12">
        <w:rPr>
          <w:rFonts w:ascii="Arial" w:hAnsi="Arial" w:cs="Arial"/>
          <w:color w:val="000000" w:themeColor="text1"/>
        </w:rPr>
        <w:t xml:space="preserve">, o valor fixado para depósito foi o montante R$ </w:t>
      </w:r>
      <w:r w:rsidR="00B04D4E" w:rsidRPr="007B1E12">
        <w:rPr>
          <w:rFonts w:ascii="Arial" w:hAnsi="Arial" w:cs="Arial"/>
          <w:color w:val="000000" w:themeColor="text1"/>
        </w:rPr>
        <w:t>17</w:t>
      </w:r>
      <w:r w:rsidR="00AE2C89" w:rsidRPr="007B1E12">
        <w:rPr>
          <w:rFonts w:ascii="Arial" w:hAnsi="Arial" w:cs="Arial"/>
          <w:color w:val="000000" w:themeColor="text1"/>
        </w:rPr>
        <w:t>3.109</w:t>
      </w:r>
      <w:r w:rsidR="001F1A89" w:rsidRPr="007B1E12">
        <w:rPr>
          <w:rFonts w:ascii="Arial" w:hAnsi="Arial" w:cs="Arial"/>
          <w:color w:val="000000" w:themeColor="text1"/>
        </w:rPr>
        <w:t>.</w:t>
      </w:r>
    </w:p>
    <w:p w14:paraId="50F6A818" w14:textId="77777777" w:rsidR="003F4719" w:rsidRPr="00F45A1F" w:rsidRDefault="003F4719" w:rsidP="005144E2">
      <w:pPr>
        <w:jc w:val="both"/>
        <w:rPr>
          <w:rFonts w:ascii="Arial" w:hAnsi="Arial" w:cs="Arial"/>
        </w:rPr>
      </w:pPr>
    </w:p>
    <w:p w14:paraId="219B7876" w14:textId="77777777" w:rsidR="003F4719" w:rsidRPr="00F45A1F" w:rsidRDefault="003F4719" w:rsidP="005144E2">
      <w:pPr>
        <w:jc w:val="both"/>
        <w:rPr>
          <w:rFonts w:ascii="Arial" w:hAnsi="Arial" w:cs="Arial"/>
        </w:rPr>
      </w:pPr>
      <w:r w:rsidRPr="00F45A1F">
        <w:rPr>
          <w:rFonts w:ascii="Arial" w:hAnsi="Arial" w:cs="Arial"/>
        </w:rPr>
        <w:t>O mencionado fundo é mantido com o Banco do Brasil, através de um fundo de investimento extra mercado de longo prazo, exclusivo para acumular os recursos destinados a custear as ativid</w:t>
      </w:r>
      <w:r w:rsidR="00782DCE" w:rsidRPr="00F45A1F">
        <w:rPr>
          <w:rFonts w:ascii="Arial" w:hAnsi="Arial" w:cs="Arial"/>
        </w:rPr>
        <w:t xml:space="preserve">ades de </w:t>
      </w:r>
      <w:proofErr w:type="spellStart"/>
      <w:r w:rsidR="00782DCE" w:rsidRPr="00F45A1F">
        <w:rPr>
          <w:rFonts w:ascii="Arial" w:hAnsi="Arial" w:cs="Arial"/>
        </w:rPr>
        <w:t>descomissionamento</w:t>
      </w:r>
      <w:proofErr w:type="spellEnd"/>
      <w:r w:rsidR="00782DCE" w:rsidRPr="00F45A1F">
        <w:rPr>
          <w:rFonts w:ascii="Arial" w:hAnsi="Arial" w:cs="Arial"/>
        </w:rPr>
        <w:t xml:space="preserve"> das U</w:t>
      </w:r>
      <w:r w:rsidRPr="00F45A1F">
        <w:rPr>
          <w:rFonts w:ascii="Arial" w:hAnsi="Arial" w:cs="Arial"/>
        </w:rPr>
        <w:t xml:space="preserve">sinas Angra 1 e 2. </w:t>
      </w:r>
      <w:r w:rsidR="00C06C3C" w:rsidRPr="00F45A1F">
        <w:rPr>
          <w:rFonts w:ascii="Arial" w:hAnsi="Arial" w:cs="Arial"/>
        </w:rPr>
        <w:t>A titularidade deste fundo pertence à Eletrobras</w:t>
      </w:r>
      <w:r w:rsidRPr="00F45A1F">
        <w:rPr>
          <w:rFonts w:ascii="Arial" w:hAnsi="Arial" w:cs="Arial"/>
        </w:rPr>
        <w:t xml:space="preserve"> conforme determinado pelo CNPE. </w:t>
      </w:r>
    </w:p>
    <w:p w14:paraId="6469153E" w14:textId="77777777" w:rsidR="003A0508" w:rsidRPr="00F45A1F" w:rsidRDefault="003A0508" w:rsidP="005144E2">
      <w:pPr>
        <w:jc w:val="both"/>
        <w:rPr>
          <w:rFonts w:ascii="Arial" w:hAnsi="Arial" w:cs="Arial"/>
        </w:rPr>
      </w:pPr>
    </w:p>
    <w:p w14:paraId="0A36D8D6" w14:textId="77777777" w:rsidR="00C110ED" w:rsidRDefault="00C110ED" w:rsidP="005144E2">
      <w:pPr>
        <w:jc w:val="both"/>
        <w:rPr>
          <w:rFonts w:ascii="Arial" w:hAnsi="Arial" w:cs="Arial"/>
        </w:rPr>
      </w:pPr>
    </w:p>
    <w:p w14:paraId="75294F33" w14:textId="77777777" w:rsidR="00C110ED" w:rsidRDefault="00C110ED" w:rsidP="005144E2">
      <w:pPr>
        <w:jc w:val="both"/>
        <w:rPr>
          <w:rFonts w:ascii="Arial" w:hAnsi="Arial" w:cs="Arial"/>
        </w:rPr>
      </w:pPr>
    </w:p>
    <w:p w14:paraId="4CD03FFA" w14:textId="77777777" w:rsidR="00C110ED" w:rsidRDefault="00C110ED" w:rsidP="005144E2">
      <w:pPr>
        <w:jc w:val="both"/>
        <w:rPr>
          <w:rFonts w:ascii="Arial" w:hAnsi="Arial" w:cs="Arial"/>
        </w:rPr>
      </w:pPr>
    </w:p>
    <w:p w14:paraId="6C333BC0" w14:textId="77777777" w:rsidR="00C110ED" w:rsidRDefault="00C110ED" w:rsidP="005144E2">
      <w:pPr>
        <w:jc w:val="both"/>
        <w:rPr>
          <w:rFonts w:ascii="Arial" w:hAnsi="Arial" w:cs="Arial"/>
        </w:rPr>
      </w:pPr>
    </w:p>
    <w:p w14:paraId="04881E1A" w14:textId="77777777" w:rsidR="00C110ED" w:rsidRDefault="00C110ED" w:rsidP="005144E2">
      <w:pPr>
        <w:jc w:val="both"/>
        <w:rPr>
          <w:rFonts w:ascii="Arial" w:hAnsi="Arial" w:cs="Arial"/>
        </w:rPr>
      </w:pPr>
    </w:p>
    <w:p w14:paraId="74F78DE7" w14:textId="77777777" w:rsidR="00C110ED" w:rsidRDefault="00C110ED" w:rsidP="005144E2">
      <w:pPr>
        <w:jc w:val="both"/>
        <w:rPr>
          <w:rFonts w:ascii="Arial" w:hAnsi="Arial" w:cs="Arial"/>
        </w:rPr>
      </w:pPr>
    </w:p>
    <w:p w14:paraId="580BDB8A" w14:textId="77777777" w:rsidR="00C110ED" w:rsidRDefault="00C110ED" w:rsidP="005144E2">
      <w:pPr>
        <w:jc w:val="both"/>
        <w:rPr>
          <w:rFonts w:ascii="Arial" w:hAnsi="Arial" w:cs="Arial"/>
        </w:rPr>
      </w:pPr>
    </w:p>
    <w:p w14:paraId="2E60C537" w14:textId="77777777" w:rsidR="003F4719" w:rsidRPr="00F45A1F" w:rsidRDefault="003F4719" w:rsidP="005144E2">
      <w:pPr>
        <w:jc w:val="both"/>
        <w:rPr>
          <w:rFonts w:ascii="Arial" w:hAnsi="Arial" w:cs="Arial"/>
        </w:rPr>
      </w:pPr>
      <w:r w:rsidRPr="00F45A1F">
        <w:rPr>
          <w:rFonts w:ascii="Arial" w:hAnsi="Arial" w:cs="Arial"/>
        </w:rPr>
        <w:t>A seguir, demonstramos o detalhamento de carteira do mencionado fundo:</w:t>
      </w:r>
    </w:p>
    <w:p w14:paraId="517A92B7" w14:textId="77777777" w:rsidR="00780CBF" w:rsidRPr="00F45A1F" w:rsidRDefault="00780CBF" w:rsidP="005144E2">
      <w:pPr>
        <w:jc w:val="both"/>
        <w:rPr>
          <w:rFonts w:ascii="Arial" w:hAnsi="Arial" w:cs="Arial"/>
          <w:noProof/>
          <w:sz w:val="16"/>
          <w:szCs w:val="16"/>
        </w:rPr>
      </w:pPr>
    </w:p>
    <w:p w14:paraId="665B581C" w14:textId="77777777" w:rsidR="00780CBF" w:rsidRPr="00F45A1F" w:rsidRDefault="0041106F" w:rsidP="005144E2">
      <w:pPr>
        <w:jc w:val="both"/>
        <w:rPr>
          <w:rFonts w:ascii="Arial" w:hAnsi="Arial" w:cs="Arial"/>
          <w:noProof/>
        </w:rPr>
      </w:pPr>
      <w:r w:rsidRPr="00F45A1F">
        <w:rPr>
          <w:noProof/>
        </w:rPr>
        <w:drawing>
          <wp:inline distT="0" distB="0" distL="0" distR="0" wp14:anchorId="29B0490D" wp14:editId="6AEF384F">
            <wp:extent cx="4733925" cy="2219325"/>
            <wp:effectExtent l="0" t="0" r="9525" b="9525"/>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33925" cy="2219325"/>
                    </a:xfrm>
                    <a:prstGeom prst="rect">
                      <a:avLst/>
                    </a:prstGeom>
                    <a:noFill/>
                    <a:ln>
                      <a:noFill/>
                    </a:ln>
                  </pic:spPr>
                </pic:pic>
              </a:graphicData>
            </a:graphic>
          </wp:inline>
        </w:drawing>
      </w:r>
    </w:p>
    <w:p w14:paraId="59501E03" w14:textId="77777777" w:rsidR="00780CBF" w:rsidRPr="00F45A1F" w:rsidRDefault="00780CBF" w:rsidP="005144E2">
      <w:pPr>
        <w:jc w:val="both"/>
        <w:rPr>
          <w:rFonts w:ascii="Arial" w:hAnsi="Arial" w:cs="Arial"/>
          <w:noProof/>
        </w:rPr>
      </w:pPr>
    </w:p>
    <w:p w14:paraId="719C2BE2" w14:textId="77777777" w:rsidR="003F4719" w:rsidRPr="00F45A1F" w:rsidRDefault="003F4719" w:rsidP="005144E2">
      <w:pPr>
        <w:widowControl/>
        <w:tabs>
          <w:tab w:val="center" w:pos="4419"/>
          <w:tab w:val="right" w:pos="8838"/>
        </w:tabs>
        <w:jc w:val="both"/>
        <w:rPr>
          <w:rFonts w:ascii="Arial" w:hAnsi="Arial" w:cs="Arial"/>
        </w:rPr>
      </w:pPr>
      <w:r w:rsidRPr="00F45A1F">
        <w:rPr>
          <w:rFonts w:ascii="Arial" w:hAnsi="Arial" w:cs="Arial"/>
        </w:rPr>
        <w:t xml:space="preserve">Mensalmente, a Eletrobras informa à ELETRONUCLEAR, os rendimentos financeiros incorridos durante o período sobre as aplicações do fundo, com a devida tributação do imposto de renda na fonte. </w:t>
      </w:r>
    </w:p>
    <w:p w14:paraId="0F4C724B" w14:textId="77777777" w:rsidR="006B0D3E" w:rsidRPr="00F45A1F" w:rsidRDefault="006B0D3E" w:rsidP="005144E2">
      <w:pPr>
        <w:widowControl/>
        <w:tabs>
          <w:tab w:val="center" w:pos="4419"/>
          <w:tab w:val="right" w:pos="8838"/>
        </w:tabs>
        <w:jc w:val="both"/>
        <w:rPr>
          <w:rFonts w:ascii="Arial" w:hAnsi="Arial" w:cs="Arial"/>
        </w:rPr>
      </w:pPr>
    </w:p>
    <w:p w14:paraId="02C95E06" w14:textId="6034EB19" w:rsidR="009E3291" w:rsidRPr="00F45A1F" w:rsidRDefault="003F4719" w:rsidP="005144E2">
      <w:pPr>
        <w:widowControl/>
        <w:tabs>
          <w:tab w:val="center" w:pos="4419"/>
          <w:tab w:val="right" w:pos="8838"/>
        </w:tabs>
        <w:jc w:val="both"/>
        <w:rPr>
          <w:rFonts w:ascii="Arial" w:hAnsi="Arial" w:cs="Arial"/>
        </w:rPr>
      </w:pPr>
      <w:r w:rsidRPr="00F45A1F">
        <w:rPr>
          <w:rFonts w:ascii="Arial" w:hAnsi="Arial" w:cs="Arial"/>
        </w:rPr>
        <w:t xml:space="preserve">Em </w:t>
      </w:r>
      <w:r w:rsidR="004403D5" w:rsidRPr="00F45A1F">
        <w:rPr>
          <w:rFonts w:ascii="Arial" w:hAnsi="Arial" w:cs="Arial"/>
        </w:rPr>
        <w:t xml:space="preserve">31 de </w:t>
      </w:r>
      <w:r w:rsidR="009953EA" w:rsidRPr="00F45A1F">
        <w:rPr>
          <w:rFonts w:ascii="Arial" w:hAnsi="Arial" w:cs="Arial"/>
        </w:rPr>
        <w:t>março de 2020</w:t>
      </w:r>
      <w:r w:rsidRPr="00F45A1F">
        <w:rPr>
          <w:rFonts w:ascii="Arial" w:hAnsi="Arial" w:cs="Arial"/>
        </w:rPr>
        <w:t>, o fundo</w:t>
      </w:r>
      <w:r w:rsidR="002C569F" w:rsidRPr="00F45A1F">
        <w:rPr>
          <w:rFonts w:ascii="Arial" w:hAnsi="Arial" w:cs="Arial"/>
        </w:rPr>
        <w:t xml:space="preserve"> para </w:t>
      </w:r>
      <w:proofErr w:type="spellStart"/>
      <w:r w:rsidR="002C569F" w:rsidRPr="00F45A1F">
        <w:rPr>
          <w:rFonts w:ascii="Arial" w:hAnsi="Arial" w:cs="Arial"/>
        </w:rPr>
        <w:t>descomissionamento</w:t>
      </w:r>
      <w:proofErr w:type="spellEnd"/>
      <w:r w:rsidR="0030478A" w:rsidRPr="00F45A1F">
        <w:rPr>
          <w:rFonts w:ascii="Arial" w:hAnsi="Arial" w:cs="Arial"/>
        </w:rPr>
        <w:t xml:space="preserve">, </w:t>
      </w:r>
      <w:r w:rsidR="002C569F" w:rsidRPr="00F45A1F">
        <w:rPr>
          <w:rFonts w:ascii="Arial" w:hAnsi="Arial" w:cs="Arial"/>
        </w:rPr>
        <w:t>T</w:t>
      </w:r>
      <w:r w:rsidR="0030478A" w:rsidRPr="00F45A1F">
        <w:rPr>
          <w:rFonts w:ascii="Arial" w:hAnsi="Arial" w:cs="Arial"/>
        </w:rPr>
        <w:t xml:space="preserve">ítulos de Valores </w:t>
      </w:r>
      <w:proofErr w:type="gramStart"/>
      <w:r w:rsidR="0030478A" w:rsidRPr="00F45A1F">
        <w:rPr>
          <w:rFonts w:ascii="Arial" w:hAnsi="Arial" w:cs="Arial"/>
        </w:rPr>
        <w:t>Mobiliários -TVM</w:t>
      </w:r>
      <w:proofErr w:type="gramEnd"/>
      <w:r w:rsidR="002C569F" w:rsidRPr="00F45A1F">
        <w:rPr>
          <w:rFonts w:ascii="Arial" w:hAnsi="Arial" w:cs="Arial"/>
        </w:rPr>
        <w:t xml:space="preserve"> de longo prazo</w:t>
      </w:r>
      <w:r w:rsidR="0030478A" w:rsidRPr="00F45A1F">
        <w:rPr>
          <w:rFonts w:ascii="Arial" w:hAnsi="Arial" w:cs="Arial"/>
        </w:rPr>
        <w:t>,</w:t>
      </w:r>
      <w:r w:rsidRPr="00F45A1F">
        <w:rPr>
          <w:rFonts w:ascii="Arial" w:hAnsi="Arial" w:cs="Arial"/>
        </w:rPr>
        <w:t xml:space="preserve"> apresenta </w:t>
      </w:r>
      <w:r w:rsidR="002F45E6" w:rsidRPr="00F45A1F">
        <w:rPr>
          <w:rFonts w:ascii="Arial" w:hAnsi="Arial" w:cs="Arial"/>
        </w:rPr>
        <w:t>ganho</w:t>
      </w:r>
      <w:r w:rsidR="009953EA" w:rsidRPr="00F45A1F">
        <w:rPr>
          <w:rFonts w:ascii="Arial" w:hAnsi="Arial" w:cs="Arial"/>
        </w:rPr>
        <w:t xml:space="preserve"> </w:t>
      </w:r>
      <w:r w:rsidRPr="00F45A1F">
        <w:rPr>
          <w:rFonts w:ascii="Arial" w:hAnsi="Arial" w:cs="Arial"/>
        </w:rPr>
        <w:t>financeir</w:t>
      </w:r>
      <w:r w:rsidR="002F45E6" w:rsidRPr="00F45A1F">
        <w:rPr>
          <w:rFonts w:ascii="Arial" w:hAnsi="Arial" w:cs="Arial"/>
        </w:rPr>
        <w:t>o</w:t>
      </w:r>
      <w:r w:rsidR="009953EA" w:rsidRPr="00F45A1F">
        <w:rPr>
          <w:rFonts w:ascii="Arial" w:hAnsi="Arial" w:cs="Arial"/>
        </w:rPr>
        <w:t xml:space="preserve"> </w:t>
      </w:r>
      <w:r w:rsidRPr="00F45A1F">
        <w:rPr>
          <w:rFonts w:ascii="Arial" w:hAnsi="Arial" w:cs="Arial"/>
        </w:rPr>
        <w:t xml:space="preserve">de </w:t>
      </w:r>
      <w:r w:rsidR="00426CC3" w:rsidRPr="00F45A1F">
        <w:rPr>
          <w:rFonts w:ascii="Arial" w:hAnsi="Arial" w:cs="Arial"/>
        </w:rPr>
        <w:t>R$</w:t>
      </w:r>
      <w:r w:rsidR="00B04D4E" w:rsidRPr="00F45A1F">
        <w:rPr>
          <w:rFonts w:ascii="Arial" w:hAnsi="Arial" w:cs="Arial"/>
        </w:rPr>
        <w:t xml:space="preserve"> </w:t>
      </w:r>
      <w:r w:rsidR="001D7949" w:rsidRPr="00F45A1F">
        <w:rPr>
          <w:rFonts w:ascii="Arial" w:hAnsi="Arial" w:cs="Arial"/>
        </w:rPr>
        <w:t>370.614 (</w:t>
      </w:r>
      <w:r w:rsidR="008E6B5F" w:rsidRPr="00F45A1F">
        <w:rPr>
          <w:rFonts w:ascii="Arial" w:hAnsi="Arial" w:cs="Arial"/>
        </w:rPr>
        <w:t>n</w:t>
      </w:r>
      <w:r w:rsidRPr="00F45A1F">
        <w:rPr>
          <w:rFonts w:ascii="Arial" w:hAnsi="Arial" w:cs="Arial"/>
        </w:rPr>
        <w:t xml:space="preserve">ota </w:t>
      </w:r>
      <w:r w:rsidR="00B8395F" w:rsidRPr="00F45A1F">
        <w:rPr>
          <w:rFonts w:ascii="Arial" w:hAnsi="Arial" w:cs="Arial"/>
        </w:rPr>
        <w:t>31</w:t>
      </w:r>
      <w:r w:rsidRPr="00F45A1F">
        <w:rPr>
          <w:rFonts w:ascii="Arial" w:hAnsi="Arial" w:cs="Arial"/>
        </w:rPr>
        <w:t xml:space="preserve">), </w:t>
      </w:r>
      <w:r w:rsidRPr="0006108F">
        <w:rPr>
          <w:rFonts w:ascii="Arial" w:hAnsi="Arial" w:cs="Arial"/>
        </w:rPr>
        <w:t>(</w:t>
      </w:r>
      <w:r w:rsidR="00DC130D" w:rsidRPr="0006108F">
        <w:rPr>
          <w:rFonts w:ascii="Arial" w:hAnsi="Arial" w:cs="Arial"/>
        </w:rPr>
        <w:t>ganho</w:t>
      </w:r>
      <w:r w:rsidR="007B5F03" w:rsidRPr="0006108F">
        <w:rPr>
          <w:rFonts w:ascii="Arial" w:hAnsi="Arial" w:cs="Arial"/>
        </w:rPr>
        <w:t xml:space="preserve"> financeir</w:t>
      </w:r>
      <w:r w:rsidR="00DC130D" w:rsidRPr="0006108F">
        <w:rPr>
          <w:rFonts w:ascii="Arial" w:hAnsi="Arial" w:cs="Arial"/>
        </w:rPr>
        <w:t>o</w:t>
      </w:r>
      <w:r w:rsidR="007B5F03" w:rsidRPr="0006108F">
        <w:rPr>
          <w:rFonts w:ascii="Arial" w:hAnsi="Arial" w:cs="Arial"/>
        </w:rPr>
        <w:t xml:space="preserve"> de </w:t>
      </w:r>
      <w:r w:rsidRPr="0006108F">
        <w:rPr>
          <w:rFonts w:ascii="Arial" w:hAnsi="Arial" w:cs="Arial"/>
        </w:rPr>
        <w:t>R$</w:t>
      </w:r>
      <w:r w:rsidR="00B04D4E" w:rsidRPr="0006108F">
        <w:rPr>
          <w:rFonts w:ascii="Arial" w:hAnsi="Arial" w:cs="Arial"/>
        </w:rPr>
        <w:t xml:space="preserve"> </w:t>
      </w:r>
      <w:r w:rsidR="0006108F" w:rsidRPr="0006108F">
        <w:rPr>
          <w:rFonts w:ascii="Arial" w:hAnsi="Arial" w:cs="Arial"/>
        </w:rPr>
        <w:t>2</w:t>
      </w:r>
      <w:r w:rsidR="001D7949" w:rsidRPr="0006108F">
        <w:rPr>
          <w:rFonts w:ascii="Arial" w:hAnsi="Arial" w:cs="Arial"/>
        </w:rPr>
        <w:t>4.758</w:t>
      </w:r>
      <w:r w:rsidR="009953EA" w:rsidRPr="0006108F">
        <w:rPr>
          <w:rFonts w:ascii="Arial" w:hAnsi="Arial" w:cs="Arial"/>
        </w:rPr>
        <w:t xml:space="preserve"> </w:t>
      </w:r>
      <w:r w:rsidRPr="0006108F">
        <w:rPr>
          <w:rFonts w:ascii="Arial" w:hAnsi="Arial" w:cs="Arial"/>
        </w:rPr>
        <w:t>em</w:t>
      </w:r>
      <w:r w:rsidR="000136BD" w:rsidRPr="0006108F">
        <w:rPr>
          <w:rFonts w:ascii="Arial" w:hAnsi="Arial" w:cs="Arial"/>
        </w:rPr>
        <w:t xml:space="preserve"> 3</w:t>
      </w:r>
      <w:r w:rsidR="00F95292" w:rsidRPr="0006108F">
        <w:rPr>
          <w:rFonts w:ascii="Arial" w:hAnsi="Arial" w:cs="Arial"/>
        </w:rPr>
        <w:t>1</w:t>
      </w:r>
      <w:r w:rsidR="000136BD" w:rsidRPr="0006108F">
        <w:rPr>
          <w:rFonts w:ascii="Arial" w:hAnsi="Arial" w:cs="Arial"/>
        </w:rPr>
        <w:t xml:space="preserve"> de</w:t>
      </w:r>
      <w:r w:rsidR="009953EA" w:rsidRPr="0006108F">
        <w:rPr>
          <w:rFonts w:ascii="Arial" w:hAnsi="Arial" w:cs="Arial"/>
        </w:rPr>
        <w:t xml:space="preserve"> </w:t>
      </w:r>
      <w:r w:rsidR="001D7949" w:rsidRPr="0006108F">
        <w:rPr>
          <w:rFonts w:ascii="Arial" w:hAnsi="Arial" w:cs="Arial"/>
        </w:rPr>
        <w:t>março de</w:t>
      </w:r>
      <w:r w:rsidRPr="0006108F">
        <w:rPr>
          <w:rFonts w:ascii="Arial" w:hAnsi="Arial" w:cs="Arial"/>
        </w:rPr>
        <w:t xml:space="preserve"> 201</w:t>
      </w:r>
      <w:r w:rsidR="009953EA" w:rsidRPr="0006108F">
        <w:rPr>
          <w:rFonts w:ascii="Arial" w:hAnsi="Arial" w:cs="Arial"/>
        </w:rPr>
        <w:t>9</w:t>
      </w:r>
      <w:r w:rsidRPr="0006108F">
        <w:rPr>
          <w:rFonts w:ascii="Arial" w:hAnsi="Arial" w:cs="Arial"/>
        </w:rPr>
        <w:t>), em função da carteira do</w:t>
      </w:r>
      <w:r w:rsidRPr="00F45A1F">
        <w:rPr>
          <w:rFonts w:ascii="Arial" w:hAnsi="Arial" w:cs="Arial"/>
        </w:rPr>
        <w:t xml:space="preserve"> Fundo Financeiro do Banco do Brasil para </w:t>
      </w:r>
      <w:proofErr w:type="spellStart"/>
      <w:r w:rsidRPr="00F45A1F">
        <w:rPr>
          <w:rFonts w:ascii="Arial" w:hAnsi="Arial" w:cs="Arial"/>
        </w:rPr>
        <w:t>descomissionamento</w:t>
      </w:r>
      <w:proofErr w:type="spellEnd"/>
      <w:r w:rsidRPr="00F45A1F">
        <w:rPr>
          <w:rFonts w:ascii="Arial" w:hAnsi="Arial" w:cs="Arial"/>
        </w:rPr>
        <w:t xml:space="preserve"> conter</w:t>
      </w:r>
      <w:r w:rsidR="00515D44" w:rsidRPr="00F45A1F">
        <w:rPr>
          <w:rFonts w:ascii="Arial" w:hAnsi="Arial" w:cs="Arial"/>
        </w:rPr>
        <w:t xml:space="preserve"> </w:t>
      </w:r>
      <w:r w:rsidRPr="00F45A1F">
        <w:rPr>
          <w:rFonts w:ascii="Arial" w:hAnsi="Arial" w:cs="Arial"/>
        </w:rPr>
        <w:t xml:space="preserve">título </w:t>
      </w:r>
      <w:r w:rsidR="000A5A97" w:rsidRPr="00F45A1F">
        <w:rPr>
          <w:rFonts w:ascii="Arial" w:hAnsi="Arial" w:cs="Arial"/>
        </w:rPr>
        <w:t xml:space="preserve">público </w:t>
      </w:r>
      <w:r w:rsidRPr="00F45A1F">
        <w:rPr>
          <w:rFonts w:ascii="Arial" w:hAnsi="Arial" w:cs="Arial"/>
        </w:rPr>
        <w:t>vinculado à variação da moeda dólar norte-americano</w:t>
      </w:r>
      <w:r w:rsidR="003C7E07" w:rsidRPr="00F45A1F">
        <w:rPr>
          <w:rFonts w:ascii="Arial" w:hAnsi="Arial" w:cs="Arial"/>
        </w:rPr>
        <w:t xml:space="preserve">. </w:t>
      </w:r>
      <w:r w:rsidRPr="00F45A1F">
        <w:rPr>
          <w:rFonts w:ascii="Arial" w:hAnsi="Arial" w:cs="Arial"/>
        </w:rPr>
        <w:t>Em 20</w:t>
      </w:r>
      <w:r w:rsidR="009953EA" w:rsidRPr="00F45A1F">
        <w:rPr>
          <w:rFonts w:ascii="Arial" w:hAnsi="Arial" w:cs="Arial"/>
        </w:rPr>
        <w:t>20</w:t>
      </w:r>
      <w:r w:rsidR="000136BD" w:rsidRPr="00F45A1F">
        <w:rPr>
          <w:rFonts w:ascii="Arial" w:hAnsi="Arial" w:cs="Arial"/>
        </w:rPr>
        <w:t>,</w:t>
      </w:r>
      <w:r w:rsidRPr="00F45A1F">
        <w:rPr>
          <w:rFonts w:ascii="Arial" w:hAnsi="Arial" w:cs="Arial"/>
        </w:rPr>
        <w:t xml:space="preserve"> foram aplicados </w:t>
      </w:r>
      <w:r w:rsidR="00E55CF1" w:rsidRPr="00F45A1F">
        <w:rPr>
          <w:rFonts w:ascii="Arial" w:hAnsi="Arial" w:cs="Arial"/>
        </w:rPr>
        <w:t>R</w:t>
      </w:r>
      <w:r w:rsidR="0097584C" w:rsidRPr="00F45A1F">
        <w:rPr>
          <w:rFonts w:ascii="Arial" w:hAnsi="Arial" w:cs="Arial"/>
        </w:rPr>
        <w:t>$</w:t>
      </w:r>
      <w:r w:rsidR="001D7949" w:rsidRPr="00F45A1F">
        <w:rPr>
          <w:rFonts w:ascii="Arial" w:hAnsi="Arial" w:cs="Arial"/>
        </w:rPr>
        <w:t xml:space="preserve"> 45.764</w:t>
      </w:r>
      <w:r w:rsidR="009953EA" w:rsidRPr="00F45A1F">
        <w:rPr>
          <w:rFonts w:ascii="Arial" w:hAnsi="Arial" w:cs="Arial"/>
        </w:rPr>
        <w:t xml:space="preserve"> </w:t>
      </w:r>
      <w:r w:rsidRPr="00F45A1F">
        <w:rPr>
          <w:rFonts w:ascii="Arial" w:hAnsi="Arial" w:cs="Arial"/>
        </w:rPr>
        <w:t xml:space="preserve">no fundo para </w:t>
      </w:r>
      <w:proofErr w:type="spellStart"/>
      <w:r w:rsidRPr="00F45A1F">
        <w:rPr>
          <w:rFonts w:ascii="Arial" w:hAnsi="Arial" w:cs="Arial"/>
        </w:rPr>
        <w:t>descomissionamento</w:t>
      </w:r>
      <w:proofErr w:type="spellEnd"/>
      <w:r w:rsidR="002B35B6" w:rsidRPr="00F45A1F">
        <w:rPr>
          <w:rFonts w:ascii="Arial" w:hAnsi="Arial" w:cs="Arial"/>
        </w:rPr>
        <w:t xml:space="preserve"> (R$</w:t>
      </w:r>
      <w:r w:rsidR="001D7949" w:rsidRPr="00F45A1F">
        <w:rPr>
          <w:rFonts w:ascii="Arial" w:hAnsi="Arial" w:cs="Arial"/>
        </w:rPr>
        <w:t xml:space="preserve"> 43.277</w:t>
      </w:r>
      <w:r w:rsidR="002B35B6" w:rsidRPr="00F45A1F">
        <w:rPr>
          <w:rFonts w:ascii="Arial" w:hAnsi="Arial" w:cs="Arial"/>
        </w:rPr>
        <w:t xml:space="preserve"> referente</w:t>
      </w:r>
      <w:r w:rsidR="00DC3E2F" w:rsidRPr="00F45A1F">
        <w:rPr>
          <w:rFonts w:ascii="Arial" w:hAnsi="Arial" w:cs="Arial"/>
        </w:rPr>
        <w:t>s</w:t>
      </w:r>
      <w:r w:rsidR="002B35B6" w:rsidRPr="00F45A1F">
        <w:rPr>
          <w:rFonts w:ascii="Arial" w:hAnsi="Arial" w:cs="Arial"/>
        </w:rPr>
        <w:t xml:space="preserve"> aos recolhimentos mensais</w:t>
      </w:r>
      <w:r w:rsidR="005F4312" w:rsidRPr="00F45A1F">
        <w:rPr>
          <w:rFonts w:ascii="Arial" w:hAnsi="Arial" w:cs="Arial"/>
        </w:rPr>
        <w:t xml:space="preserve">, R$ </w:t>
      </w:r>
      <w:r w:rsidR="001D7949" w:rsidRPr="00F45A1F">
        <w:rPr>
          <w:rFonts w:ascii="Arial" w:hAnsi="Arial" w:cs="Arial"/>
        </w:rPr>
        <w:t>2.477</w:t>
      </w:r>
      <w:r w:rsidR="005F4312" w:rsidRPr="00F45A1F">
        <w:rPr>
          <w:rFonts w:ascii="Arial" w:hAnsi="Arial" w:cs="Arial"/>
        </w:rPr>
        <w:t xml:space="preserve"> referentes aos recolhimentos adicionais</w:t>
      </w:r>
      <w:r w:rsidR="001D7949" w:rsidRPr="00F45A1F">
        <w:rPr>
          <w:rFonts w:ascii="Arial" w:hAnsi="Arial" w:cs="Arial"/>
        </w:rPr>
        <w:t xml:space="preserve"> </w:t>
      </w:r>
      <w:r w:rsidR="00600122" w:rsidRPr="00F45A1F">
        <w:rPr>
          <w:rFonts w:ascii="Arial" w:hAnsi="Arial" w:cs="Arial"/>
        </w:rPr>
        <w:t xml:space="preserve">e foram retidos R$ </w:t>
      </w:r>
      <w:r w:rsidR="001D7949" w:rsidRPr="00F45A1F">
        <w:rPr>
          <w:rFonts w:ascii="Arial" w:hAnsi="Arial" w:cs="Arial"/>
        </w:rPr>
        <w:t>22</w:t>
      </w:r>
      <w:r w:rsidR="00600122" w:rsidRPr="00F45A1F">
        <w:rPr>
          <w:rFonts w:ascii="Arial" w:hAnsi="Arial" w:cs="Arial"/>
        </w:rPr>
        <w:t xml:space="preserve"> a título de IRRF sobre os rendimentos do Exercício </w:t>
      </w:r>
      <w:r w:rsidR="006867EE" w:rsidRPr="00F45A1F">
        <w:rPr>
          <w:rFonts w:ascii="Arial" w:hAnsi="Arial" w:cs="Arial"/>
        </w:rPr>
        <w:t xml:space="preserve">de </w:t>
      </w:r>
      <w:r w:rsidR="00600122" w:rsidRPr="00F45A1F">
        <w:rPr>
          <w:rFonts w:ascii="Arial" w:hAnsi="Arial" w:cs="Arial"/>
        </w:rPr>
        <w:t>20</w:t>
      </w:r>
      <w:r w:rsidR="00B41AFC" w:rsidRPr="00F45A1F">
        <w:rPr>
          <w:rFonts w:ascii="Arial" w:hAnsi="Arial" w:cs="Arial"/>
        </w:rPr>
        <w:t>20</w:t>
      </w:r>
      <w:r w:rsidR="001D7949" w:rsidRPr="00F45A1F">
        <w:rPr>
          <w:rFonts w:ascii="Arial" w:hAnsi="Arial" w:cs="Arial"/>
        </w:rPr>
        <w:t>.</w:t>
      </w:r>
    </w:p>
    <w:p w14:paraId="0228B731" w14:textId="77777777" w:rsidR="001D7949" w:rsidRPr="00F45A1F" w:rsidRDefault="001D7949" w:rsidP="005144E2">
      <w:pPr>
        <w:widowControl/>
        <w:tabs>
          <w:tab w:val="center" w:pos="4419"/>
          <w:tab w:val="right" w:pos="8838"/>
        </w:tabs>
        <w:jc w:val="both"/>
        <w:rPr>
          <w:rFonts w:ascii="Arial" w:hAnsi="Arial" w:cs="Arial"/>
        </w:rPr>
      </w:pPr>
    </w:p>
    <w:p w14:paraId="6F089051" w14:textId="77777777" w:rsidR="00BC46FA" w:rsidRPr="00F45A1F" w:rsidRDefault="003F4719" w:rsidP="005144E2">
      <w:pPr>
        <w:widowControl/>
        <w:tabs>
          <w:tab w:val="center" w:pos="4419"/>
          <w:tab w:val="right" w:pos="8838"/>
        </w:tabs>
        <w:jc w:val="both"/>
        <w:rPr>
          <w:rFonts w:ascii="Arial" w:hAnsi="Arial" w:cs="Arial"/>
        </w:rPr>
      </w:pPr>
      <w:r w:rsidRPr="00F45A1F">
        <w:rPr>
          <w:rFonts w:ascii="Arial" w:hAnsi="Arial" w:cs="Arial"/>
        </w:rPr>
        <w:t xml:space="preserve">Abaixo, apresentamos o quadro da composição do fundo para </w:t>
      </w:r>
      <w:proofErr w:type="spellStart"/>
      <w:r w:rsidRPr="00F45A1F">
        <w:rPr>
          <w:rFonts w:ascii="Arial" w:hAnsi="Arial" w:cs="Arial"/>
        </w:rPr>
        <w:t>descomissionamento</w:t>
      </w:r>
      <w:proofErr w:type="spellEnd"/>
      <w:r w:rsidRPr="00F45A1F">
        <w:rPr>
          <w:rFonts w:ascii="Arial" w:hAnsi="Arial" w:cs="Arial"/>
        </w:rPr>
        <w:t>:</w:t>
      </w:r>
    </w:p>
    <w:p w14:paraId="36956922" w14:textId="77777777" w:rsidR="003F4719" w:rsidRPr="00F45A1F" w:rsidRDefault="003F4719" w:rsidP="005144E2">
      <w:pPr>
        <w:widowControl/>
        <w:tabs>
          <w:tab w:val="center" w:pos="4419"/>
          <w:tab w:val="right" w:pos="8838"/>
        </w:tabs>
        <w:jc w:val="both"/>
        <w:rPr>
          <w:rFonts w:ascii="Arial" w:hAnsi="Arial" w:cs="Arial"/>
          <w:sz w:val="16"/>
          <w:szCs w:val="16"/>
        </w:rPr>
      </w:pPr>
    </w:p>
    <w:p w14:paraId="1CEF1D56" w14:textId="77777777" w:rsidR="008167EF" w:rsidRPr="00F45A1F" w:rsidRDefault="0042533B" w:rsidP="005144E2">
      <w:pPr>
        <w:widowControl/>
        <w:jc w:val="both"/>
        <w:rPr>
          <w:rFonts w:ascii="Arial" w:hAnsi="Arial" w:cs="Arial"/>
          <w:b/>
        </w:rPr>
      </w:pPr>
      <w:r w:rsidRPr="00F45A1F">
        <w:rPr>
          <w:noProof/>
        </w:rPr>
        <w:drawing>
          <wp:inline distT="0" distB="0" distL="0" distR="0" wp14:anchorId="76501E90" wp14:editId="7AB181DB">
            <wp:extent cx="5724525" cy="2190750"/>
            <wp:effectExtent l="0" t="0" r="9525" b="0"/>
            <wp:docPr id="94"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4525" cy="2190750"/>
                    </a:xfrm>
                    <a:prstGeom prst="rect">
                      <a:avLst/>
                    </a:prstGeom>
                    <a:noFill/>
                    <a:ln>
                      <a:noFill/>
                    </a:ln>
                  </pic:spPr>
                </pic:pic>
              </a:graphicData>
            </a:graphic>
          </wp:inline>
        </w:drawing>
      </w:r>
    </w:p>
    <w:p w14:paraId="1C4539DF" w14:textId="77777777" w:rsidR="009E3291" w:rsidRPr="00F45A1F" w:rsidRDefault="009E3291" w:rsidP="005144E2">
      <w:pPr>
        <w:widowControl/>
        <w:jc w:val="both"/>
        <w:rPr>
          <w:rFonts w:ascii="Arial" w:hAnsi="Arial" w:cs="Arial"/>
          <w:b/>
        </w:rPr>
      </w:pPr>
    </w:p>
    <w:p w14:paraId="26C9DA62" w14:textId="77777777" w:rsidR="009E3291" w:rsidRPr="00F45A1F" w:rsidRDefault="009E3291" w:rsidP="005144E2">
      <w:pPr>
        <w:widowControl/>
        <w:jc w:val="both"/>
        <w:rPr>
          <w:rFonts w:ascii="Arial" w:hAnsi="Arial" w:cs="Arial"/>
          <w:b/>
        </w:rPr>
      </w:pPr>
    </w:p>
    <w:p w14:paraId="28CBA830" w14:textId="77777777" w:rsidR="007C7EE3" w:rsidRPr="00F45A1F" w:rsidRDefault="007C7EE3" w:rsidP="005144E2">
      <w:pPr>
        <w:widowControl/>
        <w:jc w:val="both"/>
        <w:rPr>
          <w:rFonts w:ascii="Arial" w:hAnsi="Arial" w:cs="Arial"/>
          <w:b/>
        </w:rPr>
      </w:pPr>
    </w:p>
    <w:p w14:paraId="27FFF0F6" w14:textId="77777777" w:rsidR="003F4719" w:rsidRPr="00F45A1F" w:rsidRDefault="003F4719" w:rsidP="005144E2">
      <w:pPr>
        <w:widowControl/>
        <w:jc w:val="both"/>
        <w:rPr>
          <w:rFonts w:ascii="Arial" w:hAnsi="Arial" w:cs="Arial"/>
          <w:b/>
          <w:sz w:val="26"/>
          <w:szCs w:val="26"/>
        </w:rPr>
      </w:pPr>
      <w:r w:rsidRPr="00F45A1F">
        <w:rPr>
          <w:rFonts w:ascii="Arial" w:hAnsi="Arial" w:cs="Arial"/>
          <w:b/>
          <w:sz w:val="26"/>
          <w:szCs w:val="26"/>
        </w:rPr>
        <w:t xml:space="preserve">NOTA 12 – DEPÓSITOS VINCULADOS </w:t>
      </w:r>
    </w:p>
    <w:p w14:paraId="471EA8B2" w14:textId="77777777" w:rsidR="00A86013" w:rsidRPr="00F45A1F" w:rsidRDefault="00A86013" w:rsidP="005144E2">
      <w:pPr>
        <w:widowControl/>
        <w:jc w:val="both"/>
        <w:rPr>
          <w:rFonts w:ascii="Arial" w:hAnsi="Arial" w:cs="Arial"/>
          <w:b/>
        </w:rPr>
      </w:pPr>
    </w:p>
    <w:p w14:paraId="7E3A971E" w14:textId="77777777" w:rsidR="00021E38" w:rsidRPr="00F45A1F" w:rsidRDefault="003F4719" w:rsidP="005144E2">
      <w:pPr>
        <w:widowControl/>
        <w:jc w:val="both"/>
        <w:rPr>
          <w:rFonts w:ascii="Arial" w:hAnsi="Arial" w:cs="Arial"/>
          <w:b/>
        </w:rPr>
      </w:pPr>
      <w:r w:rsidRPr="00F45A1F">
        <w:rPr>
          <w:rFonts w:ascii="Arial" w:hAnsi="Arial" w:cs="Arial"/>
          <w:b/>
        </w:rPr>
        <w:t xml:space="preserve">a) Composição </w:t>
      </w:r>
    </w:p>
    <w:p w14:paraId="0844B350" w14:textId="77777777" w:rsidR="00CD4296" w:rsidRPr="00F45A1F" w:rsidRDefault="00CD4296" w:rsidP="005144E2">
      <w:pPr>
        <w:widowControl/>
        <w:jc w:val="both"/>
        <w:rPr>
          <w:rFonts w:ascii="Arial" w:hAnsi="Arial" w:cs="Arial"/>
          <w:b/>
        </w:rPr>
      </w:pPr>
    </w:p>
    <w:p w14:paraId="4E9FB657" w14:textId="7767F576" w:rsidR="002E22C8" w:rsidRPr="00F45A1F" w:rsidRDefault="00F24311" w:rsidP="005144E2">
      <w:pPr>
        <w:widowControl/>
        <w:jc w:val="both"/>
        <w:rPr>
          <w:rFonts w:ascii="Arial" w:hAnsi="Arial" w:cs="Arial"/>
          <w:b/>
        </w:rPr>
      </w:pPr>
      <w:r w:rsidRPr="00F24311">
        <w:rPr>
          <w:noProof/>
        </w:rPr>
        <w:drawing>
          <wp:inline distT="0" distB="0" distL="0" distR="0" wp14:anchorId="2EFF33A8" wp14:editId="35D2EA01">
            <wp:extent cx="5797550" cy="2110740"/>
            <wp:effectExtent l="0" t="0" r="0" b="381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7550" cy="2110740"/>
                    </a:xfrm>
                    <a:prstGeom prst="rect">
                      <a:avLst/>
                    </a:prstGeom>
                    <a:noFill/>
                    <a:ln>
                      <a:noFill/>
                    </a:ln>
                  </pic:spPr>
                </pic:pic>
              </a:graphicData>
            </a:graphic>
          </wp:inline>
        </w:drawing>
      </w:r>
    </w:p>
    <w:p w14:paraId="30A89E0D" w14:textId="77777777" w:rsidR="00515D44" w:rsidRPr="00F45A1F" w:rsidRDefault="00515D44" w:rsidP="005144E2">
      <w:pPr>
        <w:widowControl/>
        <w:jc w:val="both"/>
        <w:rPr>
          <w:rFonts w:ascii="Arial" w:hAnsi="Arial" w:cs="Arial"/>
          <w:b/>
        </w:rPr>
      </w:pPr>
    </w:p>
    <w:p w14:paraId="4FC43675" w14:textId="77777777" w:rsidR="003F4719" w:rsidRPr="00F45A1F" w:rsidRDefault="003F4719" w:rsidP="005144E2">
      <w:pPr>
        <w:pStyle w:val="PargrafodaLista"/>
        <w:widowControl/>
        <w:numPr>
          <w:ilvl w:val="0"/>
          <w:numId w:val="13"/>
        </w:numPr>
        <w:ind w:left="284" w:hanging="284"/>
        <w:jc w:val="both"/>
        <w:rPr>
          <w:rFonts w:ascii="Arial" w:hAnsi="Arial" w:cs="Arial"/>
          <w:b/>
        </w:rPr>
      </w:pPr>
      <w:r w:rsidRPr="00F45A1F">
        <w:rPr>
          <w:rFonts w:ascii="Arial" w:hAnsi="Arial" w:cs="Arial"/>
          <w:b/>
        </w:rPr>
        <w:t>Movimentação</w:t>
      </w:r>
      <w:r w:rsidR="00325A12" w:rsidRPr="00F45A1F">
        <w:rPr>
          <w:rFonts w:ascii="Arial" w:hAnsi="Arial" w:cs="Arial"/>
          <w:b/>
        </w:rPr>
        <w:t xml:space="preserve"> </w:t>
      </w:r>
    </w:p>
    <w:p w14:paraId="44B302F5" w14:textId="77777777" w:rsidR="00A77C74" w:rsidRPr="00F45A1F" w:rsidRDefault="00A77C74" w:rsidP="005144E2">
      <w:pPr>
        <w:widowControl/>
        <w:jc w:val="both"/>
        <w:rPr>
          <w:rFonts w:ascii="Arial" w:hAnsi="Arial" w:cs="Arial"/>
          <w:b/>
        </w:rPr>
      </w:pPr>
    </w:p>
    <w:p w14:paraId="22854573" w14:textId="118E375A" w:rsidR="00161BB0" w:rsidRPr="00F45A1F" w:rsidRDefault="00F24311" w:rsidP="005144E2">
      <w:pPr>
        <w:widowControl/>
        <w:jc w:val="both"/>
        <w:rPr>
          <w:rFonts w:ascii="Arial" w:hAnsi="Arial" w:cs="Arial"/>
          <w:b/>
        </w:rPr>
      </w:pPr>
      <w:r w:rsidRPr="00F24311">
        <w:rPr>
          <w:noProof/>
        </w:rPr>
        <w:drawing>
          <wp:inline distT="0" distB="0" distL="0" distR="0" wp14:anchorId="5E64F9DC" wp14:editId="6136E223">
            <wp:extent cx="5360035" cy="1731645"/>
            <wp:effectExtent l="0" t="0" r="0" b="190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60035" cy="1731645"/>
                    </a:xfrm>
                    <a:prstGeom prst="rect">
                      <a:avLst/>
                    </a:prstGeom>
                    <a:noFill/>
                    <a:ln>
                      <a:noFill/>
                    </a:ln>
                  </pic:spPr>
                </pic:pic>
              </a:graphicData>
            </a:graphic>
          </wp:inline>
        </w:drawing>
      </w:r>
    </w:p>
    <w:p w14:paraId="47A292D9" w14:textId="77777777" w:rsidR="00C110ED" w:rsidRDefault="00C110ED" w:rsidP="005144E2">
      <w:pPr>
        <w:widowControl/>
        <w:jc w:val="both"/>
        <w:rPr>
          <w:rFonts w:ascii="Arial" w:hAnsi="Arial" w:cs="Arial"/>
          <w:b/>
        </w:rPr>
      </w:pPr>
    </w:p>
    <w:p w14:paraId="42E86646" w14:textId="77777777" w:rsidR="00C110ED" w:rsidRDefault="00C110ED" w:rsidP="005144E2">
      <w:pPr>
        <w:widowControl/>
        <w:jc w:val="both"/>
        <w:rPr>
          <w:rFonts w:ascii="Arial" w:hAnsi="Arial" w:cs="Arial"/>
          <w:b/>
        </w:rPr>
      </w:pPr>
    </w:p>
    <w:p w14:paraId="3A537E81" w14:textId="77777777" w:rsidR="00C110ED" w:rsidRPr="00F45A1F" w:rsidRDefault="00C110ED" w:rsidP="005144E2">
      <w:pPr>
        <w:widowControl/>
        <w:jc w:val="both"/>
        <w:rPr>
          <w:rFonts w:ascii="Arial" w:hAnsi="Arial" w:cs="Arial"/>
          <w:b/>
        </w:rPr>
      </w:pPr>
    </w:p>
    <w:p w14:paraId="64180057" w14:textId="77777777" w:rsidR="003B1C1D" w:rsidRPr="00F45A1F" w:rsidRDefault="003B1C1D" w:rsidP="005144E2">
      <w:pPr>
        <w:widowControl/>
        <w:jc w:val="both"/>
        <w:rPr>
          <w:rFonts w:ascii="Arial" w:hAnsi="Arial" w:cs="Arial"/>
          <w:b/>
          <w:sz w:val="26"/>
          <w:szCs w:val="26"/>
        </w:rPr>
      </w:pPr>
      <w:r w:rsidRPr="00F45A1F">
        <w:rPr>
          <w:rFonts w:ascii="Arial" w:hAnsi="Arial" w:cs="Arial"/>
          <w:b/>
          <w:sz w:val="26"/>
          <w:szCs w:val="26"/>
        </w:rPr>
        <w:t>NOTA 13 – ATIVOS FISCAIS DIFERIDOS SOBRE PREJUÍZOS FISCAIS</w:t>
      </w:r>
    </w:p>
    <w:p w14:paraId="1A099E59" w14:textId="77777777" w:rsidR="00D408D3" w:rsidRPr="00F45A1F" w:rsidRDefault="00D408D3" w:rsidP="005144E2">
      <w:pPr>
        <w:widowControl/>
        <w:jc w:val="both"/>
        <w:rPr>
          <w:rFonts w:ascii="Arial" w:hAnsi="Arial" w:cs="Arial"/>
        </w:rPr>
      </w:pPr>
    </w:p>
    <w:p w14:paraId="7E0C7799" w14:textId="7EF8874B" w:rsidR="0011247C" w:rsidRPr="00F45A1F" w:rsidRDefault="0011247C" w:rsidP="005144E2">
      <w:pPr>
        <w:jc w:val="both"/>
        <w:rPr>
          <w:rFonts w:ascii="Arial" w:hAnsi="Arial" w:cs="Arial"/>
        </w:rPr>
      </w:pPr>
      <w:r w:rsidRPr="00F45A1F">
        <w:rPr>
          <w:rFonts w:ascii="Arial" w:hAnsi="Arial" w:cs="Arial"/>
        </w:rPr>
        <w:t xml:space="preserve">A Companhia possui prejuízo fiscal no montante de R$ </w:t>
      </w:r>
      <w:r w:rsidR="002A2090">
        <w:rPr>
          <w:rFonts w:ascii="Arial" w:hAnsi="Arial"/>
          <w:szCs w:val="20"/>
        </w:rPr>
        <w:t>1.140.588</w:t>
      </w:r>
      <w:r w:rsidR="00295783">
        <w:rPr>
          <w:rFonts w:ascii="Arial" w:hAnsi="Arial"/>
          <w:szCs w:val="20"/>
        </w:rPr>
        <w:t xml:space="preserve"> </w:t>
      </w:r>
      <w:r w:rsidR="00996CFF" w:rsidRPr="00F45A1F">
        <w:rPr>
          <w:rFonts w:ascii="Arial" w:hAnsi="Arial" w:cs="Arial"/>
        </w:rPr>
        <w:t>em 31 de</w:t>
      </w:r>
      <w:r w:rsidR="00895B58" w:rsidRPr="00F45A1F">
        <w:rPr>
          <w:rFonts w:ascii="Arial" w:hAnsi="Arial" w:cs="Arial"/>
        </w:rPr>
        <w:t xml:space="preserve"> março</w:t>
      </w:r>
      <w:r w:rsidR="00996CFF" w:rsidRPr="00F45A1F">
        <w:rPr>
          <w:rFonts w:ascii="Arial" w:hAnsi="Arial" w:cs="Arial"/>
        </w:rPr>
        <w:t xml:space="preserve"> de 20</w:t>
      </w:r>
      <w:r w:rsidR="00895B58" w:rsidRPr="00F45A1F">
        <w:rPr>
          <w:rFonts w:ascii="Arial" w:hAnsi="Arial" w:cs="Arial"/>
        </w:rPr>
        <w:t>20</w:t>
      </w:r>
      <w:r w:rsidR="00996CFF" w:rsidRPr="00F45A1F">
        <w:rPr>
          <w:rFonts w:ascii="Arial" w:hAnsi="Arial" w:cs="Arial"/>
        </w:rPr>
        <w:t xml:space="preserve"> </w:t>
      </w:r>
      <w:r w:rsidRPr="00F45A1F">
        <w:rPr>
          <w:rFonts w:ascii="Arial" w:hAnsi="Arial" w:cs="Arial"/>
        </w:rPr>
        <w:t xml:space="preserve">(R$ </w:t>
      </w:r>
      <w:r w:rsidR="00DC3C7A" w:rsidRPr="00F45A1F">
        <w:rPr>
          <w:rFonts w:ascii="Arial" w:hAnsi="Arial"/>
          <w:szCs w:val="20"/>
        </w:rPr>
        <w:t>1.</w:t>
      </w:r>
      <w:r w:rsidR="00895B58" w:rsidRPr="00F45A1F">
        <w:rPr>
          <w:rFonts w:ascii="Arial" w:hAnsi="Arial"/>
          <w:szCs w:val="20"/>
        </w:rPr>
        <w:t>272</w:t>
      </w:r>
      <w:r w:rsidR="00DC3C7A" w:rsidRPr="00F45A1F">
        <w:rPr>
          <w:rFonts w:ascii="Arial" w:hAnsi="Arial"/>
          <w:szCs w:val="20"/>
        </w:rPr>
        <w:t>.</w:t>
      </w:r>
      <w:r w:rsidR="00895B58" w:rsidRPr="00F45A1F">
        <w:rPr>
          <w:rFonts w:ascii="Arial" w:hAnsi="Arial"/>
          <w:szCs w:val="20"/>
        </w:rPr>
        <w:t>791</w:t>
      </w:r>
      <w:r w:rsidRPr="00F45A1F">
        <w:rPr>
          <w:rFonts w:ascii="Arial" w:hAnsi="Arial" w:cs="Arial"/>
        </w:rPr>
        <w:t xml:space="preserve"> em 31 de dezembro de 201</w:t>
      </w:r>
      <w:r w:rsidR="00895B58" w:rsidRPr="00F45A1F">
        <w:rPr>
          <w:rFonts w:ascii="Arial" w:hAnsi="Arial" w:cs="Arial"/>
        </w:rPr>
        <w:t>9</w:t>
      </w:r>
      <w:r w:rsidRPr="00F45A1F">
        <w:rPr>
          <w:rFonts w:ascii="Arial" w:hAnsi="Arial" w:cs="Arial"/>
        </w:rPr>
        <w:t>) e base negativa de contribuição social no montante de R</w:t>
      </w:r>
      <w:r w:rsidR="001A06F6" w:rsidRPr="00F45A1F">
        <w:rPr>
          <w:rFonts w:ascii="Arial" w:hAnsi="Arial" w:cs="Arial"/>
        </w:rPr>
        <w:t xml:space="preserve">$ </w:t>
      </w:r>
      <w:r w:rsidR="002A2090">
        <w:rPr>
          <w:rFonts w:ascii="Arial" w:hAnsi="Arial"/>
          <w:szCs w:val="20"/>
        </w:rPr>
        <w:t xml:space="preserve">1.323.691 </w:t>
      </w:r>
      <w:r w:rsidR="00996CFF" w:rsidRPr="00F45A1F">
        <w:rPr>
          <w:rFonts w:ascii="Arial" w:hAnsi="Arial"/>
          <w:szCs w:val="20"/>
        </w:rPr>
        <w:t xml:space="preserve">em 31 de </w:t>
      </w:r>
      <w:r w:rsidR="00895B58" w:rsidRPr="00F45A1F">
        <w:rPr>
          <w:rFonts w:ascii="Arial" w:hAnsi="Arial"/>
          <w:szCs w:val="20"/>
        </w:rPr>
        <w:t xml:space="preserve">março </w:t>
      </w:r>
      <w:r w:rsidR="00996CFF" w:rsidRPr="00F45A1F">
        <w:rPr>
          <w:rFonts w:ascii="Arial" w:hAnsi="Arial"/>
          <w:szCs w:val="20"/>
        </w:rPr>
        <w:t>de 20</w:t>
      </w:r>
      <w:r w:rsidR="00895B58" w:rsidRPr="00F45A1F">
        <w:rPr>
          <w:rFonts w:ascii="Arial" w:hAnsi="Arial"/>
          <w:szCs w:val="20"/>
        </w:rPr>
        <w:t>20</w:t>
      </w:r>
      <w:r w:rsidR="00CF7D63">
        <w:rPr>
          <w:rFonts w:ascii="Arial" w:hAnsi="Arial"/>
          <w:szCs w:val="20"/>
        </w:rPr>
        <w:t xml:space="preserve"> </w:t>
      </w:r>
      <w:r w:rsidRPr="00F45A1F">
        <w:rPr>
          <w:rFonts w:ascii="Arial" w:hAnsi="Arial" w:cs="Arial"/>
        </w:rPr>
        <w:t xml:space="preserve">(R$ </w:t>
      </w:r>
      <w:r w:rsidR="00DC3C7A" w:rsidRPr="00F45A1F">
        <w:rPr>
          <w:rFonts w:ascii="Arial" w:hAnsi="Arial"/>
          <w:szCs w:val="20"/>
        </w:rPr>
        <w:t>1.</w:t>
      </w:r>
      <w:r w:rsidR="00895B58" w:rsidRPr="00F45A1F">
        <w:rPr>
          <w:rFonts w:ascii="Arial" w:hAnsi="Arial"/>
          <w:szCs w:val="20"/>
        </w:rPr>
        <w:t>455</w:t>
      </w:r>
      <w:r w:rsidR="00DC3C7A" w:rsidRPr="00F45A1F">
        <w:rPr>
          <w:rFonts w:ascii="Arial" w:hAnsi="Arial"/>
          <w:szCs w:val="20"/>
        </w:rPr>
        <w:t>.</w:t>
      </w:r>
      <w:r w:rsidR="00895B58" w:rsidRPr="00F45A1F">
        <w:rPr>
          <w:rFonts w:ascii="Arial" w:hAnsi="Arial"/>
          <w:szCs w:val="20"/>
        </w:rPr>
        <w:t>886</w:t>
      </w:r>
      <w:r w:rsidRPr="00F45A1F">
        <w:rPr>
          <w:rFonts w:ascii="Arial" w:hAnsi="Arial" w:cs="Arial"/>
        </w:rPr>
        <w:t xml:space="preserve"> em 31 de dezembro de 201</w:t>
      </w:r>
      <w:r w:rsidR="00895B58" w:rsidRPr="00F45A1F">
        <w:rPr>
          <w:rFonts w:ascii="Arial" w:hAnsi="Arial" w:cs="Arial"/>
        </w:rPr>
        <w:t>9</w:t>
      </w:r>
      <w:r w:rsidRPr="00F45A1F">
        <w:rPr>
          <w:rFonts w:ascii="Arial" w:hAnsi="Arial" w:cs="Arial"/>
        </w:rPr>
        <w:t xml:space="preserve">). </w:t>
      </w:r>
    </w:p>
    <w:p w14:paraId="3F551C6C" w14:textId="77777777" w:rsidR="0011247C" w:rsidRPr="00F45A1F" w:rsidRDefault="00262ECE" w:rsidP="005144E2">
      <w:pPr>
        <w:widowControl/>
        <w:jc w:val="both"/>
        <w:rPr>
          <w:rFonts w:ascii="Arial" w:hAnsi="Arial" w:cs="Arial"/>
        </w:rPr>
      </w:pPr>
      <w:r w:rsidRPr="00F45A1F">
        <w:rPr>
          <w:rFonts w:ascii="Arial" w:hAnsi="Arial" w:cs="Arial"/>
        </w:rPr>
        <w:tab/>
      </w:r>
    </w:p>
    <w:p w14:paraId="3F302E2E" w14:textId="77777777" w:rsidR="0011247C" w:rsidRPr="00F45A1F" w:rsidRDefault="0011247C" w:rsidP="005144E2">
      <w:pPr>
        <w:widowControl/>
        <w:jc w:val="both"/>
        <w:rPr>
          <w:rFonts w:ascii="Arial" w:hAnsi="Arial" w:cs="Arial"/>
        </w:rPr>
      </w:pPr>
      <w:r w:rsidRPr="00F45A1F">
        <w:rPr>
          <w:rFonts w:ascii="Arial" w:hAnsi="Arial" w:cs="Arial"/>
        </w:rPr>
        <w:t xml:space="preserve">Pela legislação tributária em vigor, o prejuízo fiscal e a base negativa da </w:t>
      </w:r>
      <w:r w:rsidR="00E603D6" w:rsidRPr="00F45A1F">
        <w:rPr>
          <w:rFonts w:ascii="Arial" w:hAnsi="Arial" w:cs="Arial"/>
        </w:rPr>
        <w:t>Contribuição Social sobre o Lucro Líquido</w:t>
      </w:r>
      <w:r w:rsidRPr="00F45A1F">
        <w:rPr>
          <w:rFonts w:ascii="Arial" w:hAnsi="Arial" w:cs="Arial"/>
        </w:rPr>
        <w:t xml:space="preserve"> são compensáveis com lucros tributáveis futuros, até o limite de 30% do resultado tributável do exercício, sem prazo de prescrição.</w:t>
      </w:r>
    </w:p>
    <w:p w14:paraId="36687779" w14:textId="77777777" w:rsidR="0011247C" w:rsidRPr="00F45A1F" w:rsidRDefault="0011247C" w:rsidP="005144E2">
      <w:pPr>
        <w:widowControl/>
        <w:jc w:val="both"/>
        <w:rPr>
          <w:rFonts w:ascii="Arial" w:hAnsi="Arial" w:cs="Arial"/>
        </w:rPr>
      </w:pPr>
    </w:p>
    <w:p w14:paraId="60BC31D9" w14:textId="77777777" w:rsidR="0011247C" w:rsidRPr="00F45A1F" w:rsidRDefault="0011247C" w:rsidP="005144E2">
      <w:pPr>
        <w:widowControl/>
        <w:jc w:val="both"/>
        <w:rPr>
          <w:rFonts w:ascii="Arial" w:hAnsi="Arial" w:cs="Arial"/>
        </w:rPr>
      </w:pPr>
      <w:r w:rsidRPr="00F45A1F">
        <w:rPr>
          <w:rFonts w:ascii="Arial" w:hAnsi="Arial" w:cs="Arial"/>
        </w:rPr>
        <w:t>A Companhia não reconhece impostos diferidos ativos sobre prejuízos fiscais e base negativa</w:t>
      </w:r>
      <w:r w:rsidR="00961887" w:rsidRPr="00F45A1F">
        <w:rPr>
          <w:rFonts w:ascii="Arial" w:hAnsi="Arial" w:cs="Arial"/>
        </w:rPr>
        <w:t xml:space="preserve">. Conforme descrito na </w:t>
      </w:r>
      <w:r w:rsidR="008E6B5F" w:rsidRPr="00F45A1F">
        <w:rPr>
          <w:rFonts w:ascii="Arial" w:hAnsi="Arial" w:cs="Arial"/>
        </w:rPr>
        <w:t>n</w:t>
      </w:r>
      <w:r w:rsidR="00961887" w:rsidRPr="00F45A1F">
        <w:rPr>
          <w:rFonts w:ascii="Arial" w:hAnsi="Arial" w:cs="Arial"/>
        </w:rPr>
        <w:t>ota 18, a constituição do ativo fiscal diferido está limitada ao montante do passivo fiscal diferido de</w:t>
      </w:r>
      <w:r w:rsidR="00E603D6" w:rsidRPr="00F45A1F">
        <w:rPr>
          <w:rFonts w:ascii="Arial" w:hAnsi="Arial" w:cs="Arial"/>
        </w:rPr>
        <w:t xml:space="preserve"> Imposto de Renda Pessoa Jurídica - </w:t>
      </w:r>
      <w:r w:rsidR="00961887" w:rsidRPr="00F45A1F">
        <w:rPr>
          <w:rFonts w:ascii="Arial" w:hAnsi="Arial" w:cs="Arial"/>
        </w:rPr>
        <w:t xml:space="preserve">IRPJ e </w:t>
      </w:r>
      <w:r w:rsidR="00E603D6" w:rsidRPr="00F45A1F">
        <w:rPr>
          <w:rFonts w:ascii="Arial" w:hAnsi="Arial" w:cs="Arial"/>
        </w:rPr>
        <w:t xml:space="preserve">Contribuição Social sobre o Lucro Líquido - </w:t>
      </w:r>
      <w:r w:rsidR="00961887" w:rsidRPr="00F45A1F">
        <w:rPr>
          <w:rFonts w:ascii="Arial" w:hAnsi="Arial" w:cs="Arial"/>
        </w:rPr>
        <w:t>CSLL</w:t>
      </w:r>
      <w:r w:rsidRPr="00F45A1F">
        <w:rPr>
          <w:rFonts w:ascii="Arial" w:hAnsi="Arial" w:cs="Arial"/>
        </w:rPr>
        <w:t>.</w:t>
      </w:r>
    </w:p>
    <w:p w14:paraId="2ED14A51" w14:textId="77777777" w:rsidR="0011247C" w:rsidRPr="00F45A1F" w:rsidRDefault="0011247C" w:rsidP="005144E2">
      <w:pPr>
        <w:widowControl/>
        <w:jc w:val="both"/>
        <w:rPr>
          <w:rFonts w:ascii="Arial" w:hAnsi="Arial" w:cs="Arial"/>
        </w:rPr>
      </w:pPr>
    </w:p>
    <w:p w14:paraId="2E1CE243" w14:textId="77777777" w:rsidR="0011247C" w:rsidRPr="00F45A1F" w:rsidRDefault="00062A22" w:rsidP="005144E2">
      <w:pPr>
        <w:widowControl/>
        <w:jc w:val="both"/>
        <w:rPr>
          <w:rFonts w:ascii="Arial" w:hAnsi="Arial" w:cs="Arial"/>
        </w:rPr>
      </w:pPr>
      <w:r w:rsidRPr="00F45A1F">
        <w:rPr>
          <w:rFonts w:ascii="Arial" w:hAnsi="Arial" w:cs="Arial"/>
        </w:rPr>
        <w:t>A</w:t>
      </w:r>
      <w:r w:rsidR="0011247C" w:rsidRPr="00F45A1F">
        <w:rPr>
          <w:rFonts w:ascii="Arial" w:hAnsi="Arial" w:cs="Arial"/>
        </w:rPr>
        <w:t xml:space="preserve"> composição dos impostos diferidos passivos, encontra-se detalhad</w:t>
      </w:r>
      <w:r w:rsidRPr="00F45A1F">
        <w:rPr>
          <w:rFonts w:ascii="Arial" w:hAnsi="Arial" w:cs="Arial"/>
        </w:rPr>
        <w:t>a</w:t>
      </w:r>
      <w:r w:rsidR="0011247C" w:rsidRPr="00F45A1F">
        <w:rPr>
          <w:rFonts w:ascii="Arial" w:hAnsi="Arial" w:cs="Arial"/>
        </w:rPr>
        <w:t xml:space="preserve"> na </w:t>
      </w:r>
      <w:r w:rsidR="008E6B5F" w:rsidRPr="00F45A1F">
        <w:rPr>
          <w:rFonts w:ascii="Arial" w:hAnsi="Arial" w:cs="Arial"/>
        </w:rPr>
        <w:t>n</w:t>
      </w:r>
      <w:r w:rsidR="0011247C" w:rsidRPr="00F45A1F">
        <w:rPr>
          <w:rFonts w:ascii="Arial" w:hAnsi="Arial" w:cs="Arial"/>
        </w:rPr>
        <w:t>ota 18.</w:t>
      </w:r>
    </w:p>
    <w:p w14:paraId="25210034" w14:textId="77777777" w:rsidR="007C0A2C" w:rsidRPr="00F45A1F" w:rsidRDefault="007C0A2C" w:rsidP="005144E2">
      <w:pPr>
        <w:widowControl/>
        <w:rPr>
          <w:rFonts w:ascii="Arial" w:hAnsi="Arial" w:cs="Arial"/>
          <w:b/>
        </w:rPr>
      </w:pPr>
    </w:p>
    <w:p w14:paraId="7E1198E3" w14:textId="77777777" w:rsidR="007C0A2C" w:rsidRPr="00F45A1F" w:rsidRDefault="007C0A2C" w:rsidP="005144E2">
      <w:pPr>
        <w:widowControl/>
        <w:rPr>
          <w:rFonts w:ascii="Arial" w:hAnsi="Arial" w:cs="Arial"/>
          <w:b/>
        </w:rPr>
      </w:pPr>
    </w:p>
    <w:p w14:paraId="0423400B" w14:textId="77777777" w:rsidR="001A06F6" w:rsidRPr="00F45A1F" w:rsidRDefault="001A06F6" w:rsidP="005144E2">
      <w:pPr>
        <w:widowControl/>
        <w:rPr>
          <w:rFonts w:ascii="Arial" w:hAnsi="Arial" w:cs="Arial"/>
          <w:b/>
        </w:rPr>
      </w:pPr>
    </w:p>
    <w:p w14:paraId="575C97F9" w14:textId="77777777" w:rsidR="001A06F6" w:rsidRPr="00F45A1F" w:rsidRDefault="001A06F6" w:rsidP="005144E2">
      <w:pPr>
        <w:widowControl/>
        <w:rPr>
          <w:rFonts w:ascii="Arial" w:hAnsi="Arial" w:cs="Arial"/>
          <w:b/>
        </w:rPr>
      </w:pPr>
    </w:p>
    <w:p w14:paraId="163F0B38" w14:textId="77777777" w:rsidR="001A06F6" w:rsidRPr="00F45A1F" w:rsidRDefault="001A06F6" w:rsidP="005144E2">
      <w:pPr>
        <w:widowControl/>
        <w:rPr>
          <w:rFonts w:ascii="Arial" w:hAnsi="Arial" w:cs="Arial"/>
          <w:b/>
        </w:rPr>
      </w:pPr>
    </w:p>
    <w:p w14:paraId="0B9E1C11" w14:textId="77777777" w:rsidR="001A06F6" w:rsidRDefault="001A06F6" w:rsidP="005144E2">
      <w:pPr>
        <w:widowControl/>
        <w:rPr>
          <w:rFonts w:ascii="Arial" w:hAnsi="Arial" w:cs="Arial"/>
          <w:b/>
        </w:rPr>
      </w:pPr>
    </w:p>
    <w:p w14:paraId="6531FAEB" w14:textId="77777777" w:rsidR="00C110ED" w:rsidRDefault="00C110ED" w:rsidP="005144E2">
      <w:pPr>
        <w:widowControl/>
        <w:rPr>
          <w:rFonts w:ascii="Arial" w:hAnsi="Arial" w:cs="Arial"/>
          <w:b/>
        </w:rPr>
      </w:pPr>
    </w:p>
    <w:p w14:paraId="49740933" w14:textId="77777777" w:rsidR="00C110ED" w:rsidRDefault="00C110ED" w:rsidP="005144E2">
      <w:pPr>
        <w:widowControl/>
        <w:rPr>
          <w:rFonts w:ascii="Arial" w:hAnsi="Arial" w:cs="Arial"/>
          <w:b/>
        </w:rPr>
      </w:pPr>
    </w:p>
    <w:p w14:paraId="0391BEBA" w14:textId="77777777" w:rsidR="00C110ED" w:rsidRDefault="00C110ED" w:rsidP="005144E2">
      <w:pPr>
        <w:widowControl/>
        <w:rPr>
          <w:rFonts w:ascii="Arial" w:hAnsi="Arial" w:cs="Arial"/>
          <w:b/>
        </w:rPr>
      </w:pPr>
    </w:p>
    <w:p w14:paraId="094E86D8" w14:textId="77777777" w:rsidR="00C110ED" w:rsidRDefault="00C110ED" w:rsidP="005144E2">
      <w:pPr>
        <w:widowControl/>
        <w:rPr>
          <w:rFonts w:ascii="Arial" w:hAnsi="Arial" w:cs="Arial"/>
          <w:b/>
        </w:rPr>
      </w:pPr>
    </w:p>
    <w:p w14:paraId="2497B276" w14:textId="77777777" w:rsidR="00C110ED" w:rsidRDefault="00C110ED" w:rsidP="005144E2">
      <w:pPr>
        <w:widowControl/>
        <w:rPr>
          <w:rFonts w:ascii="Arial" w:hAnsi="Arial" w:cs="Arial"/>
          <w:b/>
        </w:rPr>
      </w:pPr>
    </w:p>
    <w:p w14:paraId="6AA60FDD" w14:textId="77777777" w:rsidR="00C110ED" w:rsidRDefault="00C110ED" w:rsidP="005144E2">
      <w:pPr>
        <w:widowControl/>
        <w:rPr>
          <w:rFonts w:ascii="Arial" w:hAnsi="Arial" w:cs="Arial"/>
          <w:b/>
        </w:rPr>
      </w:pPr>
    </w:p>
    <w:p w14:paraId="7FBB778F" w14:textId="77777777" w:rsidR="00C110ED" w:rsidRDefault="00C110ED" w:rsidP="005144E2">
      <w:pPr>
        <w:widowControl/>
        <w:rPr>
          <w:rFonts w:ascii="Arial" w:hAnsi="Arial" w:cs="Arial"/>
          <w:b/>
        </w:rPr>
      </w:pPr>
    </w:p>
    <w:p w14:paraId="55E6A6D4" w14:textId="77777777" w:rsidR="00C110ED" w:rsidRDefault="00C110ED" w:rsidP="005144E2">
      <w:pPr>
        <w:widowControl/>
        <w:rPr>
          <w:rFonts w:ascii="Arial" w:hAnsi="Arial" w:cs="Arial"/>
          <w:b/>
        </w:rPr>
      </w:pPr>
    </w:p>
    <w:p w14:paraId="0C9AF2DA" w14:textId="77777777" w:rsidR="00C110ED" w:rsidRDefault="00C110ED" w:rsidP="005144E2">
      <w:pPr>
        <w:widowControl/>
        <w:rPr>
          <w:rFonts w:ascii="Arial" w:hAnsi="Arial" w:cs="Arial"/>
          <w:b/>
        </w:rPr>
      </w:pPr>
    </w:p>
    <w:p w14:paraId="2F6354E3" w14:textId="77777777" w:rsidR="00C110ED" w:rsidRDefault="00C110ED" w:rsidP="005144E2">
      <w:pPr>
        <w:widowControl/>
        <w:rPr>
          <w:rFonts w:ascii="Arial" w:hAnsi="Arial" w:cs="Arial"/>
          <w:b/>
        </w:rPr>
      </w:pPr>
    </w:p>
    <w:p w14:paraId="10BC4B14" w14:textId="77777777" w:rsidR="00C110ED" w:rsidRDefault="00C110ED" w:rsidP="005144E2">
      <w:pPr>
        <w:widowControl/>
        <w:rPr>
          <w:rFonts w:ascii="Arial" w:hAnsi="Arial" w:cs="Arial"/>
          <w:b/>
        </w:rPr>
      </w:pPr>
    </w:p>
    <w:p w14:paraId="2299041A" w14:textId="77777777" w:rsidR="00C110ED" w:rsidRDefault="00C110ED" w:rsidP="005144E2">
      <w:pPr>
        <w:widowControl/>
        <w:rPr>
          <w:rFonts w:ascii="Arial" w:hAnsi="Arial" w:cs="Arial"/>
          <w:b/>
        </w:rPr>
      </w:pPr>
    </w:p>
    <w:p w14:paraId="633F1802" w14:textId="77777777" w:rsidR="00C110ED" w:rsidRDefault="00C110ED" w:rsidP="005144E2">
      <w:pPr>
        <w:widowControl/>
        <w:rPr>
          <w:rFonts w:ascii="Arial" w:hAnsi="Arial" w:cs="Arial"/>
          <w:b/>
        </w:rPr>
      </w:pPr>
    </w:p>
    <w:p w14:paraId="0688F845" w14:textId="77777777" w:rsidR="00C110ED" w:rsidRDefault="00C110ED" w:rsidP="005144E2">
      <w:pPr>
        <w:widowControl/>
        <w:rPr>
          <w:rFonts w:ascii="Arial" w:hAnsi="Arial" w:cs="Arial"/>
          <w:b/>
        </w:rPr>
      </w:pPr>
    </w:p>
    <w:p w14:paraId="4FA925FD" w14:textId="77777777" w:rsidR="00C110ED" w:rsidRDefault="00C110ED" w:rsidP="005144E2">
      <w:pPr>
        <w:widowControl/>
        <w:rPr>
          <w:rFonts w:ascii="Arial" w:hAnsi="Arial" w:cs="Arial"/>
          <w:b/>
        </w:rPr>
      </w:pPr>
    </w:p>
    <w:p w14:paraId="27233A39" w14:textId="77777777" w:rsidR="00C110ED" w:rsidRDefault="00C110ED" w:rsidP="005144E2">
      <w:pPr>
        <w:widowControl/>
        <w:rPr>
          <w:rFonts w:ascii="Arial" w:hAnsi="Arial" w:cs="Arial"/>
          <w:b/>
        </w:rPr>
      </w:pPr>
    </w:p>
    <w:p w14:paraId="0D7D51FC" w14:textId="77777777" w:rsidR="00C110ED" w:rsidRDefault="00C110ED" w:rsidP="005144E2">
      <w:pPr>
        <w:widowControl/>
        <w:rPr>
          <w:rFonts w:ascii="Arial" w:hAnsi="Arial" w:cs="Arial"/>
          <w:b/>
        </w:rPr>
      </w:pPr>
    </w:p>
    <w:p w14:paraId="1BBEE9A5" w14:textId="77777777" w:rsidR="00C110ED" w:rsidRDefault="00C110ED" w:rsidP="005144E2">
      <w:pPr>
        <w:widowControl/>
        <w:rPr>
          <w:rFonts w:ascii="Arial" w:hAnsi="Arial" w:cs="Arial"/>
          <w:b/>
        </w:rPr>
      </w:pPr>
    </w:p>
    <w:p w14:paraId="06162228" w14:textId="77777777" w:rsidR="00C110ED" w:rsidRDefault="00C110ED" w:rsidP="005144E2">
      <w:pPr>
        <w:widowControl/>
        <w:rPr>
          <w:rFonts w:ascii="Arial" w:hAnsi="Arial" w:cs="Arial"/>
          <w:b/>
        </w:rPr>
      </w:pPr>
    </w:p>
    <w:p w14:paraId="1A290963" w14:textId="77777777" w:rsidR="00C110ED" w:rsidRDefault="00C110ED" w:rsidP="005144E2">
      <w:pPr>
        <w:widowControl/>
        <w:rPr>
          <w:rFonts w:ascii="Arial" w:hAnsi="Arial" w:cs="Arial"/>
          <w:b/>
        </w:rPr>
      </w:pPr>
    </w:p>
    <w:p w14:paraId="3359DEED" w14:textId="77777777" w:rsidR="00C110ED" w:rsidRDefault="00C110ED" w:rsidP="005144E2">
      <w:pPr>
        <w:widowControl/>
        <w:rPr>
          <w:rFonts w:ascii="Arial" w:hAnsi="Arial" w:cs="Arial"/>
          <w:b/>
        </w:rPr>
      </w:pPr>
    </w:p>
    <w:p w14:paraId="68A8644B" w14:textId="77777777" w:rsidR="00C110ED" w:rsidRDefault="00C110ED" w:rsidP="005144E2">
      <w:pPr>
        <w:widowControl/>
        <w:rPr>
          <w:rFonts w:ascii="Arial" w:hAnsi="Arial" w:cs="Arial"/>
          <w:b/>
        </w:rPr>
      </w:pPr>
    </w:p>
    <w:p w14:paraId="1F1C7B6C" w14:textId="77777777" w:rsidR="00C110ED" w:rsidRDefault="00C110ED" w:rsidP="005144E2">
      <w:pPr>
        <w:widowControl/>
        <w:rPr>
          <w:rFonts w:ascii="Arial" w:hAnsi="Arial" w:cs="Arial"/>
          <w:b/>
        </w:rPr>
      </w:pPr>
    </w:p>
    <w:p w14:paraId="22B7A079" w14:textId="77777777" w:rsidR="00C110ED" w:rsidRDefault="00C110ED" w:rsidP="005144E2">
      <w:pPr>
        <w:widowControl/>
        <w:rPr>
          <w:rFonts w:ascii="Arial" w:hAnsi="Arial" w:cs="Arial"/>
          <w:b/>
        </w:rPr>
      </w:pPr>
    </w:p>
    <w:p w14:paraId="79940B4F" w14:textId="77777777" w:rsidR="00C110ED" w:rsidRDefault="00C110ED" w:rsidP="005144E2">
      <w:pPr>
        <w:widowControl/>
        <w:rPr>
          <w:rFonts w:ascii="Arial" w:hAnsi="Arial" w:cs="Arial"/>
          <w:b/>
        </w:rPr>
      </w:pPr>
    </w:p>
    <w:p w14:paraId="3F82CF3C" w14:textId="77777777" w:rsidR="00C110ED" w:rsidRDefault="00C110ED" w:rsidP="005144E2">
      <w:pPr>
        <w:widowControl/>
        <w:rPr>
          <w:rFonts w:ascii="Arial" w:hAnsi="Arial" w:cs="Arial"/>
          <w:b/>
        </w:rPr>
      </w:pPr>
    </w:p>
    <w:p w14:paraId="1854FC41" w14:textId="77777777" w:rsidR="00C110ED" w:rsidRDefault="00C110ED" w:rsidP="005144E2">
      <w:pPr>
        <w:widowControl/>
        <w:rPr>
          <w:rFonts w:ascii="Arial" w:hAnsi="Arial" w:cs="Arial"/>
          <w:b/>
        </w:rPr>
      </w:pPr>
    </w:p>
    <w:p w14:paraId="19C9FA46" w14:textId="77777777" w:rsidR="00C110ED" w:rsidRDefault="00C110ED" w:rsidP="005144E2">
      <w:pPr>
        <w:widowControl/>
        <w:rPr>
          <w:rFonts w:ascii="Arial" w:hAnsi="Arial" w:cs="Arial"/>
          <w:b/>
        </w:rPr>
      </w:pPr>
    </w:p>
    <w:p w14:paraId="7493108A" w14:textId="77777777" w:rsidR="00C110ED" w:rsidRPr="00F45A1F" w:rsidRDefault="00C110ED" w:rsidP="005144E2">
      <w:pPr>
        <w:widowControl/>
        <w:rPr>
          <w:rFonts w:ascii="Arial" w:hAnsi="Arial" w:cs="Arial"/>
          <w:b/>
        </w:rPr>
      </w:pPr>
    </w:p>
    <w:p w14:paraId="4BA77EE8" w14:textId="77777777" w:rsidR="001A06F6" w:rsidRPr="00F45A1F" w:rsidRDefault="001A06F6" w:rsidP="005144E2">
      <w:pPr>
        <w:widowControl/>
        <w:rPr>
          <w:rFonts w:ascii="Arial" w:hAnsi="Arial" w:cs="Arial"/>
          <w:b/>
        </w:rPr>
      </w:pPr>
    </w:p>
    <w:p w14:paraId="73BC761A" w14:textId="77777777" w:rsidR="001A06F6" w:rsidRPr="00F45A1F" w:rsidRDefault="001A06F6" w:rsidP="005144E2">
      <w:pPr>
        <w:widowControl/>
        <w:rPr>
          <w:rFonts w:ascii="Arial" w:hAnsi="Arial" w:cs="Arial"/>
          <w:b/>
        </w:rPr>
      </w:pPr>
    </w:p>
    <w:p w14:paraId="200BABE6" w14:textId="77777777" w:rsidR="001A06F6" w:rsidRPr="00F45A1F" w:rsidRDefault="001A06F6" w:rsidP="005144E2">
      <w:pPr>
        <w:widowControl/>
        <w:rPr>
          <w:rFonts w:ascii="Arial" w:hAnsi="Arial" w:cs="Arial"/>
          <w:b/>
        </w:rPr>
      </w:pPr>
    </w:p>
    <w:p w14:paraId="7ACE521F" w14:textId="77777777" w:rsidR="001A06F6" w:rsidRPr="00F45A1F" w:rsidRDefault="001A06F6" w:rsidP="005144E2">
      <w:pPr>
        <w:widowControl/>
        <w:rPr>
          <w:rFonts w:ascii="Arial" w:hAnsi="Arial" w:cs="Arial"/>
          <w:b/>
        </w:rPr>
      </w:pPr>
    </w:p>
    <w:p w14:paraId="5831589C" w14:textId="77777777" w:rsidR="001A06F6" w:rsidRPr="00F45A1F" w:rsidRDefault="001A06F6" w:rsidP="005144E2">
      <w:pPr>
        <w:widowControl/>
        <w:rPr>
          <w:rFonts w:ascii="Arial" w:hAnsi="Arial" w:cs="Arial"/>
          <w:b/>
        </w:rPr>
      </w:pPr>
    </w:p>
    <w:p w14:paraId="7821417E" w14:textId="77777777" w:rsidR="003F4719" w:rsidRPr="00F45A1F" w:rsidRDefault="003F4719" w:rsidP="005144E2">
      <w:pPr>
        <w:widowControl/>
        <w:rPr>
          <w:rFonts w:ascii="Arial" w:hAnsi="Arial" w:cs="Arial"/>
          <w:b/>
          <w:sz w:val="26"/>
          <w:szCs w:val="26"/>
        </w:rPr>
      </w:pPr>
      <w:r w:rsidRPr="00F45A1F">
        <w:rPr>
          <w:rFonts w:ascii="Arial" w:hAnsi="Arial" w:cs="Arial"/>
          <w:b/>
          <w:sz w:val="26"/>
          <w:szCs w:val="26"/>
        </w:rPr>
        <w:t>NOTA 14 – IMOBILIZADO</w:t>
      </w:r>
    </w:p>
    <w:p w14:paraId="2EDA8366" w14:textId="77777777" w:rsidR="003F4719" w:rsidRPr="00F45A1F" w:rsidRDefault="003F4719" w:rsidP="005144E2">
      <w:pPr>
        <w:jc w:val="both"/>
        <w:rPr>
          <w:rFonts w:ascii="Arial" w:hAnsi="Arial" w:cs="Arial"/>
        </w:rPr>
      </w:pPr>
    </w:p>
    <w:p w14:paraId="77E6F873" w14:textId="77777777" w:rsidR="003F4719" w:rsidRDefault="003F4719" w:rsidP="005144E2">
      <w:pPr>
        <w:widowControl/>
        <w:jc w:val="both"/>
        <w:rPr>
          <w:rFonts w:ascii="Arial" w:hAnsi="Arial" w:cs="Arial"/>
        </w:rPr>
      </w:pPr>
      <w:r w:rsidRPr="00F45A1F">
        <w:rPr>
          <w:rFonts w:ascii="Arial" w:hAnsi="Arial" w:cs="Arial"/>
        </w:rPr>
        <w:t xml:space="preserve">Os bens e instalações utilizados na produção são vinculados ao serviço público de energia elétrica, não podendo ser retirados, alienados, cedidos ou dados em garantia hipotecária, sem a prévia e expressa autorização do Órgão Regulador, segundo a legislação federal vigente. </w:t>
      </w:r>
    </w:p>
    <w:p w14:paraId="493E4F08" w14:textId="77777777" w:rsidR="00251004" w:rsidRDefault="00251004" w:rsidP="005144E2">
      <w:pPr>
        <w:widowControl/>
        <w:jc w:val="both"/>
        <w:rPr>
          <w:rFonts w:ascii="Arial" w:hAnsi="Arial" w:cs="Arial"/>
        </w:rPr>
      </w:pPr>
    </w:p>
    <w:p w14:paraId="766AC9A2" w14:textId="6D892B48" w:rsidR="00251004" w:rsidRPr="00F45A1F" w:rsidRDefault="00251004" w:rsidP="005144E2">
      <w:pPr>
        <w:widowControl/>
        <w:jc w:val="both"/>
        <w:rPr>
          <w:rFonts w:ascii="Arial" w:hAnsi="Arial" w:cs="Arial"/>
        </w:rPr>
      </w:pPr>
      <w:r>
        <w:rPr>
          <w:rFonts w:ascii="Arial" w:hAnsi="Arial" w:cs="Arial"/>
        </w:rPr>
        <w:t>O</w:t>
      </w:r>
      <w:r w:rsidR="00105752">
        <w:rPr>
          <w:rFonts w:ascii="Arial" w:hAnsi="Arial" w:cs="Arial"/>
        </w:rPr>
        <w:t>s</w:t>
      </w:r>
      <w:r>
        <w:rPr>
          <w:rFonts w:ascii="Arial" w:hAnsi="Arial" w:cs="Arial"/>
        </w:rPr>
        <w:t xml:space="preserve"> imobilizado</w:t>
      </w:r>
      <w:r w:rsidR="00105752">
        <w:rPr>
          <w:rFonts w:ascii="Arial" w:hAnsi="Arial" w:cs="Arial"/>
        </w:rPr>
        <w:t>s</w:t>
      </w:r>
      <w:r>
        <w:rPr>
          <w:rFonts w:ascii="Arial" w:hAnsi="Arial" w:cs="Arial"/>
        </w:rPr>
        <w:t xml:space="preserve"> em serviço </w:t>
      </w:r>
      <w:r w:rsidR="00105752">
        <w:rPr>
          <w:rFonts w:ascii="Arial" w:hAnsi="Arial" w:cs="Arial"/>
        </w:rPr>
        <w:t>são depreciados a taxa anual de 3,26%.</w:t>
      </w:r>
    </w:p>
    <w:p w14:paraId="72D6563A" w14:textId="77777777" w:rsidR="001A06F6" w:rsidRPr="00F45A1F" w:rsidRDefault="001A06F6" w:rsidP="005144E2">
      <w:pPr>
        <w:widowControl/>
        <w:jc w:val="both"/>
        <w:rPr>
          <w:rFonts w:ascii="Arial" w:hAnsi="Arial" w:cs="Arial"/>
        </w:rPr>
      </w:pPr>
    </w:p>
    <w:p w14:paraId="23B6D20D" w14:textId="77777777" w:rsidR="001A06F6" w:rsidRPr="00F45A1F" w:rsidRDefault="003F4719" w:rsidP="007E0C65">
      <w:pPr>
        <w:pStyle w:val="PargrafodaLista"/>
        <w:widowControl/>
        <w:numPr>
          <w:ilvl w:val="0"/>
          <w:numId w:val="26"/>
        </w:numPr>
        <w:ind w:left="284" w:hanging="284"/>
        <w:jc w:val="both"/>
        <w:rPr>
          <w:rFonts w:ascii="Arial" w:hAnsi="Arial" w:cs="Arial"/>
          <w:b/>
        </w:rPr>
      </w:pPr>
      <w:r w:rsidRPr="00F45A1F">
        <w:rPr>
          <w:rFonts w:ascii="Arial" w:hAnsi="Arial" w:cs="Arial"/>
          <w:b/>
        </w:rPr>
        <w:t>Composição do saldo do imobilizado</w:t>
      </w:r>
    </w:p>
    <w:p w14:paraId="37A5149D" w14:textId="77777777" w:rsidR="001A06F6" w:rsidRPr="00F45A1F" w:rsidRDefault="001A06F6" w:rsidP="001A06F6">
      <w:pPr>
        <w:widowControl/>
        <w:jc w:val="both"/>
        <w:rPr>
          <w:rFonts w:ascii="Arial" w:hAnsi="Arial" w:cs="Arial"/>
          <w:b/>
          <w:sz w:val="16"/>
          <w:szCs w:val="16"/>
        </w:rPr>
      </w:pPr>
    </w:p>
    <w:p w14:paraId="5314A759" w14:textId="77777777" w:rsidR="00B90A6E" w:rsidRPr="00F45A1F" w:rsidRDefault="007A6213" w:rsidP="001A06F6">
      <w:pPr>
        <w:widowControl/>
        <w:jc w:val="both"/>
        <w:rPr>
          <w:rFonts w:ascii="Arial" w:hAnsi="Arial" w:cs="Arial"/>
          <w:b/>
        </w:rPr>
      </w:pPr>
      <w:r w:rsidRPr="00F45A1F">
        <w:rPr>
          <w:noProof/>
        </w:rPr>
        <w:drawing>
          <wp:inline distT="0" distB="0" distL="0" distR="0" wp14:anchorId="546E159C" wp14:editId="1E3FE88D">
            <wp:extent cx="5467350" cy="6389797"/>
            <wp:effectExtent l="0" t="0" r="0" b="0"/>
            <wp:docPr id="98" name="Image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75057" cy="6398805"/>
                    </a:xfrm>
                    <a:prstGeom prst="rect">
                      <a:avLst/>
                    </a:prstGeom>
                    <a:noFill/>
                    <a:ln>
                      <a:noFill/>
                    </a:ln>
                  </pic:spPr>
                </pic:pic>
              </a:graphicData>
            </a:graphic>
          </wp:inline>
        </w:drawing>
      </w:r>
    </w:p>
    <w:p w14:paraId="5A64D2C7" w14:textId="77777777" w:rsidR="007A6213" w:rsidRPr="00F45A1F" w:rsidRDefault="007A6213" w:rsidP="005144E2">
      <w:pPr>
        <w:widowControl/>
        <w:jc w:val="both"/>
        <w:rPr>
          <w:rFonts w:ascii="Arial" w:hAnsi="Arial" w:cs="Arial"/>
          <w:b/>
        </w:rPr>
      </w:pPr>
    </w:p>
    <w:p w14:paraId="68F70723" w14:textId="77777777" w:rsidR="003F4719" w:rsidRPr="00F45A1F" w:rsidRDefault="003F4719" w:rsidP="005144E2">
      <w:pPr>
        <w:pStyle w:val="PargrafodaLista"/>
        <w:widowControl/>
        <w:numPr>
          <w:ilvl w:val="0"/>
          <w:numId w:val="17"/>
        </w:numPr>
        <w:ind w:left="284" w:hanging="284"/>
        <w:jc w:val="both"/>
        <w:outlineLvl w:val="0"/>
        <w:rPr>
          <w:rFonts w:ascii="Arial" w:hAnsi="Arial" w:cs="Arial"/>
          <w:b/>
        </w:rPr>
      </w:pPr>
      <w:r w:rsidRPr="00F45A1F">
        <w:rPr>
          <w:rFonts w:ascii="Arial" w:hAnsi="Arial" w:cs="Arial"/>
          <w:b/>
        </w:rPr>
        <w:t>Movimentação do imobilizado</w:t>
      </w:r>
    </w:p>
    <w:p w14:paraId="67D9CAAA" w14:textId="77777777" w:rsidR="00361036" w:rsidRPr="00F45A1F" w:rsidRDefault="00361036" w:rsidP="00361036">
      <w:pPr>
        <w:widowControl/>
        <w:jc w:val="both"/>
        <w:outlineLvl w:val="0"/>
        <w:rPr>
          <w:rFonts w:ascii="Arial" w:hAnsi="Arial" w:cs="Arial"/>
          <w:b/>
          <w:sz w:val="16"/>
          <w:szCs w:val="16"/>
        </w:rPr>
      </w:pPr>
    </w:p>
    <w:p w14:paraId="2940CCC0" w14:textId="77777777" w:rsidR="00857FCD" w:rsidRPr="00F45A1F" w:rsidRDefault="00361036" w:rsidP="005144E2">
      <w:pPr>
        <w:widowControl/>
        <w:jc w:val="both"/>
        <w:outlineLvl w:val="0"/>
        <w:rPr>
          <w:rFonts w:ascii="Arial" w:hAnsi="Arial" w:cs="Arial"/>
          <w:b/>
        </w:rPr>
      </w:pPr>
      <w:r w:rsidRPr="00F45A1F">
        <w:rPr>
          <w:noProof/>
        </w:rPr>
        <w:drawing>
          <wp:inline distT="0" distB="0" distL="0" distR="0" wp14:anchorId="14C92BC3" wp14:editId="04A096B5">
            <wp:extent cx="6073140" cy="2190528"/>
            <wp:effectExtent l="0" t="0" r="3810" b="635"/>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3140" cy="2190528"/>
                    </a:xfrm>
                    <a:prstGeom prst="rect">
                      <a:avLst/>
                    </a:prstGeom>
                    <a:noFill/>
                    <a:ln>
                      <a:noFill/>
                    </a:ln>
                  </pic:spPr>
                </pic:pic>
              </a:graphicData>
            </a:graphic>
          </wp:inline>
        </w:drawing>
      </w:r>
    </w:p>
    <w:p w14:paraId="35FBB84B" w14:textId="77777777" w:rsidR="00361036" w:rsidRPr="00F45A1F" w:rsidRDefault="00361036" w:rsidP="005144E2">
      <w:pPr>
        <w:widowControl/>
        <w:jc w:val="both"/>
        <w:outlineLvl w:val="0"/>
        <w:rPr>
          <w:rFonts w:ascii="Arial" w:hAnsi="Arial" w:cs="Arial"/>
          <w:b/>
        </w:rPr>
      </w:pPr>
    </w:p>
    <w:p w14:paraId="14D9E738" w14:textId="77777777" w:rsidR="00CD67D4" w:rsidRPr="00F45A1F" w:rsidRDefault="00CD67D4" w:rsidP="005144E2">
      <w:pPr>
        <w:widowControl/>
        <w:jc w:val="both"/>
        <w:outlineLvl w:val="0"/>
        <w:rPr>
          <w:rFonts w:ascii="Arial" w:hAnsi="Arial" w:cs="Arial"/>
          <w:b/>
        </w:rPr>
      </w:pPr>
      <w:r w:rsidRPr="00F45A1F">
        <w:rPr>
          <w:rFonts w:ascii="Arial" w:hAnsi="Arial" w:cs="Arial"/>
          <w:noProof/>
        </w:rPr>
        <w:drawing>
          <wp:inline distT="0" distB="0" distL="0" distR="0" wp14:anchorId="1FC26071" wp14:editId="7EFA9BD9">
            <wp:extent cx="6073140" cy="2416574"/>
            <wp:effectExtent l="0" t="0" r="3810" b="3175"/>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3140" cy="2416574"/>
                    </a:xfrm>
                    <a:prstGeom prst="rect">
                      <a:avLst/>
                    </a:prstGeom>
                    <a:noFill/>
                    <a:ln>
                      <a:noFill/>
                    </a:ln>
                  </pic:spPr>
                </pic:pic>
              </a:graphicData>
            </a:graphic>
          </wp:inline>
        </w:drawing>
      </w:r>
    </w:p>
    <w:p w14:paraId="06881E3F" w14:textId="77777777" w:rsidR="00CA5973" w:rsidRPr="00F45A1F" w:rsidRDefault="00CA5973" w:rsidP="005144E2">
      <w:pPr>
        <w:widowControl/>
        <w:jc w:val="both"/>
        <w:outlineLvl w:val="0"/>
        <w:rPr>
          <w:rFonts w:ascii="Arial" w:hAnsi="Arial" w:cs="Arial"/>
          <w:b/>
        </w:rPr>
      </w:pPr>
    </w:p>
    <w:p w14:paraId="2EFD14A1" w14:textId="77777777" w:rsidR="0051289C" w:rsidRPr="00F45A1F" w:rsidRDefault="0051289C" w:rsidP="005144E2">
      <w:pPr>
        <w:widowControl/>
        <w:jc w:val="both"/>
        <w:outlineLvl w:val="0"/>
        <w:rPr>
          <w:rFonts w:ascii="Arial" w:hAnsi="Arial" w:cs="Arial"/>
          <w:b/>
          <w:sz w:val="16"/>
          <w:szCs w:val="16"/>
        </w:rPr>
      </w:pPr>
    </w:p>
    <w:p w14:paraId="3E0D31BD" w14:textId="77777777" w:rsidR="003F4719" w:rsidRPr="00F45A1F" w:rsidRDefault="003F4719" w:rsidP="005144E2">
      <w:pPr>
        <w:jc w:val="both"/>
        <w:rPr>
          <w:rFonts w:ascii="Arial" w:hAnsi="Arial" w:cs="Arial"/>
          <w:b/>
        </w:rPr>
      </w:pPr>
      <w:r w:rsidRPr="00F45A1F">
        <w:rPr>
          <w:rFonts w:ascii="Arial" w:hAnsi="Arial" w:cs="Arial"/>
          <w:b/>
        </w:rPr>
        <w:t>c) Valor recuperável dos ativos de longo prazo</w:t>
      </w:r>
    </w:p>
    <w:p w14:paraId="1B3A03EB" w14:textId="77777777" w:rsidR="003F4719" w:rsidRPr="00F45A1F" w:rsidRDefault="003F4719" w:rsidP="005144E2">
      <w:pPr>
        <w:jc w:val="both"/>
        <w:rPr>
          <w:rFonts w:ascii="Arial" w:hAnsi="Arial" w:cs="Arial"/>
        </w:rPr>
      </w:pPr>
    </w:p>
    <w:p w14:paraId="1BB50333" w14:textId="77777777" w:rsidR="003F4719" w:rsidRPr="00F45A1F" w:rsidRDefault="003F4719" w:rsidP="005144E2">
      <w:pPr>
        <w:jc w:val="both"/>
        <w:rPr>
          <w:rFonts w:ascii="Arial" w:hAnsi="Arial" w:cs="Arial"/>
        </w:rPr>
      </w:pPr>
      <w:r w:rsidRPr="00F45A1F">
        <w:rPr>
          <w:rFonts w:ascii="Arial" w:hAnsi="Arial" w:cs="Arial"/>
        </w:rPr>
        <w:t>A Companhia estimou o valor recuperável de seus ativos de longo prazo com base em valor em uso, tendo em vista não haver mercado ativo para a infraestrutura</w:t>
      </w:r>
      <w:r w:rsidR="003A4EF3" w:rsidRPr="00F45A1F">
        <w:rPr>
          <w:rFonts w:ascii="Arial" w:hAnsi="Arial" w:cs="Arial"/>
        </w:rPr>
        <w:t>.</w:t>
      </w:r>
      <w:r w:rsidRPr="00F45A1F">
        <w:rPr>
          <w:rFonts w:ascii="Arial" w:hAnsi="Arial" w:cs="Arial"/>
        </w:rPr>
        <w:t xml:space="preserve"> O valor em uso é avaliado com base no valor presente do fluxo de caixa futuro estimado.</w:t>
      </w:r>
    </w:p>
    <w:p w14:paraId="0A48712E" w14:textId="77777777" w:rsidR="003F4719" w:rsidRPr="00F45A1F" w:rsidRDefault="003F4719" w:rsidP="005144E2">
      <w:pPr>
        <w:jc w:val="both"/>
        <w:rPr>
          <w:rFonts w:ascii="Arial" w:hAnsi="Arial" w:cs="Arial"/>
        </w:rPr>
      </w:pPr>
    </w:p>
    <w:p w14:paraId="182AA74A" w14:textId="77777777" w:rsidR="003F4719" w:rsidRPr="00F45A1F" w:rsidRDefault="003F4719" w:rsidP="005144E2">
      <w:pPr>
        <w:jc w:val="both"/>
        <w:rPr>
          <w:rFonts w:ascii="Arial" w:hAnsi="Arial" w:cs="Arial"/>
        </w:rPr>
      </w:pPr>
      <w:r w:rsidRPr="00F45A1F">
        <w:rPr>
          <w:rFonts w:ascii="Arial" w:hAnsi="Arial" w:cs="Arial"/>
        </w:rPr>
        <w:t>Os valores alocados às premissas representam a avaliação da Administração da Companhia sobre as tendências futuras do setor elétrico e</w:t>
      </w:r>
      <w:r w:rsidR="00122957" w:rsidRPr="00F45A1F">
        <w:rPr>
          <w:rFonts w:ascii="Arial" w:hAnsi="Arial" w:cs="Arial"/>
        </w:rPr>
        <w:t>,</w:t>
      </w:r>
      <w:r w:rsidRPr="00F45A1F">
        <w:rPr>
          <w:rFonts w:ascii="Arial" w:hAnsi="Arial" w:cs="Arial"/>
        </w:rPr>
        <w:t xml:space="preserve"> são baseadas, tanto em fontes externas de informações como dados históricos. O fluxo de caixa foi projetado com base no resultado operacional e projeções da Companhia até o término da concessão. </w:t>
      </w:r>
    </w:p>
    <w:p w14:paraId="3760707D" w14:textId="77777777" w:rsidR="002D5D8F" w:rsidRPr="00F45A1F" w:rsidRDefault="002D5D8F" w:rsidP="005144E2">
      <w:pPr>
        <w:jc w:val="both"/>
        <w:rPr>
          <w:rFonts w:ascii="Arial" w:hAnsi="Arial" w:cs="Arial"/>
        </w:rPr>
      </w:pPr>
    </w:p>
    <w:p w14:paraId="09C84481" w14:textId="77777777" w:rsidR="00B87BB6" w:rsidRPr="00F45A1F" w:rsidRDefault="003F4719" w:rsidP="005144E2">
      <w:pPr>
        <w:jc w:val="both"/>
        <w:rPr>
          <w:rFonts w:ascii="Arial" w:hAnsi="Arial" w:cs="Arial"/>
        </w:rPr>
      </w:pPr>
      <w:r w:rsidRPr="00F45A1F">
        <w:rPr>
          <w:rFonts w:ascii="Arial" w:hAnsi="Arial" w:cs="Arial"/>
          <w:b/>
        </w:rPr>
        <w:t>c.1)</w:t>
      </w:r>
      <w:r w:rsidRPr="00F45A1F">
        <w:rPr>
          <w:rFonts w:ascii="Arial" w:hAnsi="Arial" w:cs="Arial"/>
        </w:rPr>
        <w:t xml:space="preserve"> Crescimento orgânico compatível com os dados históricos</w:t>
      </w:r>
      <w:r w:rsidR="002D4B30" w:rsidRPr="00F45A1F">
        <w:rPr>
          <w:rFonts w:ascii="Arial" w:hAnsi="Arial" w:cs="Arial"/>
        </w:rPr>
        <w:t xml:space="preserve"> e reajustes tarifários contratuais de inflação</w:t>
      </w:r>
      <w:r w:rsidRPr="00F45A1F">
        <w:rPr>
          <w:rFonts w:ascii="Arial" w:hAnsi="Arial" w:cs="Arial"/>
        </w:rPr>
        <w:t xml:space="preserve">; </w:t>
      </w:r>
    </w:p>
    <w:p w14:paraId="36692E69" w14:textId="77777777" w:rsidR="00B87BB6" w:rsidRPr="00F45A1F" w:rsidRDefault="00B87BB6" w:rsidP="005144E2">
      <w:pPr>
        <w:jc w:val="both"/>
        <w:rPr>
          <w:rFonts w:ascii="Arial" w:hAnsi="Arial" w:cs="Arial"/>
        </w:rPr>
      </w:pPr>
      <w:proofErr w:type="gramStart"/>
      <w:r w:rsidRPr="00F45A1F">
        <w:rPr>
          <w:rFonts w:ascii="Arial" w:hAnsi="Arial" w:cs="Arial"/>
          <w:b/>
        </w:rPr>
        <w:t>c.</w:t>
      </w:r>
      <w:proofErr w:type="gramEnd"/>
      <w:r w:rsidRPr="00F45A1F">
        <w:rPr>
          <w:rFonts w:ascii="Arial" w:hAnsi="Arial" w:cs="Arial"/>
          <w:b/>
        </w:rPr>
        <w:t xml:space="preserve">2) </w:t>
      </w:r>
      <w:r w:rsidRPr="00F45A1F">
        <w:rPr>
          <w:rFonts w:ascii="Arial" w:hAnsi="Arial" w:cs="Arial"/>
        </w:rPr>
        <w:t>Taxa de desconto</w:t>
      </w:r>
    </w:p>
    <w:p w14:paraId="7C263401" w14:textId="77777777" w:rsidR="00B87BB6" w:rsidRPr="00F45A1F" w:rsidRDefault="00B87BB6" w:rsidP="005144E2">
      <w:pPr>
        <w:jc w:val="both"/>
        <w:rPr>
          <w:rFonts w:ascii="Arial" w:hAnsi="Arial" w:cs="Arial"/>
        </w:rPr>
      </w:pPr>
    </w:p>
    <w:p w14:paraId="60A5FD9A" w14:textId="2BC1F8E8" w:rsidR="000F16C5" w:rsidRPr="00F45A1F" w:rsidRDefault="000F16C5" w:rsidP="005144E2">
      <w:pPr>
        <w:jc w:val="both"/>
        <w:rPr>
          <w:rFonts w:ascii="Arial" w:hAnsi="Arial" w:cs="Arial"/>
        </w:rPr>
      </w:pPr>
      <w:r w:rsidRPr="00F45A1F">
        <w:rPr>
          <w:rFonts w:ascii="Arial" w:hAnsi="Arial" w:cs="Arial"/>
        </w:rPr>
        <w:t xml:space="preserve">A taxa de desconto (após os impostos) para as Usinas Angra 1 e 2 - foi utilizada a taxa específica para o segmento de geração de </w:t>
      </w:r>
      <w:r w:rsidR="003479F4" w:rsidRPr="00F45A1F">
        <w:rPr>
          <w:rFonts w:ascii="Arial" w:hAnsi="Arial" w:cs="Arial"/>
        </w:rPr>
        <w:t>4</w:t>
      </w:r>
      <w:r w:rsidR="00A0388A" w:rsidRPr="00F45A1F">
        <w:rPr>
          <w:rFonts w:ascii="Arial" w:hAnsi="Arial" w:cs="Arial"/>
        </w:rPr>
        <w:t>,3</w:t>
      </w:r>
      <w:r w:rsidR="009F4364" w:rsidRPr="00F45A1F">
        <w:rPr>
          <w:rFonts w:ascii="Arial" w:hAnsi="Arial" w:cs="Arial"/>
        </w:rPr>
        <w:t>6</w:t>
      </w:r>
      <w:r w:rsidRPr="00F45A1F">
        <w:rPr>
          <w:rFonts w:ascii="Arial" w:hAnsi="Arial" w:cs="Arial"/>
        </w:rPr>
        <w:t>%,</w:t>
      </w:r>
      <w:r w:rsidR="00CF7D63">
        <w:rPr>
          <w:rFonts w:ascii="Arial" w:hAnsi="Arial" w:cs="Arial"/>
        </w:rPr>
        <w:t xml:space="preserve"> </w:t>
      </w:r>
      <w:r w:rsidRPr="00F45A1F">
        <w:rPr>
          <w:rFonts w:ascii="Arial" w:hAnsi="Arial" w:cs="Arial"/>
        </w:rPr>
        <w:t>obtida através de metodologia usualmente aplicada pelo mercado.</w:t>
      </w:r>
    </w:p>
    <w:p w14:paraId="5AFEE4DF" w14:textId="77777777" w:rsidR="00782DCE" w:rsidRPr="00F45A1F" w:rsidRDefault="00782DCE" w:rsidP="005144E2">
      <w:pPr>
        <w:jc w:val="both"/>
        <w:rPr>
          <w:rFonts w:ascii="Arial" w:hAnsi="Arial" w:cs="Arial"/>
        </w:rPr>
      </w:pPr>
    </w:p>
    <w:p w14:paraId="7F9F1660" w14:textId="77777777" w:rsidR="000F16C5" w:rsidRPr="00F45A1F" w:rsidRDefault="000F16C5" w:rsidP="005144E2">
      <w:pPr>
        <w:jc w:val="both"/>
        <w:rPr>
          <w:rFonts w:ascii="Arial" w:hAnsi="Arial" w:cs="Arial"/>
        </w:rPr>
      </w:pPr>
      <w:r w:rsidRPr="00F45A1F">
        <w:rPr>
          <w:rFonts w:ascii="Arial" w:hAnsi="Arial" w:cs="Arial"/>
        </w:rPr>
        <w:t xml:space="preserve">Para a Usina Angra 3, em função das características peculiares de financiamento, a taxa de desconto foi calculada considerando a estrutura de capital específica do projeto, o que resultou na taxa de desconto para a base </w:t>
      </w:r>
      <w:r w:rsidR="00243482" w:rsidRPr="00F45A1F">
        <w:rPr>
          <w:rFonts w:ascii="Arial" w:hAnsi="Arial" w:cs="Arial"/>
        </w:rPr>
        <w:t>dezembro de 201</w:t>
      </w:r>
      <w:r w:rsidR="00FB1391" w:rsidRPr="00F45A1F">
        <w:rPr>
          <w:rFonts w:ascii="Arial" w:hAnsi="Arial" w:cs="Arial"/>
        </w:rPr>
        <w:t>9</w:t>
      </w:r>
      <w:r w:rsidRPr="00F45A1F">
        <w:rPr>
          <w:rFonts w:ascii="Arial" w:hAnsi="Arial" w:cs="Arial"/>
        </w:rPr>
        <w:t xml:space="preserve"> de </w:t>
      </w:r>
      <w:r w:rsidR="009C45BB" w:rsidRPr="00F45A1F">
        <w:rPr>
          <w:rFonts w:ascii="Arial" w:hAnsi="Arial" w:cs="Arial"/>
        </w:rPr>
        <w:t>6</w:t>
      </w:r>
      <w:r w:rsidR="00FB1391" w:rsidRPr="00F45A1F">
        <w:rPr>
          <w:rFonts w:ascii="Arial" w:hAnsi="Arial" w:cs="Arial"/>
        </w:rPr>
        <w:t>,</w:t>
      </w:r>
      <w:r w:rsidR="009C45BB" w:rsidRPr="00F45A1F">
        <w:rPr>
          <w:rFonts w:ascii="Arial" w:hAnsi="Arial" w:cs="Arial"/>
        </w:rPr>
        <w:t>52</w:t>
      </w:r>
      <w:r w:rsidRPr="00F45A1F">
        <w:rPr>
          <w:rFonts w:ascii="Arial" w:hAnsi="Arial" w:cs="Arial"/>
        </w:rPr>
        <w:t>%</w:t>
      </w:r>
      <w:r w:rsidR="009C45BB" w:rsidRPr="00F45A1F">
        <w:rPr>
          <w:rFonts w:ascii="Arial" w:hAnsi="Arial" w:cs="Arial"/>
        </w:rPr>
        <w:t xml:space="preserve"> (7,03% em dezembro de 2018)</w:t>
      </w:r>
      <w:r w:rsidRPr="00F45A1F">
        <w:rPr>
          <w:rFonts w:ascii="Arial" w:hAnsi="Arial" w:cs="Arial"/>
        </w:rPr>
        <w:t>. Nesses cálculos foram utilizados parâmetros conforme Informação Técnica Eletrobras DFPP 001/20</w:t>
      </w:r>
      <w:r w:rsidR="009C45BB" w:rsidRPr="00F45A1F">
        <w:rPr>
          <w:rFonts w:ascii="Arial" w:hAnsi="Arial" w:cs="Arial"/>
        </w:rPr>
        <w:t>20</w:t>
      </w:r>
      <w:r w:rsidRPr="00F45A1F">
        <w:rPr>
          <w:rFonts w:ascii="Arial" w:hAnsi="Arial" w:cs="Arial"/>
        </w:rPr>
        <w:t>, de 2</w:t>
      </w:r>
      <w:r w:rsidR="009C45BB" w:rsidRPr="00F45A1F">
        <w:rPr>
          <w:rFonts w:ascii="Arial" w:hAnsi="Arial" w:cs="Arial"/>
        </w:rPr>
        <w:t>7</w:t>
      </w:r>
      <w:r w:rsidR="008E6B5F" w:rsidRPr="00F45A1F">
        <w:rPr>
          <w:rFonts w:ascii="Arial" w:hAnsi="Arial" w:cs="Arial"/>
        </w:rPr>
        <w:t xml:space="preserve"> de fevereiro de </w:t>
      </w:r>
      <w:r w:rsidRPr="00F45A1F">
        <w:rPr>
          <w:rFonts w:ascii="Arial" w:hAnsi="Arial" w:cs="Arial"/>
        </w:rPr>
        <w:t>20</w:t>
      </w:r>
      <w:r w:rsidR="009C45BB" w:rsidRPr="00F45A1F">
        <w:rPr>
          <w:rFonts w:ascii="Arial" w:hAnsi="Arial" w:cs="Arial"/>
        </w:rPr>
        <w:t>20.</w:t>
      </w:r>
    </w:p>
    <w:p w14:paraId="152A5923" w14:textId="77777777" w:rsidR="001C05A0" w:rsidRPr="00F45A1F" w:rsidRDefault="001C05A0" w:rsidP="005144E2">
      <w:pPr>
        <w:jc w:val="both"/>
        <w:rPr>
          <w:rFonts w:ascii="Arial" w:hAnsi="Arial" w:cs="Arial"/>
        </w:rPr>
      </w:pPr>
    </w:p>
    <w:p w14:paraId="14AA5BB9" w14:textId="7233647B" w:rsidR="003F4719" w:rsidRPr="00F45A1F" w:rsidRDefault="003F4719" w:rsidP="005144E2">
      <w:pPr>
        <w:jc w:val="both"/>
        <w:rPr>
          <w:rFonts w:ascii="Arial" w:hAnsi="Arial" w:cs="Arial"/>
        </w:rPr>
      </w:pPr>
      <w:proofErr w:type="gramStart"/>
      <w:r w:rsidRPr="00F45A1F">
        <w:rPr>
          <w:rFonts w:ascii="Arial" w:hAnsi="Arial" w:cs="Arial"/>
          <w:b/>
        </w:rPr>
        <w:t>c.</w:t>
      </w:r>
      <w:proofErr w:type="gramEnd"/>
      <w:r w:rsidRPr="00F45A1F">
        <w:rPr>
          <w:rFonts w:ascii="Arial" w:hAnsi="Arial" w:cs="Arial"/>
          <w:b/>
        </w:rPr>
        <w:t>3 )</w:t>
      </w:r>
      <w:r w:rsidR="00C226C8">
        <w:rPr>
          <w:rFonts w:ascii="Arial" w:hAnsi="Arial" w:cs="Arial"/>
          <w:b/>
        </w:rPr>
        <w:t xml:space="preserve"> </w:t>
      </w:r>
      <w:proofErr w:type="spellStart"/>
      <w:r w:rsidRPr="00F45A1F">
        <w:rPr>
          <w:rFonts w:ascii="Arial" w:hAnsi="Arial" w:cs="Arial"/>
          <w:i/>
        </w:rPr>
        <w:t>Impairment</w:t>
      </w:r>
      <w:proofErr w:type="spellEnd"/>
    </w:p>
    <w:p w14:paraId="668D9109" w14:textId="77777777" w:rsidR="002B7A04" w:rsidRPr="00F45A1F" w:rsidRDefault="002B7A04" w:rsidP="005144E2">
      <w:pPr>
        <w:jc w:val="both"/>
        <w:rPr>
          <w:rFonts w:ascii="Arial" w:hAnsi="Arial" w:cs="Arial"/>
        </w:rPr>
      </w:pPr>
    </w:p>
    <w:p w14:paraId="6001F563" w14:textId="5FDE5E1F" w:rsidR="007E3E75" w:rsidRPr="00F45A1F" w:rsidRDefault="007E3E75" w:rsidP="005144E2">
      <w:pPr>
        <w:jc w:val="both"/>
        <w:rPr>
          <w:rFonts w:ascii="Arial" w:hAnsi="Arial" w:cs="Arial"/>
        </w:rPr>
      </w:pPr>
      <w:r w:rsidRPr="00F45A1F">
        <w:rPr>
          <w:rFonts w:ascii="Arial" w:hAnsi="Arial" w:cs="Arial"/>
        </w:rPr>
        <w:t xml:space="preserve">O saldo de </w:t>
      </w:r>
      <w:proofErr w:type="spellStart"/>
      <w:r w:rsidRPr="00F45A1F">
        <w:rPr>
          <w:rFonts w:ascii="Arial" w:hAnsi="Arial" w:cs="Arial"/>
          <w:i/>
        </w:rPr>
        <w:t>Impairment</w:t>
      </w:r>
      <w:proofErr w:type="spellEnd"/>
      <w:r w:rsidR="001A06F6" w:rsidRPr="00F45A1F">
        <w:rPr>
          <w:rFonts w:ascii="Arial" w:hAnsi="Arial" w:cs="Arial"/>
          <w:i/>
        </w:rPr>
        <w:t xml:space="preserve"> </w:t>
      </w:r>
      <w:r w:rsidR="00AB7ADB" w:rsidRPr="00F45A1F">
        <w:rPr>
          <w:rFonts w:ascii="Arial" w:hAnsi="Arial" w:cs="Arial"/>
        </w:rPr>
        <w:t xml:space="preserve">referente ao empreendimento Angra 3 </w:t>
      </w:r>
      <w:r w:rsidR="00374966" w:rsidRPr="00F45A1F">
        <w:rPr>
          <w:rFonts w:ascii="Arial" w:hAnsi="Arial" w:cs="Arial"/>
        </w:rPr>
        <w:t xml:space="preserve">registrado na data base de 31 de dezembro de 2019 é </w:t>
      </w:r>
      <w:r w:rsidR="00AB7ADB" w:rsidRPr="00F45A1F">
        <w:rPr>
          <w:rFonts w:ascii="Arial" w:hAnsi="Arial" w:cs="Arial"/>
        </w:rPr>
        <w:t>d</w:t>
      </w:r>
      <w:r w:rsidRPr="00F45A1F">
        <w:rPr>
          <w:rFonts w:ascii="Arial" w:hAnsi="Arial" w:cs="Arial"/>
        </w:rPr>
        <w:t>e R$ 4.</w:t>
      </w:r>
      <w:r w:rsidR="00374966" w:rsidRPr="00F45A1F">
        <w:rPr>
          <w:rFonts w:ascii="Arial" w:hAnsi="Arial" w:cs="Arial"/>
        </w:rPr>
        <w:t>508</w:t>
      </w:r>
      <w:r w:rsidRPr="00F45A1F">
        <w:rPr>
          <w:rFonts w:ascii="Arial" w:hAnsi="Arial" w:cs="Arial"/>
        </w:rPr>
        <w:t>.</w:t>
      </w:r>
      <w:r w:rsidR="00374966" w:rsidRPr="00F45A1F">
        <w:rPr>
          <w:rFonts w:ascii="Arial" w:hAnsi="Arial" w:cs="Arial"/>
        </w:rPr>
        <w:t>764</w:t>
      </w:r>
      <w:r w:rsidR="00AB7ADB" w:rsidRPr="00F45A1F">
        <w:rPr>
          <w:rFonts w:ascii="Arial" w:hAnsi="Arial" w:cs="Arial"/>
        </w:rPr>
        <w:t>.</w:t>
      </w:r>
      <w:r w:rsidR="00E10650" w:rsidRPr="00F45A1F">
        <w:rPr>
          <w:rFonts w:ascii="Arial" w:hAnsi="Arial" w:cs="Arial"/>
          <w:b/>
          <w:color w:val="FF0000"/>
        </w:rPr>
        <w:t xml:space="preserve"> </w:t>
      </w:r>
      <w:r w:rsidR="00374966" w:rsidRPr="00F45A1F">
        <w:rPr>
          <w:rFonts w:ascii="Arial" w:hAnsi="Arial" w:cs="Arial"/>
        </w:rPr>
        <w:t xml:space="preserve"> O </w:t>
      </w:r>
      <w:r w:rsidR="0059202B" w:rsidRPr="00F45A1F">
        <w:rPr>
          <w:rFonts w:ascii="Arial" w:hAnsi="Arial" w:cs="Arial"/>
        </w:rPr>
        <w:t xml:space="preserve">novo </w:t>
      </w:r>
      <w:r w:rsidR="00374966" w:rsidRPr="00F45A1F">
        <w:rPr>
          <w:rFonts w:ascii="Arial" w:hAnsi="Arial" w:cs="Arial"/>
        </w:rPr>
        <w:t xml:space="preserve">resultado apresentado no presente teste </w:t>
      </w:r>
      <w:r w:rsidR="009F311B" w:rsidRPr="00F45A1F">
        <w:rPr>
          <w:rFonts w:ascii="Arial" w:hAnsi="Arial" w:cs="Arial"/>
        </w:rPr>
        <w:t xml:space="preserve">de </w:t>
      </w:r>
      <w:proofErr w:type="spellStart"/>
      <w:r w:rsidR="009F311B" w:rsidRPr="00F45A1F">
        <w:rPr>
          <w:rFonts w:ascii="Arial" w:hAnsi="Arial" w:cs="Arial"/>
        </w:rPr>
        <w:t>recuperabilidade</w:t>
      </w:r>
      <w:proofErr w:type="spellEnd"/>
      <w:r w:rsidR="009F311B" w:rsidRPr="00F45A1F">
        <w:rPr>
          <w:rFonts w:ascii="Arial" w:hAnsi="Arial" w:cs="Arial"/>
        </w:rPr>
        <w:t xml:space="preserve"> do ativo </w:t>
      </w:r>
      <w:r w:rsidR="00374966" w:rsidRPr="00F45A1F">
        <w:rPr>
          <w:rFonts w:ascii="Arial" w:hAnsi="Arial" w:cs="Arial"/>
        </w:rPr>
        <w:t>altera o anterior, com base em dezembro de 2018, com seus principais efeitos,</w:t>
      </w:r>
      <w:r w:rsidR="009F311B" w:rsidRPr="00F45A1F">
        <w:rPr>
          <w:rFonts w:ascii="Arial" w:hAnsi="Arial" w:cs="Arial"/>
        </w:rPr>
        <w:t xml:space="preserve"> a</w:t>
      </w:r>
      <w:r w:rsidR="00E10650" w:rsidRPr="00F45A1F">
        <w:rPr>
          <w:rFonts w:ascii="Arial" w:hAnsi="Arial" w:cs="Arial"/>
        </w:rPr>
        <w:t xml:space="preserve"> </w:t>
      </w:r>
      <w:r w:rsidR="0059202B" w:rsidRPr="00F45A1F">
        <w:rPr>
          <w:rFonts w:ascii="Arial" w:hAnsi="Arial" w:cs="Arial"/>
        </w:rPr>
        <w:t>seguir resumidos: (i) a</w:t>
      </w:r>
      <w:r w:rsidR="00374966" w:rsidRPr="00F45A1F">
        <w:rPr>
          <w:rFonts w:ascii="Arial" w:hAnsi="Arial" w:cs="Arial"/>
        </w:rPr>
        <w:t>diamento de 11</w:t>
      </w:r>
      <w:r w:rsidR="0059202B" w:rsidRPr="00F45A1F">
        <w:rPr>
          <w:rFonts w:ascii="Arial" w:hAnsi="Arial" w:cs="Arial"/>
        </w:rPr>
        <w:t xml:space="preserve"> (onze) </w:t>
      </w:r>
      <w:r w:rsidR="00374966" w:rsidRPr="00F45A1F">
        <w:rPr>
          <w:rFonts w:ascii="Arial" w:hAnsi="Arial" w:cs="Arial"/>
        </w:rPr>
        <w:t>meses na entrada em operação</w:t>
      </w:r>
      <w:r w:rsidR="0059202B" w:rsidRPr="00F45A1F">
        <w:rPr>
          <w:rFonts w:ascii="Arial" w:hAnsi="Arial" w:cs="Arial"/>
        </w:rPr>
        <w:t xml:space="preserve"> (30 de novembro de 2026 – 2019 / ante 01 de janeiro de 2026 – 2018)</w:t>
      </w:r>
      <w:r w:rsidR="00374966" w:rsidRPr="00F45A1F">
        <w:rPr>
          <w:rFonts w:ascii="Arial" w:hAnsi="Arial" w:cs="Arial"/>
        </w:rPr>
        <w:t>;</w:t>
      </w:r>
      <w:r w:rsidR="0059202B" w:rsidRPr="00F45A1F">
        <w:rPr>
          <w:rFonts w:ascii="Arial" w:hAnsi="Arial" w:cs="Arial"/>
        </w:rPr>
        <w:t xml:space="preserve"> (</w:t>
      </w:r>
      <w:proofErr w:type="spellStart"/>
      <w:r w:rsidR="0059202B" w:rsidRPr="00F45A1F">
        <w:rPr>
          <w:rFonts w:ascii="Arial" w:hAnsi="Arial" w:cs="Arial"/>
        </w:rPr>
        <w:t>ii</w:t>
      </w:r>
      <w:proofErr w:type="spellEnd"/>
      <w:r w:rsidR="0059202B" w:rsidRPr="00F45A1F">
        <w:rPr>
          <w:rFonts w:ascii="Arial" w:hAnsi="Arial" w:cs="Arial"/>
        </w:rPr>
        <w:t>) a</w:t>
      </w:r>
      <w:r w:rsidR="00374966" w:rsidRPr="00F45A1F">
        <w:rPr>
          <w:rFonts w:ascii="Arial" w:hAnsi="Arial" w:cs="Arial"/>
        </w:rPr>
        <w:t xml:space="preserve">tualização do orçamento </w:t>
      </w:r>
      <w:r w:rsidR="0059202B" w:rsidRPr="00F45A1F">
        <w:rPr>
          <w:rFonts w:ascii="Arial" w:hAnsi="Arial" w:cs="Arial"/>
        </w:rPr>
        <w:t xml:space="preserve">de </w:t>
      </w:r>
      <w:r w:rsidR="00960E5A" w:rsidRPr="00F45A1F">
        <w:rPr>
          <w:rFonts w:ascii="Arial" w:hAnsi="Arial" w:cs="Arial"/>
          <w:i/>
          <w:iCs/>
        </w:rPr>
        <w:t xml:space="preserve">Capital </w:t>
      </w:r>
      <w:proofErr w:type="spellStart"/>
      <w:r w:rsidR="00960E5A" w:rsidRPr="00F45A1F">
        <w:rPr>
          <w:rFonts w:ascii="Arial" w:hAnsi="Arial" w:cs="Arial"/>
          <w:i/>
          <w:iCs/>
        </w:rPr>
        <w:t>Expenditure</w:t>
      </w:r>
      <w:proofErr w:type="spellEnd"/>
      <w:r w:rsidR="00960E5A" w:rsidRPr="00F45A1F">
        <w:rPr>
          <w:rFonts w:ascii="Arial" w:hAnsi="Arial" w:cs="Arial"/>
          <w:i/>
          <w:iCs/>
        </w:rPr>
        <w:t xml:space="preserve"> -</w:t>
      </w:r>
      <w:r w:rsidR="00DD2342">
        <w:rPr>
          <w:rFonts w:ascii="Arial" w:hAnsi="Arial" w:cs="Arial"/>
          <w:i/>
          <w:iCs/>
        </w:rPr>
        <w:t xml:space="preserve"> </w:t>
      </w:r>
      <w:proofErr w:type="spellStart"/>
      <w:r w:rsidR="00DB02A3" w:rsidRPr="00F45A1F">
        <w:rPr>
          <w:rFonts w:ascii="Arial" w:hAnsi="Arial" w:cs="Arial"/>
        </w:rPr>
        <w:t>Capex</w:t>
      </w:r>
      <w:proofErr w:type="spellEnd"/>
      <w:r w:rsidR="0059202B" w:rsidRPr="00F45A1F">
        <w:rPr>
          <w:rFonts w:ascii="Arial" w:hAnsi="Arial" w:cs="Arial"/>
        </w:rPr>
        <w:t xml:space="preserve"> do projeto</w:t>
      </w:r>
      <w:r w:rsidR="00374966" w:rsidRPr="00F45A1F">
        <w:rPr>
          <w:rFonts w:ascii="Arial" w:hAnsi="Arial" w:cs="Arial"/>
        </w:rPr>
        <w:t>;</w:t>
      </w:r>
      <w:r w:rsidR="0059202B" w:rsidRPr="00F45A1F">
        <w:rPr>
          <w:rFonts w:ascii="Arial" w:hAnsi="Arial" w:cs="Arial"/>
        </w:rPr>
        <w:t xml:space="preserve"> (</w:t>
      </w:r>
      <w:proofErr w:type="spellStart"/>
      <w:r w:rsidR="0059202B" w:rsidRPr="00F45A1F">
        <w:rPr>
          <w:rFonts w:ascii="Arial" w:hAnsi="Arial" w:cs="Arial"/>
        </w:rPr>
        <w:t>iii</w:t>
      </w:r>
      <w:proofErr w:type="spellEnd"/>
      <w:r w:rsidR="0059202B" w:rsidRPr="00F45A1F">
        <w:rPr>
          <w:rFonts w:ascii="Arial" w:hAnsi="Arial" w:cs="Arial"/>
        </w:rPr>
        <w:t>) a</w:t>
      </w:r>
      <w:r w:rsidR="00374966" w:rsidRPr="00F45A1F">
        <w:rPr>
          <w:rFonts w:ascii="Arial" w:hAnsi="Arial" w:cs="Arial"/>
        </w:rPr>
        <w:t xml:space="preserve">lterações na distribuição plurianual do </w:t>
      </w:r>
      <w:proofErr w:type="spellStart"/>
      <w:r w:rsidR="00374966" w:rsidRPr="00F45A1F">
        <w:rPr>
          <w:rFonts w:ascii="Arial" w:hAnsi="Arial" w:cs="Arial"/>
        </w:rPr>
        <w:t>Capex</w:t>
      </w:r>
      <w:proofErr w:type="spellEnd"/>
      <w:r w:rsidR="00374966" w:rsidRPr="00F45A1F">
        <w:rPr>
          <w:rFonts w:ascii="Arial" w:hAnsi="Arial" w:cs="Arial"/>
        </w:rPr>
        <w:t xml:space="preserve"> do empreendimento Angra </w:t>
      </w:r>
      <w:proofErr w:type="gramStart"/>
      <w:r w:rsidR="00374966" w:rsidRPr="00F45A1F">
        <w:rPr>
          <w:rFonts w:ascii="Arial" w:hAnsi="Arial" w:cs="Arial"/>
        </w:rPr>
        <w:t>3</w:t>
      </w:r>
      <w:proofErr w:type="gramEnd"/>
      <w:r w:rsidR="00374966" w:rsidRPr="00F45A1F">
        <w:rPr>
          <w:rFonts w:ascii="Arial" w:hAnsi="Arial" w:cs="Arial"/>
        </w:rPr>
        <w:t xml:space="preserve">, com base no </w:t>
      </w:r>
      <w:r w:rsidR="00CF7D63">
        <w:rPr>
          <w:rFonts w:ascii="Arial" w:hAnsi="Arial" w:cs="Arial"/>
        </w:rPr>
        <w:t xml:space="preserve"> </w:t>
      </w:r>
      <w:r w:rsidR="0059202B" w:rsidRPr="00F45A1F">
        <w:rPr>
          <w:rFonts w:ascii="Arial" w:hAnsi="Arial" w:cs="Arial"/>
        </w:rPr>
        <w:t>“</w:t>
      </w:r>
      <w:r w:rsidR="00374966" w:rsidRPr="00F45A1F">
        <w:rPr>
          <w:rFonts w:ascii="Arial" w:hAnsi="Arial" w:cs="Arial"/>
        </w:rPr>
        <w:t>Plano de Aceleração da Linha Crítica</w:t>
      </w:r>
      <w:r w:rsidR="0059202B" w:rsidRPr="00F45A1F">
        <w:rPr>
          <w:rFonts w:ascii="Arial" w:hAnsi="Arial" w:cs="Arial"/>
        </w:rPr>
        <w:t>”</w:t>
      </w:r>
      <w:r w:rsidR="00374966" w:rsidRPr="00F45A1F">
        <w:rPr>
          <w:rFonts w:ascii="Arial" w:hAnsi="Arial" w:cs="Arial"/>
        </w:rPr>
        <w:t>;</w:t>
      </w:r>
      <w:r w:rsidR="0059202B" w:rsidRPr="00F45A1F">
        <w:rPr>
          <w:rFonts w:ascii="Arial" w:hAnsi="Arial" w:cs="Arial"/>
        </w:rPr>
        <w:t xml:space="preserve"> (</w:t>
      </w:r>
      <w:proofErr w:type="spellStart"/>
      <w:r w:rsidR="0059202B" w:rsidRPr="00F45A1F">
        <w:rPr>
          <w:rFonts w:ascii="Arial" w:hAnsi="Arial" w:cs="Arial"/>
        </w:rPr>
        <w:t>iv</w:t>
      </w:r>
      <w:proofErr w:type="spellEnd"/>
      <w:r w:rsidR="0059202B" w:rsidRPr="00F45A1F">
        <w:rPr>
          <w:rFonts w:ascii="Arial" w:hAnsi="Arial" w:cs="Arial"/>
        </w:rPr>
        <w:t>) a</w:t>
      </w:r>
      <w:r w:rsidR="00374966" w:rsidRPr="00F45A1F">
        <w:rPr>
          <w:rFonts w:ascii="Arial" w:hAnsi="Arial" w:cs="Arial"/>
        </w:rPr>
        <w:t>lteração na taxa de desconto</w:t>
      </w:r>
      <w:r w:rsidR="00DD2342">
        <w:rPr>
          <w:rFonts w:ascii="Arial" w:hAnsi="Arial" w:cs="Arial"/>
        </w:rPr>
        <w:t xml:space="preserve"> </w:t>
      </w:r>
      <w:r w:rsidR="0059202B" w:rsidRPr="00F45A1F">
        <w:rPr>
          <w:rFonts w:ascii="Arial" w:hAnsi="Arial" w:cs="Arial"/>
        </w:rPr>
        <w:t>conforme comentário do item anterior</w:t>
      </w:r>
      <w:r w:rsidR="00374966" w:rsidRPr="00F45A1F">
        <w:rPr>
          <w:rFonts w:ascii="Arial" w:hAnsi="Arial" w:cs="Arial"/>
        </w:rPr>
        <w:t>.</w:t>
      </w:r>
    </w:p>
    <w:p w14:paraId="462FBF1D" w14:textId="77777777" w:rsidR="007E3E75" w:rsidRPr="00F45A1F" w:rsidRDefault="007E3E75" w:rsidP="005144E2">
      <w:pPr>
        <w:jc w:val="both"/>
        <w:rPr>
          <w:rFonts w:ascii="Arial" w:hAnsi="Arial" w:cs="Arial"/>
          <w:sz w:val="16"/>
          <w:szCs w:val="16"/>
        </w:rPr>
      </w:pPr>
    </w:p>
    <w:p w14:paraId="30C3A7CF" w14:textId="77777777" w:rsidR="00BB74A6" w:rsidRPr="00F45A1F" w:rsidRDefault="00BB74A6" w:rsidP="005144E2">
      <w:pPr>
        <w:jc w:val="both"/>
        <w:rPr>
          <w:rFonts w:ascii="Arial" w:hAnsi="Arial" w:cs="Arial"/>
        </w:rPr>
      </w:pPr>
    </w:p>
    <w:p w14:paraId="5D0975BB" w14:textId="77777777" w:rsidR="003F4719" w:rsidRPr="00F45A1F" w:rsidRDefault="003F4719" w:rsidP="005144E2">
      <w:pPr>
        <w:jc w:val="both"/>
        <w:rPr>
          <w:rFonts w:ascii="Arial" w:hAnsi="Arial" w:cs="Arial"/>
        </w:rPr>
      </w:pPr>
      <w:r w:rsidRPr="00F45A1F">
        <w:rPr>
          <w:rFonts w:ascii="Arial" w:hAnsi="Arial" w:cs="Arial"/>
          <w:b/>
        </w:rPr>
        <w:t>c.4)</w:t>
      </w:r>
      <w:r w:rsidRPr="00F45A1F">
        <w:rPr>
          <w:rFonts w:ascii="Arial" w:hAnsi="Arial" w:cs="Arial"/>
        </w:rPr>
        <w:t xml:space="preserve"> Tarifa </w:t>
      </w:r>
    </w:p>
    <w:p w14:paraId="4EF6765A" w14:textId="77777777" w:rsidR="003F4719" w:rsidRPr="00F45A1F" w:rsidRDefault="003F4719" w:rsidP="005144E2">
      <w:pPr>
        <w:jc w:val="both"/>
        <w:rPr>
          <w:rFonts w:ascii="Arial" w:hAnsi="Arial" w:cs="Arial"/>
          <w:sz w:val="16"/>
          <w:szCs w:val="16"/>
        </w:rPr>
      </w:pPr>
    </w:p>
    <w:p w14:paraId="6027385B" w14:textId="77777777" w:rsidR="00562759" w:rsidRPr="00F45A1F" w:rsidRDefault="00562759" w:rsidP="005144E2">
      <w:pPr>
        <w:widowControl/>
        <w:jc w:val="both"/>
        <w:rPr>
          <w:rStyle w:val="NormalWebChar"/>
          <w:rFonts w:ascii="Arial" w:hAnsi="Arial" w:cs="Arial"/>
        </w:rPr>
      </w:pPr>
      <w:r w:rsidRPr="00F45A1F">
        <w:rPr>
          <w:rStyle w:val="NormalWebChar"/>
          <w:rFonts w:ascii="Arial" w:hAnsi="Arial" w:cs="Arial"/>
        </w:rPr>
        <w:t>A receita calculada para o teste de </w:t>
      </w:r>
      <w:proofErr w:type="spellStart"/>
      <w:r w:rsidRPr="00F45A1F">
        <w:rPr>
          <w:rStyle w:val="NormalWebChar"/>
          <w:rFonts w:ascii="Arial" w:hAnsi="Arial" w:cs="Arial"/>
          <w:i/>
        </w:rPr>
        <w:t>impairment</w:t>
      </w:r>
      <w:proofErr w:type="spellEnd"/>
      <w:r w:rsidRPr="00F45A1F">
        <w:rPr>
          <w:rStyle w:val="NormalWebChar"/>
          <w:rFonts w:ascii="Arial" w:hAnsi="Arial" w:cs="Arial"/>
        </w:rPr>
        <w:t> </w:t>
      </w:r>
      <w:r w:rsidR="00374966" w:rsidRPr="00F45A1F">
        <w:rPr>
          <w:rStyle w:val="NormalWebChar"/>
          <w:rFonts w:ascii="Arial" w:hAnsi="Arial" w:cs="Arial"/>
        </w:rPr>
        <w:t xml:space="preserve">na data base </w:t>
      </w:r>
      <w:r w:rsidRPr="00F45A1F">
        <w:rPr>
          <w:rStyle w:val="NormalWebChar"/>
          <w:rFonts w:ascii="Arial" w:hAnsi="Arial" w:cs="Arial"/>
        </w:rPr>
        <w:t>de dezembro de 201</w:t>
      </w:r>
      <w:r w:rsidR="00F00E5A" w:rsidRPr="00F45A1F">
        <w:rPr>
          <w:rStyle w:val="NormalWebChar"/>
          <w:rFonts w:ascii="Arial" w:hAnsi="Arial" w:cs="Arial"/>
        </w:rPr>
        <w:t>9</w:t>
      </w:r>
      <w:r w:rsidRPr="00F45A1F">
        <w:rPr>
          <w:rStyle w:val="NormalWebChar"/>
          <w:rFonts w:ascii="Arial" w:hAnsi="Arial" w:cs="Arial"/>
        </w:rPr>
        <w:t xml:space="preserve">, teve </w:t>
      </w:r>
      <w:r w:rsidR="00374966" w:rsidRPr="00F45A1F">
        <w:rPr>
          <w:rStyle w:val="NormalWebChar"/>
          <w:rFonts w:ascii="Arial" w:hAnsi="Arial" w:cs="Arial"/>
        </w:rPr>
        <w:t xml:space="preserve">premissa </w:t>
      </w:r>
      <w:r w:rsidRPr="00F45A1F">
        <w:rPr>
          <w:rStyle w:val="NormalWebChar"/>
          <w:rFonts w:ascii="Arial" w:hAnsi="Arial" w:cs="Arial"/>
        </w:rPr>
        <w:t>a tarifa de referência no valor de R$ 480,00/</w:t>
      </w:r>
      <w:proofErr w:type="spellStart"/>
      <w:r w:rsidRPr="00F45A1F">
        <w:rPr>
          <w:rStyle w:val="NormalWebChar"/>
          <w:rFonts w:ascii="Arial" w:hAnsi="Arial" w:cs="Arial"/>
        </w:rPr>
        <w:t>MWh</w:t>
      </w:r>
      <w:proofErr w:type="spellEnd"/>
      <w:r w:rsidRPr="00F45A1F">
        <w:rPr>
          <w:rStyle w:val="NormalWebChar"/>
          <w:rFonts w:ascii="Arial" w:hAnsi="Arial" w:cs="Arial"/>
        </w:rPr>
        <w:t xml:space="preserve"> estabelecida pelo Conselho Nacional de Política Energética – CNPE na Resolução CNPE Nº 14, de 09</w:t>
      </w:r>
      <w:r w:rsidR="00123551" w:rsidRPr="00F45A1F">
        <w:rPr>
          <w:rStyle w:val="NormalWebChar"/>
          <w:rFonts w:ascii="Arial" w:hAnsi="Arial" w:cs="Arial"/>
        </w:rPr>
        <w:t xml:space="preserve"> de outubro de </w:t>
      </w:r>
      <w:r w:rsidRPr="00F45A1F">
        <w:rPr>
          <w:rStyle w:val="NormalWebChar"/>
          <w:rFonts w:ascii="Arial" w:hAnsi="Arial" w:cs="Arial"/>
        </w:rPr>
        <w:t xml:space="preserve">2018 – </w:t>
      </w:r>
      <w:r w:rsidR="00EE399A" w:rsidRPr="00F45A1F">
        <w:rPr>
          <w:rStyle w:val="NormalWebChar"/>
          <w:rFonts w:ascii="Arial" w:hAnsi="Arial" w:cs="Arial"/>
        </w:rPr>
        <w:t>DOU</w:t>
      </w:r>
      <w:r w:rsidRPr="00F45A1F">
        <w:rPr>
          <w:rStyle w:val="NormalWebChar"/>
          <w:rFonts w:ascii="Arial" w:hAnsi="Arial" w:cs="Arial"/>
        </w:rPr>
        <w:t xml:space="preserve"> de 23</w:t>
      </w:r>
      <w:r w:rsidR="00123551" w:rsidRPr="00F45A1F">
        <w:rPr>
          <w:rStyle w:val="NormalWebChar"/>
          <w:rFonts w:ascii="Arial" w:hAnsi="Arial" w:cs="Arial"/>
        </w:rPr>
        <w:t xml:space="preserve"> de outubro de </w:t>
      </w:r>
      <w:r w:rsidRPr="00F45A1F">
        <w:rPr>
          <w:rStyle w:val="NormalWebChar"/>
          <w:rFonts w:ascii="Arial" w:hAnsi="Arial" w:cs="Arial"/>
        </w:rPr>
        <w:t>2018. Essa tarifa substituiu a tarifa original, instituída quando da assinatura do fornecimento da energia da usina em 2009, e regulamentada através da Portaria MME 980/2010, com o valor original de R$ 148,65/</w:t>
      </w:r>
      <w:proofErr w:type="spellStart"/>
      <w:r w:rsidRPr="00F45A1F">
        <w:rPr>
          <w:rStyle w:val="NormalWebChar"/>
          <w:rFonts w:ascii="Arial" w:hAnsi="Arial" w:cs="Arial"/>
        </w:rPr>
        <w:t>MWh</w:t>
      </w:r>
      <w:proofErr w:type="spellEnd"/>
      <w:r w:rsidR="00374966" w:rsidRPr="00F45A1F">
        <w:rPr>
          <w:rStyle w:val="NormalWebChar"/>
          <w:rFonts w:ascii="Arial" w:hAnsi="Arial" w:cs="Arial"/>
        </w:rPr>
        <w:t xml:space="preserve">. O novo preço da tarifa de referência para </w:t>
      </w:r>
      <w:r w:rsidR="00D7696F" w:rsidRPr="00F45A1F">
        <w:rPr>
          <w:rStyle w:val="NormalWebChar"/>
          <w:rFonts w:ascii="Arial" w:hAnsi="Arial" w:cs="Arial"/>
        </w:rPr>
        <w:t xml:space="preserve">a energia proveniente da Usina </w:t>
      </w:r>
      <w:r w:rsidR="00374966" w:rsidRPr="00F45A1F">
        <w:rPr>
          <w:rStyle w:val="NormalWebChar"/>
          <w:rFonts w:ascii="Arial" w:hAnsi="Arial" w:cs="Arial"/>
        </w:rPr>
        <w:t xml:space="preserve">Angra 3, atualizado a preços de dezembro de 2019, e, utilizados para fins de teste de </w:t>
      </w:r>
      <w:proofErr w:type="spellStart"/>
      <w:r w:rsidR="00374966" w:rsidRPr="00F45A1F">
        <w:rPr>
          <w:rStyle w:val="NormalWebChar"/>
          <w:rFonts w:ascii="Arial" w:hAnsi="Arial" w:cs="Arial"/>
          <w:i/>
        </w:rPr>
        <w:t>impairment</w:t>
      </w:r>
      <w:proofErr w:type="spellEnd"/>
      <w:r w:rsidR="00374966" w:rsidRPr="00F45A1F">
        <w:rPr>
          <w:rStyle w:val="NormalWebChar"/>
          <w:rFonts w:ascii="Arial" w:hAnsi="Arial" w:cs="Arial"/>
        </w:rPr>
        <w:t xml:space="preserve"> foi de R$ 504,58/</w:t>
      </w:r>
      <w:proofErr w:type="spellStart"/>
      <w:r w:rsidR="00374966" w:rsidRPr="00F45A1F">
        <w:rPr>
          <w:rStyle w:val="NormalWebChar"/>
          <w:rFonts w:ascii="Arial" w:hAnsi="Arial" w:cs="Arial"/>
        </w:rPr>
        <w:t>MWh</w:t>
      </w:r>
      <w:proofErr w:type="spellEnd"/>
      <w:r w:rsidR="00374966" w:rsidRPr="00F45A1F">
        <w:rPr>
          <w:rStyle w:val="NormalWebChar"/>
          <w:rFonts w:ascii="Arial" w:hAnsi="Arial" w:cs="Arial"/>
        </w:rPr>
        <w:t xml:space="preserve">. </w:t>
      </w:r>
    </w:p>
    <w:p w14:paraId="5BA9D6D8" w14:textId="77777777" w:rsidR="006923D8" w:rsidRPr="00F45A1F" w:rsidRDefault="006923D8" w:rsidP="005144E2">
      <w:pPr>
        <w:jc w:val="both"/>
        <w:rPr>
          <w:rFonts w:ascii="Arial" w:hAnsi="Arial" w:cs="Arial"/>
        </w:rPr>
      </w:pPr>
    </w:p>
    <w:p w14:paraId="1DA409DE" w14:textId="77777777" w:rsidR="00BB74A6" w:rsidRPr="00F45A1F" w:rsidRDefault="00BB74A6" w:rsidP="005144E2">
      <w:pPr>
        <w:jc w:val="both"/>
        <w:rPr>
          <w:rFonts w:ascii="Arial" w:hAnsi="Arial" w:cs="Arial"/>
          <w:sz w:val="16"/>
          <w:szCs w:val="16"/>
        </w:rPr>
      </w:pPr>
    </w:p>
    <w:p w14:paraId="391B449E" w14:textId="77777777" w:rsidR="003F4719" w:rsidRPr="00F45A1F" w:rsidRDefault="003F4719" w:rsidP="005144E2">
      <w:pPr>
        <w:jc w:val="both"/>
        <w:rPr>
          <w:rFonts w:ascii="Arial" w:hAnsi="Arial" w:cs="Arial"/>
        </w:rPr>
      </w:pPr>
      <w:r w:rsidRPr="00F45A1F">
        <w:rPr>
          <w:rFonts w:ascii="Arial" w:hAnsi="Arial" w:cs="Arial"/>
          <w:b/>
        </w:rPr>
        <w:t>c.5)</w:t>
      </w:r>
      <w:r w:rsidRPr="00F45A1F">
        <w:rPr>
          <w:rFonts w:ascii="Arial" w:hAnsi="Arial" w:cs="Arial"/>
        </w:rPr>
        <w:t xml:space="preserve"> Sinergia</w:t>
      </w:r>
    </w:p>
    <w:p w14:paraId="6624395D" w14:textId="77777777" w:rsidR="003F4719" w:rsidRPr="00F45A1F" w:rsidRDefault="003F4719" w:rsidP="005144E2">
      <w:pPr>
        <w:jc w:val="both"/>
        <w:rPr>
          <w:rFonts w:ascii="Arial" w:hAnsi="Arial" w:cs="Arial"/>
          <w:sz w:val="16"/>
          <w:szCs w:val="16"/>
        </w:rPr>
      </w:pPr>
    </w:p>
    <w:p w14:paraId="16B98811" w14:textId="77777777" w:rsidR="006923D8" w:rsidRPr="00F45A1F" w:rsidRDefault="006923D8" w:rsidP="005144E2">
      <w:pPr>
        <w:widowControl/>
        <w:jc w:val="both"/>
        <w:rPr>
          <w:rStyle w:val="NormalWebChar"/>
          <w:rFonts w:ascii="Arial" w:hAnsi="Arial" w:cs="Arial"/>
        </w:rPr>
      </w:pPr>
      <w:r w:rsidRPr="00F45A1F">
        <w:rPr>
          <w:rStyle w:val="NormalWebChar"/>
          <w:rFonts w:ascii="Arial" w:hAnsi="Arial" w:cs="Arial"/>
        </w:rPr>
        <w:t>As Usinas Angra 2 e Angra 3 são oriundas de projetos similares e, por isso, tem sido utilizado o parâmetro de custos de Angra 2 em Angra 3. Ocorre que existirá um ganho de custo/produtividade na entrada de Angra 3 por não haver necessidade de duplicar todas as atividades geradoras de custo, pois áreas comuns estarão atendendo as duas usinas. </w:t>
      </w:r>
    </w:p>
    <w:p w14:paraId="66A5C180" w14:textId="77777777" w:rsidR="006923D8" w:rsidRPr="00F45A1F" w:rsidRDefault="006923D8" w:rsidP="005144E2">
      <w:pPr>
        <w:widowControl/>
        <w:jc w:val="both"/>
        <w:rPr>
          <w:rStyle w:val="NormalWebChar"/>
          <w:rFonts w:ascii="Arial" w:hAnsi="Arial" w:cs="Arial"/>
        </w:rPr>
      </w:pPr>
    </w:p>
    <w:p w14:paraId="7FFD36B8" w14:textId="77777777" w:rsidR="006923D8" w:rsidRPr="00F45A1F" w:rsidRDefault="006923D8" w:rsidP="005144E2">
      <w:pPr>
        <w:widowControl/>
        <w:jc w:val="both"/>
        <w:rPr>
          <w:rStyle w:val="NormalWebChar"/>
          <w:rFonts w:ascii="Arial" w:hAnsi="Arial" w:cs="Arial"/>
        </w:rPr>
      </w:pPr>
      <w:r w:rsidRPr="00F45A1F">
        <w:rPr>
          <w:rStyle w:val="NormalWebChar"/>
          <w:rFonts w:ascii="Arial" w:hAnsi="Arial" w:cs="Arial"/>
        </w:rPr>
        <w:t>A sinergia apurada para o projeto, considerando estudos internos, baseados na utilização da mão de obra da Companhia, apontou para um patamar de cerca de 25,4%</w:t>
      </w:r>
      <w:r w:rsidR="000D7D34" w:rsidRPr="00F45A1F">
        <w:rPr>
          <w:rFonts w:ascii="Arial" w:hAnsi="Arial" w:cs="Arial"/>
          <w:b/>
          <w:color w:val="FF0000"/>
        </w:rPr>
        <w:t xml:space="preserve"> </w:t>
      </w:r>
      <w:r w:rsidRPr="00F45A1F">
        <w:rPr>
          <w:rStyle w:val="NormalWebChar"/>
          <w:rFonts w:ascii="Arial" w:hAnsi="Arial" w:cs="Arial"/>
        </w:rPr>
        <w:t>conforme Nota Técnica</w:t>
      </w:r>
      <w:r w:rsidR="00293286" w:rsidRPr="00F45A1F">
        <w:rPr>
          <w:rStyle w:val="NormalWebChar"/>
          <w:rFonts w:ascii="Arial" w:hAnsi="Arial" w:cs="Arial"/>
        </w:rPr>
        <w:t xml:space="preserve"> da Superintendência Financeira</w:t>
      </w:r>
      <w:r w:rsidR="00785E9A" w:rsidRPr="00F45A1F">
        <w:rPr>
          <w:rStyle w:val="NormalWebChar"/>
          <w:rFonts w:ascii="Arial" w:hAnsi="Arial" w:cs="Arial"/>
        </w:rPr>
        <w:t xml:space="preserve">– SF.A </w:t>
      </w:r>
      <w:r w:rsidRPr="00F45A1F">
        <w:rPr>
          <w:rStyle w:val="NormalWebChar"/>
          <w:rFonts w:ascii="Arial" w:hAnsi="Arial" w:cs="Arial"/>
        </w:rPr>
        <w:t>022/2016; sendo esse percentual utilizado para estimativa do custo operacional PMSO, da Usina Angra 3, no teste de </w:t>
      </w:r>
      <w:proofErr w:type="spellStart"/>
      <w:r w:rsidRPr="00F45A1F">
        <w:rPr>
          <w:rStyle w:val="NormalWebChar"/>
          <w:rFonts w:ascii="Arial" w:hAnsi="Arial" w:cs="Arial"/>
          <w:i/>
        </w:rPr>
        <w:t>impairment</w:t>
      </w:r>
      <w:proofErr w:type="spellEnd"/>
      <w:r w:rsidRPr="00F45A1F">
        <w:rPr>
          <w:rStyle w:val="NormalWebChar"/>
          <w:rFonts w:ascii="Arial" w:hAnsi="Arial" w:cs="Arial"/>
        </w:rPr>
        <w:t> de dezembro de 2015 e nos testes posteriores, com ajustes inflacionários e reduções por ganhos no custo de pessoal decorrentes dos planos de desligamentos.</w:t>
      </w:r>
    </w:p>
    <w:p w14:paraId="30292E46" w14:textId="77777777" w:rsidR="00293286" w:rsidRPr="00F45A1F" w:rsidRDefault="00293286" w:rsidP="005144E2">
      <w:pPr>
        <w:widowControl/>
        <w:jc w:val="both"/>
        <w:rPr>
          <w:rStyle w:val="NormalWebChar"/>
          <w:rFonts w:ascii="Arial" w:hAnsi="Arial" w:cs="Arial"/>
        </w:rPr>
      </w:pPr>
    </w:p>
    <w:p w14:paraId="36E10FF8" w14:textId="77777777" w:rsidR="00BB74A6" w:rsidRPr="00F45A1F" w:rsidRDefault="00BB74A6" w:rsidP="005144E2">
      <w:pPr>
        <w:widowControl/>
        <w:jc w:val="both"/>
        <w:rPr>
          <w:rStyle w:val="NormalWebChar"/>
          <w:rFonts w:ascii="Arial" w:hAnsi="Arial" w:cs="Arial"/>
          <w:sz w:val="16"/>
          <w:szCs w:val="16"/>
        </w:rPr>
      </w:pPr>
    </w:p>
    <w:p w14:paraId="732E5D14" w14:textId="77777777" w:rsidR="003F4719" w:rsidRPr="00F45A1F" w:rsidRDefault="00782DCE" w:rsidP="005144E2">
      <w:pPr>
        <w:widowControl/>
        <w:jc w:val="both"/>
        <w:rPr>
          <w:rStyle w:val="NormalWebChar"/>
          <w:rFonts w:ascii="Arial" w:hAnsi="Arial" w:cs="Arial"/>
          <w:b/>
        </w:rPr>
      </w:pPr>
      <w:r w:rsidRPr="00F45A1F">
        <w:rPr>
          <w:rStyle w:val="NormalWebChar"/>
          <w:rFonts w:ascii="Arial" w:hAnsi="Arial" w:cs="Arial"/>
          <w:b/>
        </w:rPr>
        <w:t>d) Licenciamento das U</w:t>
      </w:r>
      <w:r w:rsidR="003F4719" w:rsidRPr="00F45A1F">
        <w:rPr>
          <w:rStyle w:val="NormalWebChar"/>
          <w:rFonts w:ascii="Arial" w:hAnsi="Arial" w:cs="Arial"/>
          <w:b/>
        </w:rPr>
        <w:t>sinas Angra 1 e 2</w:t>
      </w:r>
    </w:p>
    <w:p w14:paraId="54B5CD1D" w14:textId="77777777" w:rsidR="003F4719" w:rsidRPr="00F45A1F" w:rsidRDefault="003F4719" w:rsidP="005144E2">
      <w:pPr>
        <w:widowControl/>
        <w:jc w:val="both"/>
        <w:rPr>
          <w:rFonts w:ascii="Arial" w:hAnsi="Arial" w:cs="Arial"/>
          <w:sz w:val="16"/>
          <w:szCs w:val="16"/>
        </w:rPr>
      </w:pPr>
    </w:p>
    <w:p w14:paraId="5D8AAD52" w14:textId="77777777" w:rsidR="003F4719" w:rsidRPr="00F45A1F" w:rsidRDefault="003F4719" w:rsidP="005144E2">
      <w:pPr>
        <w:widowControl/>
        <w:jc w:val="both"/>
        <w:outlineLvl w:val="0"/>
        <w:rPr>
          <w:rFonts w:ascii="Arial" w:hAnsi="Arial" w:cs="Arial"/>
        </w:rPr>
      </w:pPr>
      <w:r w:rsidRPr="00F45A1F">
        <w:rPr>
          <w:rFonts w:ascii="Arial" w:hAnsi="Arial" w:cs="Arial"/>
        </w:rPr>
        <w:t>As usinas nucleares são su</w:t>
      </w:r>
      <w:r w:rsidR="00DB02A3" w:rsidRPr="00F45A1F">
        <w:rPr>
          <w:rFonts w:ascii="Arial" w:hAnsi="Arial" w:cs="Arial"/>
        </w:rPr>
        <w:t>b</w:t>
      </w:r>
      <w:r w:rsidRPr="00F45A1F">
        <w:rPr>
          <w:rFonts w:ascii="Arial" w:hAnsi="Arial" w:cs="Arial"/>
        </w:rPr>
        <w:t xml:space="preserve">metidas a dois processos de licenciamento: Licenciamento Ambiental, de competência do </w:t>
      </w:r>
      <w:r w:rsidR="00EE399A" w:rsidRPr="00F45A1F">
        <w:rPr>
          <w:rFonts w:ascii="Arial" w:hAnsi="Arial" w:cs="Arial"/>
          <w:color w:val="222222"/>
          <w:shd w:val="clear" w:color="auto" w:fill="FFFFFF"/>
        </w:rPr>
        <w:t>Instituto Brasileiro de Meio Ambiente e dos Recursos Naturais Renováveis</w:t>
      </w:r>
      <w:r w:rsidR="00BB74A6" w:rsidRPr="00F45A1F">
        <w:rPr>
          <w:rFonts w:ascii="Arial" w:hAnsi="Arial" w:cs="Arial"/>
          <w:color w:val="222222"/>
          <w:shd w:val="clear" w:color="auto" w:fill="FFFFFF"/>
        </w:rPr>
        <w:t xml:space="preserve"> - </w:t>
      </w:r>
      <w:r w:rsidRPr="00F45A1F">
        <w:rPr>
          <w:rFonts w:ascii="Arial" w:hAnsi="Arial" w:cs="Arial"/>
        </w:rPr>
        <w:t>I</w:t>
      </w:r>
      <w:r w:rsidR="00DB02A3" w:rsidRPr="00F45A1F">
        <w:rPr>
          <w:rFonts w:ascii="Arial" w:hAnsi="Arial" w:cs="Arial"/>
        </w:rPr>
        <w:t>bama</w:t>
      </w:r>
      <w:r w:rsidRPr="00F45A1F">
        <w:rPr>
          <w:rFonts w:ascii="Arial" w:hAnsi="Arial" w:cs="Arial"/>
        </w:rPr>
        <w:t xml:space="preserve"> e Licenciamento Nuclear, conduzido pela Comissão Nacional de Energia Nuclear </w:t>
      </w:r>
      <w:r w:rsidR="00BB74A6" w:rsidRPr="00F45A1F">
        <w:rPr>
          <w:rFonts w:ascii="Arial" w:hAnsi="Arial" w:cs="Arial"/>
        </w:rPr>
        <w:t xml:space="preserve">- </w:t>
      </w:r>
      <w:r w:rsidRPr="00F45A1F">
        <w:rPr>
          <w:rFonts w:ascii="Arial" w:hAnsi="Arial" w:cs="Arial"/>
        </w:rPr>
        <w:t xml:space="preserve">CNEN </w:t>
      </w:r>
    </w:p>
    <w:p w14:paraId="2C281030" w14:textId="77777777" w:rsidR="003F4719" w:rsidRPr="00F45A1F" w:rsidRDefault="003F4719" w:rsidP="005144E2">
      <w:pPr>
        <w:widowControl/>
        <w:jc w:val="both"/>
        <w:outlineLvl w:val="0"/>
        <w:rPr>
          <w:rFonts w:ascii="Arial" w:hAnsi="Arial" w:cs="Arial"/>
        </w:rPr>
      </w:pPr>
    </w:p>
    <w:p w14:paraId="1801BC69" w14:textId="70CDA1CD" w:rsidR="003F4719" w:rsidRPr="00F45A1F" w:rsidRDefault="003F4719" w:rsidP="005144E2">
      <w:pPr>
        <w:widowControl/>
        <w:jc w:val="both"/>
        <w:outlineLvl w:val="0"/>
        <w:rPr>
          <w:rFonts w:ascii="Arial" w:hAnsi="Arial" w:cs="Arial"/>
        </w:rPr>
      </w:pPr>
      <w:r w:rsidRPr="00F45A1F">
        <w:rPr>
          <w:rFonts w:ascii="Arial" w:hAnsi="Arial" w:cs="Arial"/>
        </w:rPr>
        <w:t xml:space="preserve">Atualmente, a Usina Angra 1 possui a Autorização para Operação Permanente </w:t>
      </w:r>
      <w:r w:rsidR="00BB74A6" w:rsidRPr="00F45A1F">
        <w:rPr>
          <w:rFonts w:ascii="Arial" w:hAnsi="Arial" w:cs="Arial"/>
        </w:rPr>
        <w:t xml:space="preserve">- </w:t>
      </w:r>
      <w:r w:rsidRPr="00F45A1F">
        <w:rPr>
          <w:rFonts w:ascii="Arial" w:hAnsi="Arial" w:cs="Arial"/>
        </w:rPr>
        <w:t>AOP, emitida pela CNEN, em 1994 e renovada por 14 anos,</w:t>
      </w:r>
      <w:r w:rsidR="00DD2342">
        <w:rPr>
          <w:rFonts w:ascii="Arial" w:hAnsi="Arial" w:cs="Arial"/>
        </w:rPr>
        <w:t xml:space="preserve"> </w:t>
      </w:r>
      <w:r w:rsidRPr="00F45A1F">
        <w:rPr>
          <w:rFonts w:ascii="Arial" w:hAnsi="Arial" w:cs="Arial"/>
        </w:rPr>
        <w:t>pelo Ofício CNEN n° 124/2010 – CGRC/CNEN, de 09</w:t>
      </w:r>
      <w:r w:rsidR="00A5017B" w:rsidRPr="00F45A1F">
        <w:rPr>
          <w:rFonts w:ascii="Arial" w:hAnsi="Arial" w:cs="Arial"/>
        </w:rPr>
        <w:t xml:space="preserve"> de agosto de </w:t>
      </w:r>
      <w:r w:rsidRPr="00F45A1F">
        <w:rPr>
          <w:rFonts w:ascii="Arial" w:hAnsi="Arial" w:cs="Arial"/>
        </w:rPr>
        <w:t xml:space="preserve">2010 e a Usina Angra 2 possui a Autorização para Operação Permanente </w:t>
      </w:r>
      <w:r w:rsidR="00C133BB" w:rsidRPr="00F45A1F">
        <w:rPr>
          <w:rFonts w:ascii="Arial" w:hAnsi="Arial" w:cs="Arial"/>
        </w:rPr>
        <w:t xml:space="preserve">- </w:t>
      </w:r>
      <w:r w:rsidRPr="00F45A1F">
        <w:rPr>
          <w:rFonts w:ascii="Arial" w:hAnsi="Arial" w:cs="Arial"/>
        </w:rPr>
        <w:t>AOP, concedida pela Resolução CNEN n.º 106/2011, válida por 30 anos a partir de 15</w:t>
      </w:r>
      <w:r w:rsidR="00A5017B" w:rsidRPr="00F45A1F">
        <w:rPr>
          <w:rFonts w:ascii="Arial" w:hAnsi="Arial" w:cs="Arial"/>
        </w:rPr>
        <w:t xml:space="preserve"> de junho de </w:t>
      </w:r>
      <w:r w:rsidRPr="00F45A1F">
        <w:rPr>
          <w:rFonts w:ascii="Arial" w:hAnsi="Arial" w:cs="Arial"/>
        </w:rPr>
        <w:t xml:space="preserve">2011. </w:t>
      </w:r>
    </w:p>
    <w:p w14:paraId="15A5B9C0" w14:textId="77777777" w:rsidR="003F4719" w:rsidRPr="00F45A1F" w:rsidRDefault="003F4719" w:rsidP="005144E2">
      <w:pPr>
        <w:widowControl/>
        <w:jc w:val="both"/>
        <w:outlineLvl w:val="0"/>
        <w:rPr>
          <w:rFonts w:ascii="Arial" w:hAnsi="Arial" w:cs="Arial"/>
        </w:rPr>
      </w:pPr>
    </w:p>
    <w:p w14:paraId="11D3B7AB" w14:textId="77777777" w:rsidR="003F4719" w:rsidRPr="00F45A1F" w:rsidRDefault="003F4719" w:rsidP="005144E2">
      <w:pPr>
        <w:widowControl/>
        <w:jc w:val="both"/>
        <w:outlineLvl w:val="0"/>
        <w:rPr>
          <w:rFonts w:ascii="Arial" w:hAnsi="Arial" w:cs="Arial"/>
        </w:rPr>
      </w:pPr>
      <w:r w:rsidRPr="00F45A1F">
        <w:rPr>
          <w:rFonts w:ascii="Arial" w:hAnsi="Arial" w:cs="Arial"/>
        </w:rPr>
        <w:t>Em 12 de março de 2014, o I</w:t>
      </w:r>
      <w:r w:rsidR="00DB02A3" w:rsidRPr="00F45A1F">
        <w:rPr>
          <w:rFonts w:ascii="Arial" w:hAnsi="Arial" w:cs="Arial"/>
        </w:rPr>
        <w:t>bama</w:t>
      </w:r>
      <w:r w:rsidRPr="00F45A1F">
        <w:rPr>
          <w:rFonts w:ascii="Arial" w:hAnsi="Arial" w:cs="Arial"/>
        </w:rPr>
        <w:t xml:space="preserve"> emitiu a Licença de Operação nº 1217/2014</w:t>
      </w:r>
      <w:r w:rsidR="0020290F" w:rsidRPr="00F45A1F">
        <w:rPr>
          <w:rFonts w:ascii="Arial" w:hAnsi="Arial" w:cs="Arial"/>
        </w:rPr>
        <w:t>, que</w:t>
      </w:r>
      <w:r w:rsidRPr="00F45A1F">
        <w:rPr>
          <w:rFonts w:ascii="Arial" w:hAnsi="Arial" w:cs="Arial"/>
        </w:rPr>
        <w:t xml:space="preserve"> autoriz</w:t>
      </w:r>
      <w:r w:rsidR="0020290F" w:rsidRPr="00F45A1F">
        <w:rPr>
          <w:rFonts w:ascii="Arial" w:hAnsi="Arial" w:cs="Arial"/>
        </w:rPr>
        <w:t>ou</w:t>
      </w:r>
      <w:r w:rsidRPr="00F45A1F">
        <w:rPr>
          <w:rFonts w:ascii="Arial" w:hAnsi="Arial" w:cs="Arial"/>
        </w:rPr>
        <w:t xml:space="preserve"> a operação das Usinas Angra 1 e 2, válida por 10 anos.</w:t>
      </w:r>
    </w:p>
    <w:p w14:paraId="0239E874" w14:textId="77777777" w:rsidR="008167EF" w:rsidRPr="00F45A1F" w:rsidRDefault="008167EF" w:rsidP="005144E2">
      <w:pPr>
        <w:widowControl/>
        <w:jc w:val="both"/>
        <w:outlineLvl w:val="0"/>
        <w:rPr>
          <w:rFonts w:ascii="Arial" w:hAnsi="Arial" w:cs="Arial"/>
        </w:rPr>
      </w:pPr>
    </w:p>
    <w:p w14:paraId="029748A4" w14:textId="77777777" w:rsidR="00BB74A6" w:rsidRPr="00F45A1F" w:rsidRDefault="00BB74A6" w:rsidP="005144E2">
      <w:pPr>
        <w:widowControl/>
        <w:jc w:val="both"/>
        <w:outlineLvl w:val="0"/>
        <w:rPr>
          <w:rFonts w:ascii="Arial" w:hAnsi="Arial" w:cs="Arial"/>
          <w:sz w:val="16"/>
          <w:szCs w:val="16"/>
        </w:rPr>
      </w:pPr>
    </w:p>
    <w:p w14:paraId="00CA6C4A" w14:textId="77777777" w:rsidR="003F4719" w:rsidRPr="00F45A1F" w:rsidRDefault="003F4719" w:rsidP="005144E2">
      <w:pPr>
        <w:widowControl/>
        <w:jc w:val="both"/>
        <w:rPr>
          <w:rStyle w:val="NormalWebChar"/>
          <w:rFonts w:ascii="Arial" w:hAnsi="Arial" w:cs="Arial"/>
          <w:b/>
        </w:rPr>
      </w:pPr>
      <w:r w:rsidRPr="00F45A1F">
        <w:rPr>
          <w:rStyle w:val="NormalWebChar"/>
          <w:rFonts w:ascii="Arial" w:hAnsi="Arial" w:cs="Arial"/>
          <w:b/>
        </w:rPr>
        <w:t>e) Interpretação Técnica ICPC 12 – Mudanças em Passivos</w:t>
      </w:r>
    </w:p>
    <w:p w14:paraId="70A8F98A" w14:textId="77777777" w:rsidR="003F4719" w:rsidRPr="00F45A1F" w:rsidRDefault="003F4719" w:rsidP="005144E2">
      <w:pPr>
        <w:widowControl/>
        <w:jc w:val="both"/>
        <w:rPr>
          <w:rStyle w:val="NormalWebChar"/>
          <w:rFonts w:ascii="Arial" w:hAnsi="Arial" w:cs="Arial"/>
          <w:b/>
          <w:sz w:val="16"/>
          <w:szCs w:val="16"/>
        </w:rPr>
      </w:pPr>
    </w:p>
    <w:p w14:paraId="1D7A1138" w14:textId="1BC52DCF" w:rsidR="003F4719" w:rsidRPr="00F45A1F" w:rsidRDefault="003F4719" w:rsidP="005144E2">
      <w:pPr>
        <w:widowControl/>
        <w:jc w:val="both"/>
        <w:rPr>
          <w:rFonts w:ascii="Arial" w:hAnsi="Arial" w:cs="Arial"/>
          <w:bCs/>
        </w:rPr>
      </w:pPr>
      <w:r w:rsidRPr="00F45A1F">
        <w:rPr>
          <w:rStyle w:val="NormalWebChar"/>
          <w:rFonts w:ascii="Arial" w:hAnsi="Arial" w:cs="Arial"/>
        </w:rPr>
        <w:t xml:space="preserve">A </w:t>
      </w:r>
      <w:r w:rsidRPr="00F45A1F">
        <w:rPr>
          <w:rFonts w:ascii="Arial" w:hAnsi="Arial" w:cs="Arial"/>
          <w:bCs/>
        </w:rPr>
        <w:t xml:space="preserve">Interpretação Técnica </w:t>
      </w:r>
      <w:r w:rsidRPr="00F45A1F">
        <w:rPr>
          <w:rStyle w:val="NormalWebChar"/>
          <w:rFonts w:ascii="Arial" w:hAnsi="Arial" w:cs="Arial"/>
        </w:rPr>
        <w:t>ICPC 12 -</w:t>
      </w:r>
      <w:r w:rsidRPr="00F45A1F">
        <w:rPr>
          <w:rFonts w:ascii="Arial" w:hAnsi="Arial" w:cs="Arial"/>
          <w:bCs/>
        </w:rPr>
        <w:t xml:space="preserve"> Mudanças em </w:t>
      </w:r>
      <w:r w:rsidR="00C320CF" w:rsidRPr="00F45A1F">
        <w:rPr>
          <w:rFonts w:ascii="Arial" w:hAnsi="Arial" w:cs="Arial"/>
          <w:bCs/>
        </w:rPr>
        <w:t>P</w:t>
      </w:r>
      <w:r w:rsidRPr="00F45A1F">
        <w:rPr>
          <w:rFonts w:ascii="Arial" w:hAnsi="Arial" w:cs="Arial"/>
          <w:bCs/>
        </w:rPr>
        <w:t>assivos</w:t>
      </w:r>
      <w:r w:rsidR="00C320CF" w:rsidRPr="00F45A1F">
        <w:rPr>
          <w:rFonts w:ascii="Arial" w:hAnsi="Arial" w:cs="Arial"/>
          <w:bCs/>
        </w:rPr>
        <w:t xml:space="preserve"> por Desativação, Restauração e Outros Passivos Similares</w:t>
      </w:r>
      <w:r w:rsidR="00DD2342">
        <w:rPr>
          <w:rFonts w:ascii="Arial" w:hAnsi="Arial" w:cs="Arial"/>
          <w:bCs/>
        </w:rPr>
        <w:t xml:space="preserve"> </w:t>
      </w:r>
      <w:r w:rsidRPr="00F45A1F">
        <w:rPr>
          <w:rFonts w:ascii="Arial" w:hAnsi="Arial" w:cs="Arial"/>
          <w:bCs/>
        </w:rPr>
        <w:t>determina que a alteração de taxa de desconto aplicada em passivo de desativação deve refletir como atualização do ajuste a valor presente desse passivo, devendo tal alteração ser adicionada ao</w:t>
      </w:r>
      <w:r w:rsidR="00C320CF" w:rsidRPr="00F45A1F">
        <w:rPr>
          <w:rFonts w:ascii="Arial" w:hAnsi="Arial" w:cs="Arial"/>
          <w:bCs/>
        </w:rPr>
        <w:t xml:space="preserve"> (reduzida do)</w:t>
      </w:r>
      <w:r w:rsidRPr="00F45A1F">
        <w:rPr>
          <w:rFonts w:ascii="Arial" w:hAnsi="Arial" w:cs="Arial"/>
          <w:bCs/>
        </w:rPr>
        <w:t xml:space="preserve"> ativo correspondente.</w:t>
      </w:r>
    </w:p>
    <w:p w14:paraId="6EF360B1" w14:textId="77777777" w:rsidR="003F4719" w:rsidRPr="00F45A1F" w:rsidRDefault="003F4719" w:rsidP="005144E2">
      <w:pPr>
        <w:widowControl/>
        <w:jc w:val="both"/>
        <w:rPr>
          <w:rFonts w:ascii="Arial" w:hAnsi="Arial" w:cs="Arial"/>
          <w:bCs/>
        </w:rPr>
      </w:pPr>
    </w:p>
    <w:p w14:paraId="09D14DDB" w14:textId="61AFEE01" w:rsidR="003F4719" w:rsidRPr="00F45A1F" w:rsidRDefault="00C226C8" w:rsidP="005144E2">
      <w:pPr>
        <w:widowControl/>
        <w:jc w:val="both"/>
        <w:rPr>
          <w:rFonts w:ascii="Arial" w:hAnsi="Arial" w:cs="Arial"/>
          <w:bCs/>
        </w:rPr>
      </w:pPr>
      <w:r w:rsidRPr="00F45A1F">
        <w:rPr>
          <w:rFonts w:ascii="Arial" w:hAnsi="Arial" w:cs="Arial"/>
          <w:bCs/>
        </w:rPr>
        <w:t xml:space="preserve">A taxa de desconto </w:t>
      </w:r>
      <w:r>
        <w:rPr>
          <w:rFonts w:ascii="Arial" w:hAnsi="Arial" w:cs="Arial"/>
          <w:bCs/>
        </w:rPr>
        <w:t xml:space="preserve">revisada em 31 de dezembro de 2019 </w:t>
      </w:r>
      <w:r w:rsidRPr="00F45A1F">
        <w:rPr>
          <w:rFonts w:ascii="Arial" w:hAnsi="Arial" w:cs="Arial"/>
          <w:bCs/>
        </w:rPr>
        <w:t xml:space="preserve">para ajuste a valor presente </w:t>
      </w:r>
      <w:r>
        <w:rPr>
          <w:rFonts w:ascii="Arial" w:hAnsi="Arial" w:cs="Arial"/>
          <w:bCs/>
        </w:rPr>
        <w:t xml:space="preserve">da provisão de desmobilização das Usinas Angra </w:t>
      </w:r>
      <w:proofErr w:type="gramStart"/>
      <w:r>
        <w:rPr>
          <w:rFonts w:ascii="Arial" w:hAnsi="Arial" w:cs="Arial"/>
          <w:bCs/>
        </w:rPr>
        <w:t>1</w:t>
      </w:r>
      <w:proofErr w:type="gramEnd"/>
      <w:r>
        <w:rPr>
          <w:rFonts w:ascii="Arial" w:hAnsi="Arial" w:cs="Arial"/>
          <w:bCs/>
        </w:rPr>
        <w:t xml:space="preserve"> e 2 </w:t>
      </w:r>
      <w:r w:rsidRPr="00F45A1F">
        <w:rPr>
          <w:rFonts w:ascii="Arial" w:hAnsi="Arial" w:cs="Arial"/>
        </w:rPr>
        <w:t>é de 4,36% </w:t>
      </w:r>
      <w:r w:rsidRPr="00F45A1F">
        <w:rPr>
          <w:rFonts w:ascii="Arial" w:hAnsi="Arial" w:cs="Arial"/>
          <w:bCs/>
        </w:rPr>
        <w:t xml:space="preserve">ao ano </w:t>
      </w:r>
      <w:r w:rsidR="00CD67D4" w:rsidRPr="00F45A1F">
        <w:rPr>
          <w:rFonts w:ascii="Arial" w:hAnsi="Arial" w:cs="Arial"/>
          <w:bCs/>
        </w:rPr>
        <w:t>(2018 – 5,86%)</w:t>
      </w:r>
      <w:r w:rsidR="003F4719" w:rsidRPr="00F45A1F">
        <w:rPr>
          <w:rFonts w:ascii="Arial" w:hAnsi="Arial" w:cs="Arial"/>
          <w:bCs/>
        </w:rPr>
        <w:t xml:space="preserve">, </w:t>
      </w:r>
      <w:r w:rsidR="003F4719" w:rsidRPr="00F45A1F">
        <w:rPr>
          <w:rFonts w:ascii="Arial" w:hAnsi="Arial" w:cs="Arial"/>
        </w:rPr>
        <w:t>estabelecida para aplicação por todas as Empresas do Sistema Eletrobras</w:t>
      </w:r>
      <w:r w:rsidR="00CD67D4" w:rsidRPr="00F45A1F">
        <w:rPr>
          <w:rFonts w:ascii="Arial" w:hAnsi="Arial" w:cs="Arial"/>
        </w:rPr>
        <w:t xml:space="preserve">. A redução da taxa gerou um aumento da obrigação de desmobilização de ativo com contrapartida no imobilizado no montante de R$ </w:t>
      </w:r>
      <w:r w:rsidR="00D1028D" w:rsidRPr="00F45A1F">
        <w:rPr>
          <w:rFonts w:ascii="Arial" w:hAnsi="Arial" w:cs="Arial"/>
        </w:rPr>
        <w:t>355.712</w:t>
      </w:r>
      <w:r>
        <w:rPr>
          <w:rFonts w:ascii="Arial" w:hAnsi="Arial" w:cs="Arial"/>
        </w:rPr>
        <w:t xml:space="preserve"> em 2019</w:t>
      </w:r>
      <w:r w:rsidR="003F4719" w:rsidRPr="00F45A1F">
        <w:rPr>
          <w:rFonts w:ascii="Arial" w:hAnsi="Arial" w:cs="Arial"/>
          <w:bCs/>
        </w:rPr>
        <w:t>.</w:t>
      </w:r>
      <w:r w:rsidR="000D7D34" w:rsidRPr="00F45A1F">
        <w:rPr>
          <w:rFonts w:ascii="Arial" w:hAnsi="Arial" w:cs="Arial"/>
          <w:b/>
          <w:color w:val="FF0000"/>
        </w:rPr>
        <w:t xml:space="preserve"> </w:t>
      </w:r>
    </w:p>
    <w:p w14:paraId="3DA47F3C" w14:textId="77777777" w:rsidR="006A0CEA" w:rsidRPr="00F45A1F" w:rsidRDefault="006A0CEA" w:rsidP="005144E2">
      <w:pPr>
        <w:widowControl/>
        <w:jc w:val="both"/>
        <w:rPr>
          <w:rFonts w:ascii="Arial" w:hAnsi="Arial" w:cs="Arial"/>
          <w:bCs/>
        </w:rPr>
      </w:pPr>
    </w:p>
    <w:p w14:paraId="6AB1EEDF" w14:textId="77777777" w:rsidR="00BB74A6" w:rsidRPr="00F45A1F" w:rsidRDefault="00BB74A6" w:rsidP="005144E2">
      <w:pPr>
        <w:widowControl/>
        <w:jc w:val="both"/>
        <w:rPr>
          <w:rFonts w:ascii="Arial" w:hAnsi="Arial" w:cs="Arial"/>
          <w:bCs/>
          <w:sz w:val="16"/>
          <w:szCs w:val="16"/>
        </w:rPr>
      </w:pPr>
    </w:p>
    <w:p w14:paraId="4725C531" w14:textId="77777777" w:rsidR="003F4719" w:rsidRPr="00F45A1F" w:rsidRDefault="003F4719" w:rsidP="005144E2">
      <w:pPr>
        <w:widowControl/>
        <w:numPr>
          <w:ilvl w:val="0"/>
          <w:numId w:val="7"/>
        </w:numPr>
        <w:tabs>
          <w:tab w:val="clear" w:pos="720"/>
        </w:tabs>
        <w:ind w:left="180" w:hanging="180"/>
        <w:jc w:val="both"/>
        <w:rPr>
          <w:rFonts w:ascii="Arial" w:hAnsi="Arial" w:cs="Arial"/>
          <w:b/>
        </w:rPr>
      </w:pPr>
      <w:r w:rsidRPr="00F45A1F">
        <w:rPr>
          <w:rFonts w:ascii="Arial" w:hAnsi="Arial" w:cs="Arial"/>
          <w:b/>
          <w:bCs/>
        </w:rPr>
        <w:t>Pronunciamento Técnico CPC 27 – Sobressalentes no Imobilizado</w:t>
      </w:r>
    </w:p>
    <w:p w14:paraId="0F0ABD06" w14:textId="77777777" w:rsidR="003F4719" w:rsidRPr="00F45A1F" w:rsidRDefault="003F4719" w:rsidP="005144E2">
      <w:pPr>
        <w:widowControl/>
        <w:jc w:val="both"/>
        <w:rPr>
          <w:rFonts w:ascii="Arial" w:hAnsi="Arial" w:cs="Arial"/>
          <w:b/>
          <w:sz w:val="16"/>
          <w:szCs w:val="16"/>
        </w:rPr>
      </w:pPr>
    </w:p>
    <w:p w14:paraId="2A0248F3" w14:textId="77777777" w:rsidR="003F4719" w:rsidRPr="00F45A1F" w:rsidRDefault="003F4719" w:rsidP="005144E2">
      <w:pPr>
        <w:widowControl/>
        <w:jc w:val="both"/>
        <w:rPr>
          <w:rFonts w:ascii="Arial" w:hAnsi="Arial" w:cs="Arial"/>
        </w:rPr>
      </w:pPr>
      <w:r w:rsidRPr="00F45A1F">
        <w:rPr>
          <w:rFonts w:ascii="Arial" w:hAnsi="Arial" w:cs="Arial"/>
        </w:rPr>
        <w:t xml:space="preserve">A Companhia mantém em seu </w:t>
      </w:r>
      <w:r w:rsidR="00C320CF" w:rsidRPr="00F45A1F">
        <w:rPr>
          <w:rFonts w:ascii="Arial" w:hAnsi="Arial" w:cs="Arial"/>
        </w:rPr>
        <w:t>estoque</w:t>
      </w:r>
      <w:r w:rsidRPr="00F45A1F">
        <w:rPr>
          <w:rFonts w:ascii="Arial" w:hAnsi="Arial" w:cs="Arial"/>
        </w:rPr>
        <w:t xml:space="preserve"> uma gama de material de valor compatível às necessidades específicas de cada uma de suas usinas, devido às características próprias e individuais dos projetos. Trata-se de componentes e respectivos sobressalentes de fabricação restrita, de disponibilidade reduzida e, na sua quase totalidade, adquirida do exterior, necessários de modo a garantir a performance e fluxo contínuo de operação.</w:t>
      </w:r>
    </w:p>
    <w:p w14:paraId="34B56DD7" w14:textId="77777777" w:rsidR="002D5D8F" w:rsidRPr="00F45A1F" w:rsidRDefault="002D5D8F" w:rsidP="005144E2">
      <w:pPr>
        <w:widowControl/>
        <w:jc w:val="both"/>
        <w:rPr>
          <w:rFonts w:ascii="Arial" w:hAnsi="Arial" w:cs="Arial"/>
        </w:rPr>
      </w:pPr>
    </w:p>
    <w:p w14:paraId="2F43A999" w14:textId="77777777" w:rsidR="003F4719" w:rsidRPr="00F45A1F" w:rsidRDefault="003F4719" w:rsidP="005144E2">
      <w:pPr>
        <w:pStyle w:val="PargrafodaLista"/>
        <w:widowControl/>
        <w:numPr>
          <w:ilvl w:val="0"/>
          <w:numId w:val="7"/>
        </w:numPr>
        <w:tabs>
          <w:tab w:val="clear" w:pos="720"/>
          <w:tab w:val="num" w:pos="284"/>
        </w:tabs>
        <w:ind w:hanging="720"/>
        <w:jc w:val="both"/>
        <w:rPr>
          <w:rFonts w:ascii="Arial" w:hAnsi="Arial" w:cs="Arial"/>
          <w:b/>
          <w:bCs/>
        </w:rPr>
      </w:pPr>
      <w:r w:rsidRPr="00F45A1F">
        <w:rPr>
          <w:rFonts w:ascii="Arial" w:hAnsi="Arial" w:cs="Arial"/>
          <w:b/>
          <w:bCs/>
        </w:rPr>
        <w:t>Empreendimento Angra 3</w:t>
      </w:r>
    </w:p>
    <w:p w14:paraId="51CE19EA" w14:textId="77777777" w:rsidR="003F4719" w:rsidRPr="00F45A1F" w:rsidRDefault="003F4719" w:rsidP="005144E2">
      <w:pPr>
        <w:widowControl/>
        <w:tabs>
          <w:tab w:val="num" w:pos="284"/>
        </w:tabs>
        <w:jc w:val="both"/>
        <w:rPr>
          <w:rFonts w:ascii="Arial" w:hAnsi="Arial" w:cs="Arial"/>
          <w:b/>
          <w:bCs/>
          <w:sz w:val="16"/>
          <w:szCs w:val="16"/>
        </w:rPr>
      </w:pPr>
    </w:p>
    <w:p w14:paraId="6AC4FCD9" w14:textId="77777777" w:rsidR="00F1122F" w:rsidRPr="00F45A1F" w:rsidRDefault="00F1122F" w:rsidP="005144E2">
      <w:pPr>
        <w:jc w:val="both"/>
        <w:rPr>
          <w:rFonts w:ascii="Arial" w:hAnsi="Arial" w:cs="Arial"/>
        </w:rPr>
      </w:pPr>
      <w:r w:rsidRPr="00F45A1F">
        <w:rPr>
          <w:rFonts w:ascii="Arial" w:hAnsi="Arial" w:cs="Arial"/>
        </w:rPr>
        <w:t>O planejamento original para a construção da Usina Nuclear Angra 3 previa que a planta seria implementada com base em um Cronograma Executivo de 66 meses. Tal premissa fundamental era alicerçada na experiência da ELETRONUCLEAR com a construção de Angra 2, excluídos os períodos nos quais suas atividades estiveram paralisadas, bem como com os programas de implantação das usinas nucleares mais recentemente construídas na Alemanha. O início desse prazo foi caracterizado pelo início da execução dos serviços de concretagem do edifício do reator, ocorrido em 01 de setembro de 2010.</w:t>
      </w:r>
    </w:p>
    <w:p w14:paraId="2224FEAE" w14:textId="77777777" w:rsidR="00F1122F" w:rsidRPr="00F45A1F" w:rsidRDefault="00F1122F" w:rsidP="005144E2">
      <w:pPr>
        <w:jc w:val="both"/>
        <w:rPr>
          <w:rFonts w:ascii="Arial" w:hAnsi="Arial" w:cs="Arial"/>
        </w:rPr>
      </w:pPr>
    </w:p>
    <w:p w14:paraId="004B17C8" w14:textId="77777777" w:rsidR="00F1122F" w:rsidRPr="00F45A1F" w:rsidRDefault="00F1122F" w:rsidP="005144E2">
      <w:pPr>
        <w:jc w:val="both"/>
        <w:rPr>
          <w:rFonts w:ascii="Arial" w:hAnsi="Arial" w:cs="Arial"/>
        </w:rPr>
      </w:pPr>
      <w:r w:rsidRPr="00F45A1F">
        <w:rPr>
          <w:rFonts w:ascii="Arial" w:hAnsi="Arial" w:cs="Arial"/>
        </w:rPr>
        <w:t>A viabilização desse prazo contemplava diversas premissas, algumas das quais ainda não concretizadas e, adicionalmente, não se anteviam grandes dificuldades de natureza externa que impactassem sobremaneira o desenvolvimento das obras.</w:t>
      </w:r>
    </w:p>
    <w:p w14:paraId="5BDBFA78" w14:textId="77777777" w:rsidR="001D2CEC" w:rsidRPr="00F45A1F" w:rsidRDefault="001D2CEC" w:rsidP="005144E2">
      <w:pPr>
        <w:jc w:val="both"/>
        <w:rPr>
          <w:rFonts w:ascii="Arial" w:hAnsi="Arial" w:cs="Arial"/>
        </w:rPr>
      </w:pPr>
    </w:p>
    <w:p w14:paraId="2124AAE2" w14:textId="77777777" w:rsidR="00F1122F" w:rsidRPr="00F45A1F" w:rsidRDefault="00F1122F" w:rsidP="005144E2">
      <w:pPr>
        <w:jc w:val="both"/>
        <w:rPr>
          <w:rFonts w:ascii="Arial" w:hAnsi="Arial" w:cs="Arial"/>
        </w:rPr>
      </w:pPr>
      <w:r w:rsidRPr="00F45A1F">
        <w:rPr>
          <w:rFonts w:ascii="Arial" w:hAnsi="Arial" w:cs="Arial"/>
        </w:rPr>
        <w:t xml:space="preserve">O empreendimento Angra </w:t>
      </w:r>
      <w:proofErr w:type="gramStart"/>
      <w:r w:rsidRPr="00F45A1F">
        <w:rPr>
          <w:rFonts w:ascii="Arial" w:hAnsi="Arial" w:cs="Arial"/>
        </w:rPr>
        <w:t>3</w:t>
      </w:r>
      <w:proofErr w:type="gramEnd"/>
      <w:r w:rsidRPr="00F45A1F">
        <w:rPr>
          <w:rFonts w:ascii="Arial" w:hAnsi="Arial" w:cs="Arial"/>
        </w:rPr>
        <w:t xml:space="preserve"> sofreu alteração cronológica por eventos operacionais relacionados aos contratos de montagem eletromecânica e obras civis, sendo a nova previsão de data de entrada em operação para </w:t>
      </w:r>
      <w:r w:rsidR="009F311B" w:rsidRPr="00F45A1F">
        <w:rPr>
          <w:rFonts w:ascii="Arial" w:hAnsi="Arial" w:cs="Arial"/>
        </w:rPr>
        <w:t>30</w:t>
      </w:r>
      <w:r w:rsidRPr="00F45A1F">
        <w:rPr>
          <w:rFonts w:ascii="Arial" w:hAnsi="Arial" w:cs="Arial"/>
        </w:rPr>
        <w:t xml:space="preserve"> de </w:t>
      </w:r>
      <w:r w:rsidR="009F311B" w:rsidRPr="00F45A1F">
        <w:rPr>
          <w:rFonts w:ascii="Arial" w:hAnsi="Arial" w:cs="Arial"/>
        </w:rPr>
        <w:t xml:space="preserve">novembro </w:t>
      </w:r>
      <w:r w:rsidRPr="00F45A1F">
        <w:rPr>
          <w:rFonts w:ascii="Arial" w:hAnsi="Arial" w:cs="Arial"/>
        </w:rPr>
        <w:t xml:space="preserve">de 2026 conforme aprovado pela Diretoria Executiva, nos termos da </w:t>
      </w:r>
      <w:r w:rsidR="00785E9A" w:rsidRPr="00F45A1F">
        <w:rPr>
          <w:rFonts w:ascii="Arial" w:hAnsi="Arial" w:cs="Arial"/>
        </w:rPr>
        <w:t xml:space="preserve">Resolução de Diretoria Executiva - </w:t>
      </w:r>
      <w:r w:rsidR="006D23BE" w:rsidRPr="00F45A1F">
        <w:rPr>
          <w:rFonts w:ascii="Arial" w:hAnsi="Arial" w:cs="Arial"/>
        </w:rPr>
        <w:t>RDE 1501.010/20</w:t>
      </w:r>
      <w:r w:rsidRPr="00F45A1F">
        <w:rPr>
          <w:rFonts w:ascii="Arial" w:hAnsi="Arial" w:cs="Arial"/>
        </w:rPr>
        <w:t xml:space="preserve"> de </w:t>
      </w:r>
      <w:r w:rsidR="006D23BE" w:rsidRPr="00F45A1F">
        <w:rPr>
          <w:rFonts w:ascii="Arial" w:hAnsi="Arial" w:cs="Arial"/>
        </w:rPr>
        <w:t>11</w:t>
      </w:r>
      <w:r w:rsidR="00C133BB" w:rsidRPr="00F45A1F">
        <w:rPr>
          <w:rFonts w:ascii="Arial" w:hAnsi="Arial" w:cs="Arial"/>
        </w:rPr>
        <w:t xml:space="preserve"> de fevereiro de </w:t>
      </w:r>
      <w:r w:rsidRPr="00F45A1F">
        <w:rPr>
          <w:rFonts w:ascii="Arial" w:hAnsi="Arial" w:cs="Arial"/>
        </w:rPr>
        <w:t>20</w:t>
      </w:r>
      <w:r w:rsidR="006D23BE" w:rsidRPr="00F45A1F">
        <w:rPr>
          <w:rFonts w:ascii="Arial" w:hAnsi="Arial" w:cs="Arial"/>
        </w:rPr>
        <w:t>20</w:t>
      </w:r>
      <w:r w:rsidR="002F7366" w:rsidRPr="00F45A1F">
        <w:rPr>
          <w:rFonts w:ascii="Arial" w:hAnsi="Arial" w:cs="Arial"/>
        </w:rPr>
        <w:t>. Essa alteração</w:t>
      </w:r>
      <w:r w:rsidR="007D54A9" w:rsidRPr="00F45A1F">
        <w:rPr>
          <w:rFonts w:ascii="Arial" w:hAnsi="Arial" w:cs="Arial"/>
        </w:rPr>
        <w:t xml:space="preserve"> cronológica</w:t>
      </w:r>
      <w:r w:rsidR="002F7366" w:rsidRPr="00F45A1F">
        <w:rPr>
          <w:rFonts w:ascii="Arial" w:hAnsi="Arial" w:cs="Arial"/>
        </w:rPr>
        <w:t xml:space="preserve"> está apresentada no</w:t>
      </w:r>
      <w:r w:rsidRPr="00F45A1F">
        <w:rPr>
          <w:rFonts w:ascii="Arial" w:hAnsi="Arial" w:cs="Arial"/>
        </w:rPr>
        <w:t xml:space="preserve"> Relatór</w:t>
      </w:r>
      <w:r w:rsidR="00EE399A" w:rsidRPr="00F45A1F">
        <w:rPr>
          <w:rFonts w:ascii="Arial" w:hAnsi="Arial" w:cs="Arial"/>
        </w:rPr>
        <w:t>io</w:t>
      </w:r>
      <w:r w:rsidR="00785E9A" w:rsidRPr="00F45A1F">
        <w:rPr>
          <w:rFonts w:ascii="Arial" w:hAnsi="Arial" w:cs="Arial"/>
        </w:rPr>
        <w:t xml:space="preserve"> do Departamento de Planejamento e Controle de Empreendimento - </w:t>
      </w:r>
      <w:r w:rsidR="006D23BE" w:rsidRPr="00F45A1F">
        <w:rPr>
          <w:rFonts w:ascii="Arial" w:hAnsi="Arial" w:cs="Arial"/>
        </w:rPr>
        <w:t>DPE.T 001/2020 de 11</w:t>
      </w:r>
      <w:r w:rsidR="00C133BB" w:rsidRPr="00F45A1F">
        <w:rPr>
          <w:rFonts w:ascii="Arial" w:hAnsi="Arial" w:cs="Arial"/>
        </w:rPr>
        <w:t xml:space="preserve"> de fevereiro de </w:t>
      </w:r>
      <w:r w:rsidR="006D23BE" w:rsidRPr="00F45A1F">
        <w:rPr>
          <w:rFonts w:ascii="Arial" w:hAnsi="Arial" w:cs="Arial"/>
        </w:rPr>
        <w:t>2020</w:t>
      </w:r>
      <w:r w:rsidRPr="00F45A1F">
        <w:rPr>
          <w:rFonts w:ascii="Arial" w:hAnsi="Arial" w:cs="Arial"/>
        </w:rPr>
        <w:t>.</w:t>
      </w:r>
    </w:p>
    <w:p w14:paraId="16BC6770" w14:textId="77777777" w:rsidR="00F96853" w:rsidRPr="00F45A1F" w:rsidRDefault="00F96853" w:rsidP="005144E2">
      <w:pPr>
        <w:jc w:val="both"/>
        <w:rPr>
          <w:rFonts w:ascii="Arial" w:hAnsi="Arial" w:cs="Arial"/>
        </w:rPr>
      </w:pPr>
    </w:p>
    <w:p w14:paraId="54D8E42A" w14:textId="330B3F1F" w:rsidR="00F96853" w:rsidRPr="00F45A1F" w:rsidRDefault="00F43E1C" w:rsidP="005144E2">
      <w:pPr>
        <w:jc w:val="both"/>
        <w:rPr>
          <w:rFonts w:ascii="Arial" w:hAnsi="Arial" w:cs="Arial"/>
        </w:rPr>
      </w:pPr>
      <w:r w:rsidRPr="00F45A1F">
        <w:rPr>
          <w:rFonts w:ascii="Arial" w:hAnsi="Arial" w:cs="Arial"/>
        </w:rPr>
        <w:t xml:space="preserve">Embora os relatórios técnicos da </w:t>
      </w:r>
      <w:r w:rsidR="00CF719D" w:rsidRPr="00F45A1F">
        <w:rPr>
          <w:rFonts w:ascii="Arial" w:hAnsi="Arial" w:cs="Arial"/>
        </w:rPr>
        <w:t>Companhia</w:t>
      </w:r>
      <w:r w:rsidRPr="00F45A1F">
        <w:rPr>
          <w:rFonts w:ascii="Arial" w:hAnsi="Arial" w:cs="Arial"/>
        </w:rPr>
        <w:t xml:space="preserve"> apontem para baixas evoluções físicas no empreendimento, o Projeto Angra 3 em momento algum interrompeu por completo </w:t>
      </w:r>
      <w:r w:rsidR="00ED512D" w:rsidRPr="00F45A1F">
        <w:rPr>
          <w:rFonts w:ascii="Arial" w:hAnsi="Arial" w:cs="Arial"/>
        </w:rPr>
        <w:t>suas atividades, especialmente a</w:t>
      </w:r>
      <w:r w:rsidRPr="00F45A1F">
        <w:rPr>
          <w:rFonts w:ascii="Arial" w:hAnsi="Arial" w:cs="Arial"/>
        </w:rPr>
        <w:t xml:space="preserve">quelas desenvolvidas pelo seu principal fornecedor de materiais e serviços no exterior e efetuados pelo fabricante do Projeto (AREVA/FRAMATOME). Todavia, a partir do </w:t>
      </w:r>
      <w:r w:rsidR="003D54EA" w:rsidRPr="00F45A1F">
        <w:rPr>
          <w:rFonts w:ascii="Arial" w:hAnsi="Arial" w:cs="Arial"/>
        </w:rPr>
        <w:t>segundo</w:t>
      </w:r>
      <w:r w:rsidRPr="00F45A1F">
        <w:rPr>
          <w:rFonts w:ascii="Arial" w:hAnsi="Arial" w:cs="Arial"/>
        </w:rPr>
        <w:t xml:space="preserve"> trimestre de 2019, e, com efeitos retroativos ao </w:t>
      </w:r>
      <w:r w:rsidR="003D54EA" w:rsidRPr="00F45A1F">
        <w:rPr>
          <w:rFonts w:ascii="Arial" w:hAnsi="Arial" w:cs="Arial"/>
        </w:rPr>
        <w:t>primeiro</w:t>
      </w:r>
      <w:r w:rsidRPr="00F45A1F">
        <w:rPr>
          <w:rFonts w:ascii="Arial" w:hAnsi="Arial" w:cs="Arial"/>
        </w:rPr>
        <w:t xml:space="preserve"> trimestre de 2019, </w:t>
      </w:r>
      <w:r w:rsidR="00CF719D" w:rsidRPr="00F45A1F">
        <w:rPr>
          <w:rFonts w:ascii="Arial" w:hAnsi="Arial" w:cs="Arial"/>
        </w:rPr>
        <w:t xml:space="preserve">a </w:t>
      </w:r>
      <w:r w:rsidR="00F10D31" w:rsidRPr="00F45A1F">
        <w:rPr>
          <w:rFonts w:ascii="Arial" w:hAnsi="Arial" w:cs="Arial"/>
        </w:rPr>
        <w:t>C</w:t>
      </w:r>
      <w:r w:rsidR="00CF719D" w:rsidRPr="00F45A1F">
        <w:rPr>
          <w:rFonts w:ascii="Arial" w:hAnsi="Arial" w:cs="Arial"/>
        </w:rPr>
        <w:t xml:space="preserve">ompanhia revisitou seu procedimento </w:t>
      </w:r>
      <w:r w:rsidRPr="00F45A1F">
        <w:rPr>
          <w:rFonts w:ascii="Arial" w:hAnsi="Arial" w:cs="Arial"/>
        </w:rPr>
        <w:t xml:space="preserve">sobre a manutenção do Projeto Angra 3 como um ativo qualificável para a capitalização dos custos com empréstimos e financiamentos, tendo em vista os reduzidos avanços físicos no empreendimento. </w:t>
      </w:r>
    </w:p>
    <w:p w14:paraId="1FB60D1B" w14:textId="77777777" w:rsidR="00F1122F" w:rsidRPr="00F45A1F" w:rsidRDefault="00F1122F" w:rsidP="005144E2">
      <w:pPr>
        <w:jc w:val="both"/>
        <w:rPr>
          <w:rFonts w:ascii="Arial" w:hAnsi="Arial" w:cs="Arial"/>
        </w:rPr>
      </w:pPr>
    </w:p>
    <w:p w14:paraId="2621833A" w14:textId="77777777" w:rsidR="00F1122F" w:rsidRPr="00F45A1F" w:rsidRDefault="00F1122F" w:rsidP="005144E2">
      <w:pPr>
        <w:jc w:val="both"/>
        <w:rPr>
          <w:rFonts w:ascii="Arial" w:hAnsi="Arial" w:cs="Arial"/>
        </w:rPr>
      </w:pPr>
      <w:r w:rsidRPr="00F45A1F">
        <w:rPr>
          <w:rFonts w:ascii="Arial" w:hAnsi="Arial" w:cs="Arial"/>
        </w:rPr>
        <w:t>Como todo empreendimento, em que são necessárias a aplicação intensiva de capital por um longo período, a construção de uma nova unidade de geração de energia de fonte nuclear não é diferente. Um dos grandes desafios a serem ainda superados têm sido a estruturação dos recursos financeiros necessários à sua implementação.</w:t>
      </w:r>
    </w:p>
    <w:p w14:paraId="6EB4074F" w14:textId="77777777" w:rsidR="00F1122F" w:rsidRPr="00F45A1F" w:rsidRDefault="00F1122F" w:rsidP="005144E2">
      <w:pPr>
        <w:jc w:val="both"/>
        <w:rPr>
          <w:rFonts w:ascii="Arial" w:hAnsi="Arial" w:cs="Arial"/>
        </w:rPr>
      </w:pPr>
    </w:p>
    <w:p w14:paraId="0B89473B" w14:textId="77777777" w:rsidR="00F1122F" w:rsidRPr="00F45A1F" w:rsidRDefault="00F1122F" w:rsidP="005144E2">
      <w:pPr>
        <w:jc w:val="both"/>
        <w:rPr>
          <w:rFonts w:ascii="Arial" w:hAnsi="Arial" w:cs="Arial"/>
        </w:rPr>
      </w:pPr>
      <w:r w:rsidRPr="00F45A1F">
        <w:rPr>
          <w:rFonts w:ascii="Arial" w:hAnsi="Arial" w:cs="Arial"/>
        </w:rPr>
        <w:t xml:space="preserve">A situação atual do empreendimento aponta altos valores a serem ainda investidos que não têm origem ou financiamento definido ou assegurado (parcelas não financiadas + capital próprio). Desse total, </w:t>
      </w:r>
      <w:r w:rsidR="006D23BE" w:rsidRPr="00F45A1F">
        <w:rPr>
          <w:rFonts w:ascii="Arial" w:hAnsi="Arial" w:cs="Arial"/>
        </w:rPr>
        <w:t xml:space="preserve">parcela considerável pode </w:t>
      </w:r>
      <w:r w:rsidRPr="00F45A1F">
        <w:rPr>
          <w:rFonts w:ascii="Arial" w:hAnsi="Arial" w:cs="Arial"/>
        </w:rPr>
        <w:t>ser alocad</w:t>
      </w:r>
      <w:r w:rsidR="006D23BE" w:rsidRPr="00F45A1F">
        <w:rPr>
          <w:rFonts w:ascii="Arial" w:hAnsi="Arial" w:cs="Arial"/>
        </w:rPr>
        <w:t>a</w:t>
      </w:r>
      <w:r w:rsidR="00457C7A" w:rsidRPr="00F45A1F">
        <w:rPr>
          <w:rFonts w:ascii="Arial" w:hAnsi="Arial" w:cs="Arial"/>
        </w:rPr>
        <w:t xml:space="preserve"> </w:t>
      </w:r>
      <w:r w:rsidR="00A32EB3" w:rsidRPr="00F45A1F">
        <w:rPr>
          <w:rFonts w:ascii="Arial" w:hAnsi="Arial" w:cs="Arial"/>
        </w:rPr>
        <w:t>por</w:t>
      </w:r>
      <w:r w:rsidRPr="00F45A1F">
        <w:rPr>
          <w:rFonts w:ascii="Arial" w:hAnsi="Arial" w:cs="Arial"/>
        </w:rPr>
        <w:t xml:space="preserve"> um parceiro privado em um modelo ora em estudo, correspondendo esse percentual ao escopo remanescente transferível para o parceiro.</w:t>
      </w:r>
    </w:p>
    <w:p w14:paraId="2C7E5AB5" w14:textId="77777777" w:rsidR="00F1122F" w:rsidRPr="00F45A1F" w:rsidRDefault="00F1122F" w:rsidP="005144E2">
      <w:pPr>
        <w:jc w:val="both"/>
        <w:rPr>
          <w:rFonts w:ascii="Arial" w:hAnsi="Arial" w:cs="Arial"/>
        </w:rPr>
      </w:pPr>
    </w:p>
    <w:p w14:paraId="066A950B" w14:textId="77777777" w:rsidR="00F1122F" w:rsidRPr="00F45A1F" w:rsidRDefault="00F1122F" w:rsidP="005144E2">
      <w:pPr>
        <w:jc w:val="both"/>
        <w:rPr>
          <w:rFonts w:ascii="Arial" w:hAnsi="Arial" w:cs="Arial"/>
        </w:rPr>
      </w:pPr>
      <w:r w:rsidRPr="00F45A1F">
        <w:rPr>
          <w:rFonts w:ascii="Arial" w:hAnsi="Arial" w:cs="Arial"/>
        </w:rPr>
        <w:t xml:space="preserve">Os aportes de capital por parte do parceiro, conforme descrito na </w:t>
      </w:r>
      <w:r w:rsidR="008E6B5F" w:rsidRPr="00F45A1F">
        <w:rPr>
          <w:rFonts w:ascii="Arial" w:hAnsi="Arial" w:cs="Arial"/>
        </w:rPr>
        <w:t>n</w:t>
      </w:r>
      <w:r w:rsidRPr="00F45A1F">
        <w:rPr>
          <w:rFonts w:ascii="Arial" w:hAnsi="Arial" w:cs="Arial"/>
        </w:rPr>
        <w:t>ota 4.1d, devem ocorrer na forma de bens e serviços (construção civil, montagem eletromecânica e fornecimentos não contratados), a serem integralizados à medida que seja</w:t>
      </w:r>
      <w:r w:rsidR="00817627" w:rsidRPr="00F45A1F">
        <w:rPr>
          <w:rFonts w:ascii="Arial" w:hAnsi="Arial" w:cs="Arial"/>
        </w:rPr>
        <w:t>m</w:t>
      </w:r>
      <w:r w:rsidRPr="00F45A1F">
        <w:rPr>
          <w:rFonts w:ascii="Arial" w:hAnsi="Arial" w:cs="Arial"/>
        </w:rPr>
        <w:t xml:space="preserve"> incorporado</w:t>
      </w:r>
      <w:r w:rsidR="00817627" w:rsidRPr="00F45A1F">
        <w:rPr>
          <w:rFonts w:ascii="Arial" w:hAnsi="Arial" w:cs="Arial"/>
        </w:rPr>
        <w:t>s</w:t>
      </w:r>
      <w:r w:rsidRPr="00F45A1F">
        <w:rPr>
          <w:rFonts w:ascii="Arial" w:hAnsi="Arial" w:cs="Arial"/>
        </w:rPr>
        <w:t xml:space="preserve"> à obra.</w:t>
      </w:r>
    </w:p>
    <w:p w14:paraId="41E47ED1" w14:textId="77777777" w:rsidR="00BB74A6" w:rsidRPr="00F45A1F" w:rsidRDefault="00BB74A6" w:rsidP="005144E2">
      <w:pPr>
        <w:widowControl/>
        <w:jc w:val="both"/>
        <w:rPr>
          <w:rFonts w:ascii="Arial" w:hAnsi="Arial" w:cs="Arial"/>
          <w:b/>
        </w:rPr>
      </w:pPr>
    </w:p>
    <w:p w14:paraId="75E1FE20" w14:textId="77777777" w:rsidR="00585075" w:rsidRPr="00F45A1F" w:rsidRDefault="00585075" w:rsidP="005144E2">
      <w:pPr>
        <w:widowControl/>
        <w:jc w:val="both"/>
        <w:rPr>
          <w:rFonts w:ascii="Arial" w:hAnsi="Arial" w:cs="Arial"/>
          <w:b/>
        </w:rPr>
      </w:pPr>
    </w:p>
    <w:p w14:paraId="79DF0888" w14:textId="77777777" w:rsidR="00BB74A6" w:rsidRPr="00F45A1F" w:rsidRDefault="00BB74A6" w:rsidP="005144E2">
      <w:pPr>
        <w:widowControl/>
        <w:jc w:val="both"/>
        <w:rPr>
          <w:rFonts w:ascii="Arial" w:hAnsi="Arial" w:cs="Arial"/>
          <w:b/>
        </w:rPr>
      </w:pPr>
    </w:p>
    <w:p w14:paraId="7C5753CC" w14:textId="77777777" w:rsidR="003F4719" w:rsidRPr="00F45A1F" w:rsidRDefault="003F4719" w:rsidP="005144E2">
      <w:pPr>
        <w:widowControl/>
        <w:jc w:val="both"/>
        <w:rPr>
          <w:rFonts w:ascii="Arial" w:hAnsi="Arial" w:cs="Arial"/>
          <w:b/>
          <w:sz w:val="26"/>
          <w:szCs w:val="26"/>
        </w:rPr>
      </w:pPr>
      <w:r w:rsidRPr="00F45A1F">
        <w:rPr>
          <w:rFonts w:ascii="Arial" w:hAnsi="Arial" w:cs="Arial"/>
          <w:b/>
          <w:sz w:val="26"/>
          <w:szCs w:val="26"/>
        </w:rPr>
        <w:t>NOTA 15 – INTANGÍVEL</w:t>
      </w:r>
    </w:p>
    <w:p w14:paraId="3D36A5D5" w14:textId="77777777" w:rsidR="00A86013" w:rsidRPr="00F45A1F" w:rsidRDefault="00A86013" w:rsidP="005144E2">
      <w:pPr>
        <w:widowControl/>
        <w:jc w:val="both"/>
        <w:rPr>
          <w:rFonts w:ascii="Arial" w:hAnsi="Arial" w:cs="Arial"/>
          <w:b/>
        </w:rPr>
      </w:pPr>
    </w:p>
    <w:p w14:paraId="7484A56E" w14:textId="77777777" w:rsidR="00BB74A6" w:rsidRPr="00F45A1F" w:rsidRDefault="00BB74A6" w:rsidP="005144E2">
      <w:pPr>
        <w:widowControl/>
        <w:jc w:val="both"/>
        <w:rPr>
          <w:rFonts w:ascii="Arial" w:hAnsi="Arial" w:cs="Arial"/>
          <w:b/>
        </w:rPr>
      </w:pPr>
    </w:p>
    <w:p w14:paraId="1FCB70FD" w14:textId="77777777" w:rsidR="003F4719" w:rsidRDefault="003F4719" w:rsidP="005144E2">
      <w:pPr>
        <w:widowControl/>
        <w:jc w:val="both"/>
        <w:rPr>
          <w:rFonts w:ascii="Arial" w:hAnsi="Arial" w:cs="Arial"/>
        </w:rPr>
      </w:pPr>
      <w:r w:rsidRPr="00F45A1F">
        <w:rPr>
          <w:rFonts w:ascii="Arial" w:hAnsi="Arial" w:cs="Arial"/>
        </w:rPr>
        <w:t>O ativo intangível da Companhia compõe-se, basicamente: da aquisição de</w:t>
      </w:r>
      <w:r w:rsidRPr="00F45A1F">
        <w:rPr>
          <w:rFonts w:ascii="Arial" w:hAnsi="Arial" w:cs="Arial"/>
          <w:bCs/>
        </w:rPr>
        <w:t xml:space="preserve"> licença de uso do software do seu </w:t>
      </w:r>
      <w:r w:rsidRPr="00F45A1F">
        <w:rPr>
          <w:rFonts w:ascii="Arial" w:hAnsi="Arial" w:cs="Arial"/>
        </w:rPr>
        <w:t>sistema corporativo central, denominado SAP R/3, e de outros software</w:t>
      </w:r>
      <w:r w:rsidR="007410ED" w:rsidRPr="00F45A1F">
        <w:rPr>
          <w:rFonts w:ascii="Arial" w:hAnsi="Arial" w:cs="Arial"/>
        </w:rPr>
        <w:t>s</w:t>
      </w:r>
      <w:r w:rsidRPr="00F45A1F">
        <w:rPr>
          <w:rFonts w:ascii="Arial" w:hAnsi="Arial" w:cs="Arial"/>
        </w:rPr>
        <w:t xml:space="preserve"> aplicativos de uso específico e geral</w:t>
      </w:r>
      <w:r w:rsidR="00E6336A" w:rsidRPr="00F45A1F">
        <w:rPr>
          <w:rFonts w:ascii="Arial" w:hAnsi="Arial" w:cs="Arial"/>
        </w:rPr>
        <w:t>,</w:t>
      </w:r>
      <w:r w:rsidRPr="00F45A1F">
        <w:rPr>
          <w:rFonts w:ascii="Arial" w:hAnsi="Arial" w:cs="Arial"/>
        </w:rPr>
        <w:t xml:space="preserve"> de valores substanciais, estando os mesmos registrados pelo custo de aquisição.</w:t>
      </w:r>
    </w:p>
    <w:p w14:paraId="4C6E73BA" w14:textId="77777777" w:rsidR="00105752" w:rsidRDefault="00105752" w:rsidP="005144E2">
      <w:pPr>
        <w:widowControl/>
        <w:jc w:val="both"/>
        <w:rPr>
          <w:rFonts w:ascii="Arial" w:hAnsi="Arial" w:cs="Arial"/>
        </w:rPr>
      </w:pPr>
    </w:p>
    <w:p w14:paraId="617B311B" w14:textId="08A7AD14" w:rsidR="00105752" w:rsidRPr="00F45A1F" w:rsidRDefault="00105752" w:rsidP="00105752">
      <w:pPr>
        <w:widowControl/>
        <w:jc w:val="both"/>
        <w:rPr>
          <w:rFonts w:ascii="Arial" w:hAnsi="Arial" w:cs="Arial"/>
        </w:rPr>
      </w:pPr>
      <w:r>
        <w:rPr>
          <w:rFonts w:ascii="Arial" w:hAnsi="Arial" w:cs="Arial"/>
        </w:rPr>
        <w:t xml:space="preserve">Os intangíveis em serviço são amortizados a taxa anual de </w:t>
      </w:r>
      <w:r w:rsidR="00C84505">
        <w:rPr>
          <w:rFonts w:ascii="Arial" w:hAnsi="Arial" w:cs="Arial"/>
        </w:rPr>
        <w:t>20</w:t>
      </w:r>
      <w:r>
        <w:rPr>
          <w:rFonts w:ascii="Arial" w:hAnsi="Arial" w:cs="Arial"/>
        </w:rPr>
        <w:t>%.</w:t>
      </w:r>
    </w:p>
    <w:p w14:paraId="445A910B" w14:textId="77777777" w:rsidR="00105752" w:rsidRPr="00F45A1F" w:rsidRDefault="00105752" w:rsidP="005144E2">
      <w:pPr>
        <w:widowControl/>
        <w:jc w:val="both"/>
        <w:rPr>
          <w:rFonts w:ascii="Arial" w:hAnsi="Arial" w:cs="Arial"/>
        </w:rPr>
      </w:pPr>
    </w:p>
    <w:p w14:paraId="38881D04" w14:textId="77777777" w:rsidR="003F4719" w:rsidRPr="00F45A1F" w:rsidRDefault="003F4719" w:rsidP="005144E2">
      <w:pPr>
        <w:widowControl/>
        <w:ind w:right="-28"/>
        <w:jc w:val="both"/>
        <w:rPr>
          <w:rFonts w:ascii="Arial" w:hAnsi="Arial" w:cs="Arial"/>
        </w:rPr>
      </w:pPr>
      <w:r w:rsidRPr="00F45A1F">
        <w:rPr>
          <w:rFonts w:ascii="Arial" w:hAnsi="Arial" w:cs="Arial"/>
        </w:rPr>
        <w:t>A movimentação do ativo intangível está assim constituída:</w:t>
      </w:r>
    </w:p>
    <w:p w14:paraId="58CDFB8B" w14:textId="77777777" w:rsidR="00795977" w:rsidRPr="00F45A1F" w:rsidRDefault="00795977" w:rsidP="005144E2">
      <w:pPr>
        <w:widowControl/>
        <w:ind w:right="-28"/>
        <w:jc w:val="both"/>
        <w:rPr>
          <w:rFonts w:ascii="Arial" w:hAnsi="Arial" w:cs="Arial"/>
          <w:sz w:val="16"/>
          <w:szCs w:val="16"/>
        </w:rPr>
      </w:pPr>
    </w:p>
    <w:p w14:paraId="7137DC35" w14:textId="77777777" w:rsidR="00652727" w:rsidRPr="00F45A1F" w:rsidRDefault="00795977" w:rsidP="005144E2">
      <w:pPr>
        <w:widowControl/>
        <w:ind w:right="-28"/>
        <w:jc w:val="both"/>
        <w:rPr>
          <w:rFonts w:ascii="Arial" w:hAnsi="Arial" w:cs="Arial"/>
        </w:rPr>
      </w:pPr>
      <w:r w:rsidRPr="00F45A1F">
        <w:rPr>
          <w:noProof/>
        </w:rPr>
        <w:drawing>
          <wp:inline distT="0" distB="0" distL="0" distR="0" wp14:anchorId="6F39DB00" wp14:editId="5E6C4B62">
            <wp:extent cx="6113375" cy="1739900"/>
            <wp:effectExtent l="0" t="0" r="1905" b="0"/>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34774" cy="1745990"/>
                    </a:xfrm>
                    <a:prstGeom prst="rect">
                      <a:avLst/>
                    </a:prstGeom>
                    <a:noFill/>
                    <a:ln>
                      <a:noFill/>
                    </a:ln>
                  </pic:spPr>
                </pic:pic>
              </a:graphicData>
            </a:graphic>
          </wp:inline>
        </w:drawing>
      </w:r>
    </w:p>
    <w:p w14:paraId="0707DFDC" w14:textId="77777777" w:rsidR="00795977" w:rsidRPr="00F45A1F" w:rsidRDefault="00795977" w:rsidP="005144E2">
      <w:pPr>
        <w:widowControl/>
        <w:ind w:right="-28"/>
        <w:jc w:val="both"/>
        <w:rPr>
          <w:rFonts w:ascii="Arial" w:hAnsi="Arial" w:cs="Arial"/>
          <w:sz w:val="16"/>
          <w:szCs w:val="16"/>
        </w:rPr>
      </w:pPr>
    </w:p>
    <w:p w14:paraId="54239F1D" w14:textId="77777777" w:rsidR="00DE2BDE" w:rsidRPr="00F45A1F" w:rsidRDefault="00DE2BDE" w:rsidP="005144E2">
      <w:pPr>
        <w:widowControl/>
        <w:ind w:right="-28"/>
        <w:jc w:val="both"/>
        <w:rPr>
          <w:rFonts w:ascii="Arial" w:hAnsi="Arial" w:cs="Arial"/>
        </w:rPr>
      </w:pPr>
      <w:r w:rsidRPr="00F45A1F">
        <w:rPr>
          <w:rFonts w:ascii="Arial" w:hAnsi="Arial" w:cs="Arial"/>
          <w:noProof/>
        </w:rPr>
        <w:drawing>
          <wp:inline distT="0" distB="0" distL="0" distR="0" wp14:anchorId="4B1224D9" wp14:editId="121C6A82">
            <wp:extent cx="6073140" cy="1616425"/>
            <wp:effectExtent l="0" t="0" r="3810" b="317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3140" cy="1616425"/>
                    </a:xfrm>
                    <a:prstGeom prst="rect">
                      <a:avLst/>
                    </a:prstGeom>
                    <a:noFill/>
                    <a:ln>
                      <a:noFill/>
                    </a:ln>
                  </pic:spPr>
                </pic:pic>
              </a:graphicData>
            </a:graphic>
          </wp:inline>
        </w:drawing>
      </w:r>
    </w:p>
    <w:p w14:paraId="759BEB1B" w14:textId="77777777" w:rsidR="00DE2BDE" w:rsidRPr="00F45A1F" w:rsidRDefault="00DE2BDE" w:rsidP="005144E2">
      <w:pPr>
        <w:widowControl/>
        <w:ind w:right="-28"/>
        <w:jc w:val="both"/>
        <w:rPr>
          <w:rFonts w:ascii="Arial" w:hAnsi="Arial" w:cs="Arial"/>
        </w:rPr>
      </w:pPr>
    </w:p>
    <w:p w14:paraId="79976743" w14:textId="77777777" w:rsidR="00AC287D" w:rsidRDefault="00AC287D" w:rsidP="005144E2">
      <w:pPr>
        <w:widowControl/>
        <w:ind w:right="-28"/>
        <w:jc w:val="both"/>
        <w:rPr>
          <w:rFonts w:ascii="Arial" w:hAnsi="Arial" w:cs="Arial"/>
        </w:rPr>
      </w:pPr>
    </w:p>
    <w:p w14:paraId="0F5DF9B8" w14:textId="77777777" w:rsidR="00C110ED" w:rsidRPr="00F45A1F" w:rsidRDefault="00C110ED" w:rsidP="005144E2">
      <w:pPr>
        <w:widowControl/>
        <w:ind w:right="-28"/>
        <w:jc w:val="both"/>
        <w:rPr>
          <w:rFonts w:ascii="Arial" w:hAnsi="Arial" w:cs="Arial"/>
        </w:rPr>
      </w:pPr>
    </w:p>
    <w:p w14:paraId="40616A4E" w14:textId="77777777" w:rsidR="00C1775B" w:rsidRPr="00F45A1F" w:rsidRDefault="00C1775B" w:rsidP="005144E2">
      <w:pPr>
        <w:widowControl/>
        <w:ind w:right="-28"/>
        <w:jc w:val="both"/>
        <w:rPr>
          <w:rFonts w:ascii="Arial" w:hAnsi="Arial" w:cs="Arial"/>
          <w:b/>
        </w:rPr>
      </w:pPr>
    </w:p>
    <w:p w14:paraId="7437FAA4" w14:textId="77777777" w:rsidR="00BB74A6" w:rsidRDefault="00BB74A6" w:rsidP="005144E2">
      <w:pPr>
        <w:widowControl/>
        <w:ind w:right="-28"/>
        <w:jc w:val="both"/>
        <w:rPr>
          <w:rFonts w:ascii="Arial" w:hAnsi="Arial" w:cs="Arial"/>
          <w:b/>
        </w:rPr>
      </w:pPr>
    </w:p>
    <w:p w14:paraId="22974A49" w14:textId="77777777" w:rsidR="003F4719" w:rsidRPr="00F45A1F" w:rsidRDefault="003F4719" w:rsidP="005144E2">
      <w:pPr>
        <w:widowControl/>
        <w:ind w:right="-28"/>
        <w:jc w:val="both"/>
        <w:rPr>
          <w:rFonts w:ascii="Arial" w:hAnsi="Arial" w:cs="Arial"/>
          <w:b/>
          <w:sz w:val="26"/>
          <w:szCs w:val="26"/>
        </w:rPr>
      </w:pPr>
      <w:r w:rsidRPr="00F45A1F">
        <w:rPr>
          <w:rFonts w:ascii="Arial" w:hAnsi="Arial" w:cs="Arial"/>
          <w:b/>
          <w:sz w:val="26"/>
          <w:szCs w:val="26"/>
        </w:rPr>
        <w:t>NOTA 16 – FORNECEDORES</w:t>
      </w:r>
    </w:p>
    <w:p w14:paraId="21098ACB" w14:textId="77777777" w:rsidR="00230059" w:rsidRPr="00F45A1F" w:rsidRDefault="00230059" w:rsidP="005144E2">
      <w:pPr>
        <w:widowControl/>
        <w:ind w:right="-28"/>
        <w:jc w:val="both"/>
        <w:rPr>
          <w:rFonts w:ascii="Arial" w:hAnsi="Arial" w:cs="Arial"/>
          <w:b/>
        </w:rPr>
      </w:pPr>
    </w:p>
    <w:p w14:paraId="061E5109" w14:textId="77777777" w:rsidR="00BB74A6" w:rsidRPr="00F45A1F" w:rsidRDefault="00BB74A6" w:rsidP="005144E2">
      <w:pPr>
        <w:widowControl/>
        <w:ind w:right="-28"/>
        <w:jc w:val="both"/>
        <w:rPr>
          <w:rFonts w:ascii="Arial" w:hAnsi="Arial" w:cs="Arial"/>
          <w:b/>
        </w:rPr>
      </w:pPr>
    </w:p>
    <w:p w14:paraId="54177E17" w14:textId="77777777" w:rsidR="003F4719" w:rsidRPr="00F45A1F" w:rsidRDefault="003F4719" w:rsidP="005144E2">
      <w:pPr>
        <w:widowControl/>
        <w:jc w:val="both"/>
        <w:rPr>
          <w:rFonts w:ascii="Arial" w:hAnsi="Arial" w:cs="Arial"/>
        </w:rPr>
      </w:pPr>
      <w:r w:rsidRPr="00F45A1F">
        <w:rPr>
          <w:rFonts w:ascii="Arial" w:hAnsi="Arial" w:cs="Arial"/>
        </w:rPr>
        <w:t>O saldo de fornecedores está composto de contas a pagar a empresas que fornecem materiais para o estoque do almoxarifado da operação, concentrado de urânio e serviços para o estoque de combustível nuclear e para aplicação direta no investimento e nas atividades estruturais da ELETRONUCLEAR.</w:t>
      </w:r>
    </w:p>
    <w:p w14:paraId="244D1E8F" w14:textId="77777777" w:rsidR="00D55D63" w:rsidRPr="00F45A1F" w:rsidRDefault="00D55D63" w:rsidP="005144E2">
      <w:pPr>
        <w:widowControl/>
        <w:jc w:val="both"/>
        <w:rPr>
          <w:rFonts w:ascii="Arial" w:hAnsi="Arial" w:cs="Arial"/>
        </w:rPr>
      </w:pPr>
    </w:p>
    <w:p w14:paraId="5D770017" w14:textId="77777777" w:rsidR="006A2FF4" w:rsidRPr="00F45A1F" w:rsidRDefault="006A2FF4" w:rsidP="005144E2">
      <w:pPr>
        <w:widowControl/>
        <w:jc w:val="both"/>
        <w:rPr>
          <w:rFonts w:ascii="Arial" w:hAnsi="Arial" w:cs="Arial"/>
          <w:b/>
          <w:color w:val="FF0000"/>
        </w:rPr>
      </w:pPr>
    </w:p>
    <w:p w14:paraId="1ECEE5DF" w14:textId="77777777" w:rsidR="009739D5" w:rsidRPr="00F45A1F" w:rsidRDefault="009739D5" w:rsidP="009739D5">
      <w:pPr>
        <w:widowControl/>
        <w:jc w:val="both"/>
        <w:rPr>
          <w:rFonts w:ascii="Arial" w:hAnsi="Arial" w:cs="Arial"/>
        </w:rPr>
      </w:pPr>
      <w:r w:rsidRPr="00F45A1F">
        <w:rPr>
          <w:rFonts w:ascii="Arial" w:hAnsi="Arial" w:cs="Arial"/>
        </w:rPr>
        <w:t>Abaixo, quadro com a composição da dívida com fornecedores:</w:t>
      </w:r>
    </w:p>
    <w:p w14:paraId="1A7D1768" w14:textId="77777777" w:rsidR="00E23179" w:rsidRPr="00F45A1F" w:rsidRDefault="00E23179" w:rsidP="005144E2">
      <w:pPr>
        <w:widowControl/>
        <w:jc w:val="both"/>
        <w:rPr>
          <w:rFonts w:ascii="Arial" w:hAnsi="Arial" w:cs="Arial"/>
          <w:sz w:val="16"/>
          <w:szCs w:val="16"/>
        </w:rPr>
      </w:pPr>
    </w:p>
    <w:p w14:paraId="4BF7A4DB" w14:textId="77777777" w:rsidR="00E23179" w:rsidRPr="00F45A1F" w:rsidRDefault="00E23179" w:rsidP="005144E2">
      <w:pPr>
        <w:widowControl/>
        <w:jc w:val="both"/>
        <w:rPr>
          <w:rFonts w:ascii="Arial" w:hAnsi="Arial" w:cs="Arial"/>
          <w:sz w:val="16"/>
          <w:szCs w:val="16"/>
        </w:rPr>
      </w:pPr>
      <w:r w:rsidRPr="00F45A1F">
        <w:rPr>
          <w:noProof/>
        </w:rPr>
        <w:drawing>
          <wp:inline distT="0" distB="0" distL="0" distR="0" wp14:anchorId="672EB040" wp14:editId="052C7BD8">
            <wp:extent cx="5953125" cy="1428750"/>
            <wp:effectExtent l="0" t="0" r="9525" b="0"/>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53125" cy="1428750"/>
                    </a:xfrm>
                    <a:prstGeom prst="rect">
                      <a:avLst/>
                    </a:prstGeom>
                    <a:noFill/>
                    <a:ln>
                      <a:noFill/>
                    </a:ln>
                  </pic:spPr>
                </pic:pic>
              </a:graphicData>
            </a:graphic>
          </wp:inline>
        </w:drawing>
      </w:r>
    </w:p>
    <w:p w14:paraId="767C489C" w14:textId="77777777" w:rsidR="00996CFF" w:rsidRPr="00F45A1F" w:rsidRDefault="00996CFF" w:rsidP="005144E2">
      <w:pPr>
        <w:widowControl/>
        <w:jc w:val="both"/>
        <w:rPr>
          <w:rFonts w:ascii="Arial" w:hAnsi="Arial" w:cs="Arial"/>
          <w:sz w:val="16"/>
          <w:szCs w:val="16"/>
        </w:rPr>
      </w:pPr>
    </w:p>
    <w:p w14:paraId="18FA8DD2" w14:textId="77777777" w:rsidR="000A2073" w:rsidRPr="00F45A1F" w:rsidRDefault="00E23179" w:rsidP="005144E2">
      <w:pPr>
        <w:widowControl/>
        <w:jc w:val="both"/>
        <w:rPr>
          <w:rFonts w:ascii="Arial" w:hAnsi="Arial" w:cs="Arial"/>
        </w:rPr>
      </w:pPr>
      <w:r w:rsidRPr="00F45A1F">
        <w:rPr>
          <w:noProof/>
        </w:rPr>
        <w:drawing>
          <wp:inline distT="0" distB="0" distL="0" distR="0" wp14:anchorId="1697B2DC" wp14:editId="54B56DE6">
            <wp:extent cx="5953125" cy="1428750"/>
            <wp:effectExtent l="0" t="0" r="9525" b="0"/>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53125" cy="1428750"/>
                    </a:xfrm>
                    <a:prstGeom prst="rect">
                      <a:avLst/>
                    </a:prstGeom>
                    <a:noFill/>
                    <a:ln>
                      <a:noFill/>
                    </a:ln>
                  </pic:spPr>
                </pic:pic>
              </a:graphicData>
            </a:graphic>
          </wp:inline>
        </w:drawing>
      </w:r>
    </w:p>
    <w:p w14:paraId="5F1F8296" w14:textId="77777777" w:rsidR="000A2073" w:rsidRPr="00F45A1F" w:rsidRDefault="000A2073" w:rsidP="005144E2">
      <w:pPr>
        <w:widowControl/>
        <w:jc w:val="both"/>
        <w:rPr>
          <w:rFonts w:ascii="Arial" w:hAnsi="Arial" w:cs="Arial"/>
        </w:rPr>
      </w:pPr>
    </w:p>
    <w:p w14:paraId="56E19167" w14:textId="77777777" w:rsidR="00EE1109" w:rsidRPr="00F45A1F" w:rsidRDefault="00EE1109" w:rsidP="005144E2">
      <w:pPr>
        <w:widowControl/>
        <w:jc w:val="both"/>
        <w:rPr>
          <w:rFonts w:ascii="Arial" w:hAnsi="Arial" w:cs="Arial"/>
        </w:rPr>
      </w:pPr>
    </w:p>
    <w:p w14:paraId="2693FF40" w14:textId="77777777" w:rsidR="00EE1109" w:rsidRPr="00F45A1F" w:rsidRDefault="00EE1109" w:rsidP="005144E2">
      <w:pPr>
        <w:widowControl/>
        <w:jc w:val="both"/>
        <w:rPr>
          <w:rFonts w:ascii="Arial" w:hAnsi="Arial" w:cs="Arial"/>
        </w:rPr>
      </w:pPr>
    </w:p>
    <w:p w14:paraId="16B40422" w14:textId="77777777" w:rsidR="007E759A" w:rsidRPr="00F45A1F" w:rsidRDefault="007E759A" w:rsidP="005144E2">
      <w:pPr>
        <w:widowControl/>
        <w:jc w:val="both"/>
        <w:rPr>
          <w:rFonts w:ascii="Arial" w:hAnsi="Arial" w:cs="Arial"/>
        </w:rPr>
      </w:pPr>
    </w:p>
    <w:p w14:paraId="130F4394" w14:textId="77777777" w:rsidR="007E759A" w:rsidRPr="00F45A1F" w:rsidRDefault="007E759A" w:rsidP="005144E2">
      <w:pPr>
        <w:widowControl/>
        <w:jc w:val="both"/>
        <w:rPr>
          <w:rFonts w:ascii="Arial" w:hAnsi="Arial" w:cs="Arial"/>
        </w:rPr>
      </w:pPr>
    </w:p>
    <w:p w14:paraId="4BA03339" w14:textId="77777777" w:rsidR="007E759A" w:rsidRPr="00F45A1F" w:rsidRDefault="007E759A" w:rsidP="005144E2">
      <w:pPr>
        <w:widowControl/>
        <w:jc w:val="both"/>
        <w:rPr>
          <w:rFonts w:ascii="Arial" w:hAnsi="Arial" w:cs="Arial"/>
        </w:rPr>
      </w:pPr>
    </w:p>
    <w:p w14:paraId="5BD9DCDC" w14:textId="77777777" w:rsidR="007E759A" w:rsidRPr="00F45A1F" w:rsidRDefault="007E759A" w:rsidP="005144E2">
      <w:pPr>
        <w:widowControl/>
        <w:jc w:val="both"/>
        <w:rPr>
          <w:rFonts w:ascii="Arial" w:hAnsi="Arial" w:cs="Arial"/>
        </w:rPr>
      </w:pPr>
    </w:p>
    <w:p w14:paraId="4FFAC4E1" w14:textId="77777777" w:rsidR="007E759A" w:rsidRPr="00F45A1F" w:rsidRDefault="007E759A" w:rsidP="005144E2">
      <w:pPr>
        <w:widowControl/>
        <w:jc w:val="both"/>
        <w:rPr>
          <w:rFonts w:ascii="Arial" w:hAnsi="Arial" w:cs="Arial"/>
        </w:rPr>
      </w:pPr>
    </w:p>
    <w:p w14:paraId="625FC739" w14:textId="77777777" w:rsidR="00E23179" w:rsidRPr="00F45A1F" w:rsidRDefault="00E23179" w:rsidP="005144E2">
      <w:pPr>
        <w:widowControl/>
        <w:jc w:val="both"/>
        <w:rPr>
          <w:rFonts w:ascii="Arial" w:hAnsi="Arial" w:cs="Arial"/>
        </w:rPr>
      </w:pPr>
    </w:p>
    <w:p w14:paraId="0F6ACD98" w14:textId="77777777" w:rsidR="00E23179" w:rsidRPr="00F45A1F" w:rsidRDefault="00E23179" w:rsidP="005144E2">
      <w:pPr>
        <w:widowControl/>
        <w:jc w:val="both"/>
        <w:rPr>
          <w:rFonts w:ascii="Arial" w:hAnsi="Arial" w:cs="Arial"/>
        </w:rPr>
      </w:pPr>
    </w:p>
    <w:p w14:paraId="0F5E0BAD" w14:textId="77777777" w:rsidR="00E23179" w:rsidRPr="00F45A1F" w:rsidRDefault="00E23179" w:rsidP="005144E2">
      <w:pPr>
        <w:widowControl/>
        <w:jc w:val="both"/>
        <w:rPr>
          <w:rFonts w:ascii="Arial" w:hAnsi="Arial" w:cs="Arial"/>
        </w:rPr>
      </w:pPr>
    </w:p>
    <w:p w14:paraId="25F29BF4" w14:textId="0BA4E440" w:rsidR="00E23179" w:rsidRDefault="00E23179" w:rsidP="005144E2">
      <w:pPr>
        <w:widowControl/>
        <w:jc w:val="both"/>
        <w:rPr>
          <w:rFonts w:ascii="Arial" w:hAnsi="Arial" w:cs="Arial"/>
        </w:rPr>
      </w:pPr>
    </w:p>
    <w:p w14:paraId="6890FCC7" w14:textId="77777777" w:rsidR="0091559B" w:rsidRDefault="0091559B" w:rsidP="005144E2">
      <w:pPr>
        <w:widowControl/>
        <w:jc w:val="both"/>
        <w:rPr>
          <w:rFonts w:ascii="Arial" w:hAnsi="Arial" w:cs="Arial"/>
        </w:rPr>
      </w:pPr>
    </w:p>
    <w:p w14:paraId="1D3E5103" w14:textId="77777777" w:rsidR="0091559B" w:rsidRDefault="0091559B" w:rsidP="005144E2">
      <w:pPr>
        <w:widowControl/>
        <w:jc w:val="both"/>
        <w:rPr>
          <w:rFonts w:ascii="Arial" w:hAnsi="Arial" w:cs="Arial"/>
        </w:rPr>
      </w:pPr>
    </w:p>
    <w:p w14:paraId="7AB69715" w14:textId="77777777" w:rsidR="0091559B" w:rsidRDefault="0091559B" w:rsidP="005144E2">
      <w:pPr>
        <w:widowControl/>
        <w:jc w:val="both"/>
        <w:rPr>
          <w:rFonts w:ascii="Arial" w:hAnsi="Arial" w:cs="Arial"/>
        </w:rPr>
      </w:pPr>
    </w:p>
    <w:p w14:paraId="4FD513EF" w14:textId="77777777" w:rsidR="008E6DFE" w:rsidRPr="00F45A1F" w:rsidRDefault="008E6DFE" w:rsidP="005144E2">
      <w:pPr>
        <w:widowControl/>
        <w:jc w:val="both"/>
        <w:rPr>
          <w:rFonts w:ascii="Arial" w:hAnsi="Arial" w:cs="Arial"/>
        </w:rPr>
      </w:pPr>
    </w:p>
    <w:p w14:paraId="6755AAA4" w14:textId="77777777" w:rsidR="00EF2834" w:rsidRPr="00F45A1F" w:rsidRDefault="00EF2834" w:rsidP="005144E2">
      <w:pPr>
        <w:widowControl/>
        <w:ind w:right="-28"/>
        <w:jc w:val="both"/>
        <w:rPr>
          <w:rFonts w:ascii="Arial" w:hAnsi="Arial" w:cs="Arial"/>
          <w:b/>
        </w:rPr>
      </w:pPr>
    </w:p>
    <w:p w14:paraId="5C804EF6" w14:textId="77777777" w:rsidR="0016041A" w:rsidRPr="00F45A1F" w:rsidRDefault="0016041A" w:rsidP="005144E2">
      <w:pPr>
        <w:widowControl/>
        <w:ind w:right="-28"/>
        <w:jc w:val="both"/>
        <w:rPr>
          <w:rFonts w:ascii="Arial" w:hAnsi="Arial" w:cs="Arial"/>
          <w:b/>
          <w:sz w:val="26"/>
          <w:szCs w:val="26"/>
        </w:rPr>
      </w:pPr>
      <w:r w:rsidRPr="00F45A1F">
        <w:rPr>
          <w:rFonts w:ascii="Arial" w:hAnsi="Arial" w:cs="Arial"/>
          <w:b/>
          <w:sz w:val="26"/>
          <w:szCs w:val="26"/>
        </w:rPr>
        <w:t>NOTA 17 – EMPRÉSTIMOS E FINANCIAMENTOS</w:t>
      </w:r>
    </w:p>
    <w:p w14:paraId="41621719" w14:textId="77777777" w:rsidR="00230059" w:rsidRPr="00F45A1F" w:rsidRDefault="00230059" w:rsidP="005144E2">
      <w:pPr>
        <w:widowControl/>
        <w:jc w:val="both"/>
        <w:rPr>
          <w:rFonts w:ascii="Arial" w:hAnsi="Arial" w:cs="Arial"/>
        </w:rPr>
      </w:pPr>
    </w:p>
    <w:p w14:paraId="6B1CEADA" w14:textId="77777777" w:rsidR="00996CFF" w:rsidRPr="00F45A1F" w:rsidRDefault="00996CFF" w:rsidP="005144E2">
      <w:pPr>
        <w:widowControl/>
        <w:jc w:val="both"/>
        <w:rPr>
          <w:rFonts w:ascii="Arial" w:hAnsi="Arial" w:cs="Arial"/>
        </w:rPr>
      </w:pPr>
    </w:p>
    <w:p w14:paraId="4F6AA60E" w14:textId="77777777" w:rsidR="0016041A" w:rsidRPr="00F45A1F" w:rsidRDefault="0016041A" w:rsidP="005144E2">
      <w:pPr>
        <w:widowControl/>
        <w:jc w:val="both"/>
        <w:rPr>
          <w:rFonts w:ascii="Arial" w:hAnsi="Arial" w:cs="Arial"/>
        </w:rPr>
      </w:pPr>
      <w:r w:rsidRPr="00F45A1F">
        <w:rPr>
          <w:rFonts w:ascii="Arial" w:hAnsi="Arial" w:cs="Arial"/>
        </w:rPr>
        <w:t>As principais informações a respeito dos empréstimos e financiamentos são:</w:t>
      </w:r>
    </w:p>
    <w:p w14:paraId="4971407A" w14:textId="77777777" w:rsidR="00CD2AB9" w:rsidRPr="00F45A1F" w:rsidRDefault="00CD2AB9" w:rsidP="005144E2">
      <w:pPr>
        <w:widowControl/>
        <w:tabs>
          <w:tab w:val="num" w:pos="360"/>
        </w:tabs>
        <w:jc w:val="both"/>
        <w:rPr>
          <w:rFonts w:ascii="Arial" w:hAnsi="Arial" w:cs="Arial"/>
          <w:b/>
          <w:sz w:val="16"/>
          <w:szCs w:val="16"/>
        </w:rPr>
      </w:pPr>
    </w:p>
    <w:p w14:paraId="18C3568C" w14:textId="77777777" w:rsidR="00996CFF" w:rsidRPr="00F45A1F" w:rsidRDefault="00996CFF" w:rsidP="005144E2">
      <w:pPr>
        <w:widowControl/>
        <w:tabs>
          <w:tab w:val="num" w:pos="360"/>
        </w:tabs>
        <w:jc w:val="both"/>
        <w:rPr>
          <w:rFonts w:ascii="Arial" w:hAnsi="Arial" w:cs="Arial"/>
          <w:b/>
        </w:rPr>
      </w:pPr>
    </w:p>
    <w:p w14:paraId="18DC049D" w14:textId="77777777" w:rsidR="0016041A" w:rsidRPr="00F45A1F" w:rsidRDefault="0016041A" w:rsidP="005144E2">
      <w:pPr>
        <w:widowControl/>
        <w:tabs>
          <w:tab w:val="num" w:pos="360"/>
        </w:tabs>
        <w:jc w:val="both"/>
        <w:rPr>
          <w:rFonts w:ascii="Arial" w:hAnsi="Arial" w:cs="Arial"/>
          <w:b/>
        </w:rPr>
      </w:pPr>
      <w:r w:rsidRPr="00F45A1F">
        <w:rPr>
          <w:rFonts w:ascii="Arial" w:hAnsi="Arial" w:cs="Arial"/>
          <w:b/>
        </w:rPr>
        <w:t>Aplicações nas Usinas Angra 1 e Angra 2</w:t>
      </w:r>
    </w:p>
    <w:p w14:paraId="4BA9C703" w14:textId="77777777" w:rsidR="0016041A" w:rsidRPr="00F45A1F" w:rsidRDefault="0016041A" w:rsidP="005144E2">
      <w:pPr>
        <w:widowControl/>
        <w:jc w:val="both"/>
        <w:rPr>
          <w:rFonts w:ascii="Arial" w:hAnsi="Arial" w:cs="Arial"/>
        </w:rPr>
      </w:pPr>
    </w:p>
    <w:p w14:paraId="4B449EF9" w14:textId="77777777" w:rsidR="0016041A" w:rsidRPr="00F45A1F" w:rsidRDefault="0016041A" w:rsidP="005144E2">
      <w:pPr>
        <w:widowControl/>
        <w:jc w:val="both"/>
        <w:rPr>
          <w:rFonts w:ascii="Arial" w:hAnsi="Arial" w:cs="Arial"/>
        </w:rPr>
      </w:pPr>
      <w:r w:rsidRPr="00F45A1F">
        <w:rPr>
          <w:rFonts w:ascii="Arial" w:hAnsi="Arial" w:cs="Arial"/>
        </w:rPr>
        <w:t xml:space="preserve">Trata-se de financiamentos captados com a Eletrobras para diversas etapas de melhoramentos da Usina Angra 1, para a troca dos geradores de vapor, a troca da tampa do vaso de pressão do reator e para o capital de giro da Companhia. </w:t>
      </w:r>
    </w:p>
    <w:p w14:paraId="22938AFA" w14:textId="77777777" w:rsidR="00CD2AB9" w:rsidRPr="00F45A1F" w:rsidRDefault="00CD2AB9" w:rsidP="005144E2">
      <w:pPr>
        <w:widowControl/>
        <w:jc w:val="both"/>
        <w:rPr>
          <w:rFonts w:ascii="Arial" w:hAnsi="Arial" w:cs="Arial"/>
        </w:rPr>
      </w:pPr>
    </w:p>
    <w:p w14:paraId="11476E77" w14:textId="77777777" w:rsidR="0016041A" w:rsidRPr="00F45A1F" w:rsidRDefault="0016041A" w:rsidP="005144E2">
      <w:pPr>
        <w:widowControl/>
        <w:jc w:val="both"/>
        <w:rPr>
          <w:rFonts w:ascii="Arial" w:hAnsi="Arial" w:cs="Arial"/>
        </w:rPr>
      </w:pPr>
      <w:r w:rsidRPr="00F45A1F">
        <w:rPr>
          <w:rFonts w:ascii="Arial" w:hAnsi="Arial" w:cs="Arial"/>
        </w:rPr>
        <w:t>Em garantia dos compromissos assumidos com a Eletrobras, a ELETRONUCLEAR vinculou su</w:t>
      </w:r>
      <w:r w:rsidR="00D7696F" w:rsidRPr="00F45A1F">
        <w:rPr>
          <w:rFonts w:ascii="Arial" w:hAnsi="Arial" w:cs="Arial"/>
        </w:rPr>
        <w:t>a receita própria, oriunda das U</w:t>
      </w:r>
      <w:r w:rsidRPr="00F45A1F">
        <w:rPr>
          <w:rFonts w:ascii="Arial" w:hAnsi="Arial" w:cs="Arial"/>
        </w:rPr>
        <w:t>sinas Angra 1 e Angra 2, aos débitos previstos nos financiamentos. Tal vinculação está suportada por procurações outorgadas por instrumento público para que, em caso de inadimplência, possa receber diretamente os valores em atraso.</w:t>
      </w:r>
    </w:p>
    <w:p w14:paraId="7C65964E" w14:textId="77777777" w:rsidR="0016041A" w:rsidRPr="00F45A1F" w:rsidRDefault="0016041A" w:rsidP="005144E2">
      <w:pPr>
        <w:widowControl/>
        <w:jc w:val="both"/>
        <w:rPr>
          <w:rFonts w:ascii="Arial" w:hAnsi="Arial" w:cs="Arial"/>
        </w:rPr>
      </w:pPr>
    </w:p>
    <w:p w14:paraId="60442EB0" w14:textId="77777777" w:rsidR="00B2589E" w:rsidRPr="00F45A1F" w:rsidRDefault="00B2589E" w:rsidP="005144E2">
      <w:pPr>
        <w:widowControl/>
        <w:jc w:val="both"/>
        <w:rPr>
          <w:rFonts w:ascii="Arial" w:hAnsi="Arial" w:cs="Arial"/>
          <w:sz w:val="16"/>
          <w:szCs w:val="16"/>
        </w:rPr>
      </w:pPr>
    </w:p>
    <w:p w14:paraId="32BFF59F" w14:textId="77777777" w:rsidR="0016041A" w:rsidRPr="00F45A1F" w:rsidRDefault="0016041A" w:rsidP="005144E2">
      <w:pPr>
        <w:widowControl/>
        <w:tabs>
          <w:tab w:val="num" w:pos="360"/>
        </w:tabs>
        <w:jc w:val="both"/>
        <w:rPr>
          <w:rFonts w:ascii="Arial" w:hAnsi="Arial" w:cs="Arial"/>
          <w:b/>
        </w:rPr>
      </w:pPr>
      <w:r w:rsidRPr="00F45A1F">
        <w:rPr>
          <w:rFonts w:ascii="Arial" w:hAnsi="Arial" w:cs="Arial"/>
          <w:b/>
        </w:rPr>
        <w:t>Aplicações na Usina Angra 3</w:t>
      </w:r>
    </w:p>
    <w:p w14:paraId="093EACE2" w14:textId="77777777" w:rsidR="0016041A" w:rsidRPr="00F45A1F" w:rsidRDefault="0016041A" w:rsidP="005144E2">
      <w:pPr>
        <w:widowControl/>
        <w:tabs>
          <w:tab w:val="num" w:pos="315"/>
        </w:tabs>
        <w:jc w:val="both"/>
        <w:rPr>
          <w:rFonts w:ascii="Arial" w:hAnsi="Arial" w:cs="Arial"/>
        </w:rPr>
      </w:pPr>
    </w:p>
    <w:p w14:paraId="447AFE97" w14:textId="77777777" w:rsidR="0016041A" w:rsidRPr="00F45A1F" w:rsidRDefault="0016041A" w:rsidP="005144E2">
      <w:pPr>
        <w:widowControl/>
        <w:jc w:val="both"/>
        <w:rPr>
          <w:rFonts w:ascii="Arial" w:hAnsi="Arial" w:cs="Arial"/>
        </w:rPr>
      </w:pPr>
      <w:r w:rsidRPr="00F45A1F">
        <w:rPr>
          <w:rFonts w:ascii="Arial" w:hAnsi="Arial" w:cs="Arial"/>
        </w:rPr>
        <w:t>Em 24 de janeiro de 2011, foi assinado o contrato de financiamento nº ECF-2878/2010 entre a Companhia e a Eletrobras, com interveniência do Banco do Brasil, com abertura de recursos da Reserva Global de Reversão – RGR, na ordem de R$ 890.000, para retomada do empreendimento de implementação da Usina nuclear Angra 3.</w:t>
      </w:r>
    </w:p>
    <w:p w14:paraId="3D85D24E" w14:textId="77777777" w:rsidR="0016041A" w:rsidRPr="00F45A1F" w:rsidRDefault="0016041A" w:rsidP="005144E2">
      <w:pPr>
        <w:widowControl/>
        <w:jc w:val="both"/>
        <w:rPr>
          <w:rFonts w:ascii="Arial" w:hAnsi="Arial" w:cs="Arial"/>
        </w:rPr>
      </w:pPr>
    </w:p>
    <w:p w14:paraId="51E1BFF2" w14:textId="77777777" w:rsidR="0016041A" w:rsidRPr="00F45A1F" w:rsidRDefault="0016041A" w:rsidP="005144E2">
      <w:pPr>
        <w:widowControl/>
        <w:jc w:val="both"/>
        <w:rPr>
          <w:rFonts w:ascii="Arial" w:hAnsi="Arial" w:cs="Arial"/>
        </w:rPr>
      </w:pPr>
      <w:r w:rsidRPr="00F45A1F">
        <w:rPr>
          <w:rFonts w:ascii="Arial" w:hAnsi="Arial" w:cs="Arial"/>
        </w:rPr>
        <w:t>Em 23 de fevereiro de 2011, foi assinado o contrato de financiamento nº 10.2.2032.1 entre o Banco Nacional de Desenvolvimento Econômico e Social – BNDES e a ELETRONUCLEAR, com interveniência da Eletrobras, com abertura de um crédito de R$ 6.14</w:t>
      </w:r>
      <w:r w:rsidR="00946D83" w:rsidRPr="00F45A1F">
        <w:rPr>
          <w:rFonts w:ascii="Arial" w:hAnsi="Arial" w:cs="Arial"/>
        </w:rPr>
        <w:t>6.256</w:t>
      </w:r>
      <w:r w:rsidRPr="00F45A1F">
        <w:rPr>
          <w:rFonts w:ascii="Arial" w:hAnsi="Arial" w:cs="Arial"/>
        </w:rPr>
        <w:t>, destinados à implantação da Usina Angra 3.</w:t>
      </w:r>
    </w:p>
    <w:p w14:paraId="5C8D76F0" w14:textId="77777777" w:rsidR="00EF2834" w:rsidRPr="00F45A1F" w:rsidRDefault="00EF2834" w:rsidP="005144E2">
      <w:pPr>
        <w:widowControl/>
        <w:jc w:val="both"/>
        <w:rPr>
          <w:rFonts w:ascii="Arial" w:hAnsi="Arial" w:cs="Arial"/>
        </w:rPr>
      </w:pPr>
    </w:p>
    <w:p w14:paraId="3A18AEBA" w14:textId="77777777" w:rsidR="0016041A" w:rsidRPr="00F45A1F" w:rsidRDefault="0016041A" w:rsidP="005144E2">
      <w:pPr>
        <w:widowControl/>
        <w:jc w:val="both"/>
        <w:rPr>
          <w:rFonts w:ascii="Arial" w:hAnsi="Arial" w:cs="Arial"/>
        </w:rPr>
      </w:pPr>
      <w:r w:rsidRPr="00F45A1F">
        <w:rPr>
          <w:rFonts w:ascii="Arial" w:hAnsi="Arial" w:cs="Arial"/>
        </w:rPr>
        <w:t xml:space="preserve">Em garantia dos compromissos assumidos com o contrato do BNDES citado, a ELETRONUCLEAR constituiu uma Cessão Fiduciária em favor do BNDES, em caráter irrevogável e irretratável, até o final da liquidação de todas as obrigações deste contrato, decorrentes da venda de energia produzida pela Usina Angra 3.   </w:t>
      </w:r>
    </w:p>
    <w:p w14:paraId="5FF3F1BB" w14:textId="77777777" w:rsidR="0016041A" w:rsidRPr="00F45A1F" w:rsidRDefault="0016041A" w:rsidP="005144E2">
      <w:pPr>
        <w:widowControl/>
        <w:jc w:val="both"/>
        <w:rPr>
          <w:rFonts w:ascii="Arial" w:hAnsi="Arial" w:cs="Arial"/>
        </w:rPr>
      </w:pPr>
    </w:p>
    <w:p w14:paraId="2C8D7CCF" w14:textId="7B94D7F3" w:rsidR="0069006A" w:rsidRPr="00F45A1F" w:rsidRDefault="0069006A" w:rsidP="005144E2">
      <w:pPr>
        <w:widowControl/>
        <w:jc w:val="both"/>
        <w:rPr>
          <w:rFonts w:ascii="Arial" w:hAnsi="Arial" w:cs="Arial"/>
        </w:rPr>
      </w:pPr>
      <w:r w:rsidRPr="00F45A1F">
        <w:rPr>
          <w:rFonts w:ascii="Arial" w:hAnsi="Arial" w:cs="Arial"/>
        </w:rPr>
        <w:t xml:space="preserve">Originalmente, o Contrato nº 10.2.2032.1 previa o início das amortizações do principal da dívida em </w:t>
      </w:r>
      <w:r w:rsidR="00996CFF" w:rsidRPr="00F45A1F">
        <w:rPr>
          <w:rFonts w:ascii="Arial" w:hAnsi="Arial" w:cs="Arial"/>
        </w:rPr>
        <w:t xml:space="preserve">30 de </w:t>
      </w:r>
      <w:r w:rsidR="00AC7E37" w:rsidRPr="00F45A1F">
        <w:rPr>
          <w:rFonts w:ascii="Arial" w:hAnsi="Arial" w:cs="Arial"/>
        </w:rPr>
        <w:t>j</w:t>
      </w:r>
      <w:r w:rsidR="00996CFF" w:rsidRPr="00F45A1F">
        <w:rPr>
          <w:rFonts w:ascii="Arial" w:hAnsi="Arial" w:cs="Arial"/>
        </w:rPr>
        <w:t xml:space="preserve">ulho de </w:t>
      </w:r>
      <w:r w:rsidRPr="00F45A1F">
        <w:rPr>
          <w:rFonts w:ascii="Arial" w:hAnsi="Arial" w:cs="Arial"/>
        </w:rPr>
        <w:t xml:space="preserve">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valor de 0,5% do saldo devedor.  O montante em débito, acrescido de IOF </w:t>
      </w:r>
      <w:r w:rsidR="003A5470" w:rsidRPr="00F45A1F">
        <w:rPr>
          <w:rFonts w:ascii="Arial" w:hAnsi="Arial" w:cs="Arial"/>
        </w:rPr>
        <w:t>f</w:t>
      </w:r>
      <w:r w:rsidRPr="00F45A1F">
        <w:rPr>
          <w:rFonts w:ascii="Arial" w:hAnsi="Arial" w:cs="Arial"/>
        </w:rPr>
        <w:t xml:space="preserve">oi incorporado ao saldo devedor do contrato original, na forma dos </w:t>
      </w:r>
      <w:proofErr w:type="spellStart"/>
      <w:r w:rsidRPr="00F45A1F">
        <w:rPr>
          <w:rFonts w:ascii="Arial" w:hAnsi="Arial" w:cs="Arial"/>
        </w:rPr>
        <w:t>Subcréditos</w:t>
      </w:r>
      <w:proofErr w:type="spellEnd"/>
      <w:r w:rsidRPr="00F45A1F">
        <w:rPr>
          <w:rFonts w:ascii="Arial" w:hAnsi="Arial" w:cs="Arial"/>
        </w:rPr>
        <w:t xml:space="preserve"> C e D, com prazo de pagamento de 54 parcelas, após um prazo de carência de 6 meses. O </w:t>
      </w:r>
      <w:proofErr w:type="spellStart"/>
      <w:r w:rsidRPr="00F45A1F">
        <w:rPr>
          <w:rFonts w:ascii="Arial" w:hAnsi="Arial" w:cs="Arial"/>
        </w:rPr>
        <w:t>Subcrédito</w:t>
      </w:r>
      <w:proofErr w:type="spellEnd"/>
      <w:r w:rsidRPr="00F45A1F">
        <w:rPr>
          <w:rFonts w:ascii="Arial" w:hAnsi="Arial" w:cs="Arial"/>
        </w:rPr>
        <w:t xml:space="preserve"> C começou a ser amortizado em 15</w:t>
      </w:r>
      <w:r w:rsidR="003A5470" w:rsidRPr="00F45A1F">
        <w:rPr>
          <w:rFonts w:ascii="Arial" w:hAnsi="Arial" w:cs="Arial"/>
        </w:rPr>
        <w:t xml:space="preserve"> de fevereiro de 2017</w:t>
      </w:r>
      <w:r w:rsidRPr="00F45A1F">
        <w:rPr>
          <w:rFonts w:ascii="Arial" w:hAnsi="Arial" w:cs="Arial"/>
        </w:rPr>
        <w:t xml:space="preserve">, enquanto </w:t>
      </w:r>
      <w:r w:rsidR="001D1096" w:rsidRPr="00F45A1F">
        <w:rPr>
          <w:rFonts w:ascii="Arial" w:hAnsi="Arial" w:cs="Arial"/>
        </w:rPr>
        <w:t>o</w:t>
      </w:r>
      <w:r w:rsidR="00787860">
        <w:rPr>
          <w:rFonts w:ascii="Arial" w:hAnsi="Arial" w:cs="Arial"/>
        </w:rPr>
        <w:t xml:space="preserve"> </w:t>
      </w:r>
      <w:proofErr w:type="spellStart"/>
      <w:r w:rsidRPr="00F45A1F">
        <w:rPr>
          <w:rFonts w:ascii="Arial" w:hAnsi="Arial" w:cs="Arial"/>
        </w:rPr>
        <w:t>Subcrédito</w:t>
      </w:r>
      <w:proofErr w:type="spellEnd"/>
      <w:r w:rsidRPr="00F45A1F">
        <w:rPr>
          <w:rFonts w:ascii="Arial" w:hAnsi="Arial" w:cs="Arial"/>
        </w:rPr>
        <w:t xml:space="preserve"> D teve sua amortização iniciada em 16</w:t>
      </w:r>
      <w:r w:rsidR="003A5470" w:rsidRPr="00F45A1F">
        <w:rPr>
          <w:rFonts w:ascii="Arial" w:hAnsi="Arial" w:cs="Arial"/>
        </w:rPr>
        <w:t xml:space="preserve"> de novembro de </w:t>
      </w:r>
      <w:r w:rsidRPr="00F45A1F">
        <w:rPr>
          <w:rFonts w:ascii="Arial" w:hAnsi="Arial" w:cs="Arial"/>
        </w:rPr>
        <w:t>2017.</w:t>
      </w:r>
    </w:p>
    <w:p w14:paraId="4AF9DDED" w14:textId="77777777" w:rsidR="00EE1109" w:rsidRPr="00F45A1F" w:rsidRDefault="00EE1109" w:rsidP="005144E2">
      <w:pPr>
        <w:widowControl/>
        <w:jc w:val="both"/>
        <w:rPr>
          <w:rFonts w:ascii="Arial" w:hAnsi="Arial" w:cs="Arial"/>
        </w:rPr>
      </w:pPr>
    </w:p>
    <w:p w14:paraId="6EC3A6EF" w14:textId="77777777" w:rsidR="0069006A" w:rsidRPr="00F45A1F" w:rsidRDefault="0069006A" w:rsidP="005144E2">
      <w:pPr>
        <w:jc w:val="both"/>
        <w:rPr>
          <w:rFonts w:ascii="Arial" w:hAnsi="Arial" w:cs="Arial"/>
        </w:rPr>
      </w:pPr>
      <w:r w:rsidRPr="00F45A1F">
        <w:rPr>
          <w:rFonts w:ascii="Arial" w:hAnsi="Arial" w:cs="Arial"/>
        </w:rPr>
        <w:t>Em 1</w:t>
      </w:r>
      <w:r w:rsidR="003A5470" w:rsidRPr="00F45A1F">
        <w:rPr>
          <w:rFonts w:ascii="Arial" w:hAnsi="Arial" w:cs="Arial"/>
        </w:rPr>
        <w:t>6 de outubro de 2017</w:t>
      </w:r>
      <w:r w:rsidRPr="00F45A1F">
        <w:rPr>
          <w:rFonts w:ascii="Arial" w:hAnsi="Arial" w:cs="Arial"/>
        </w:rPr>
        <w:t xml:space="preserve"> a ELETRONUCLEAR iniciou a amortização do principal e passou a realizar o pagamento de 100% dos encargos dos </w:t>
      </w:r>
      <w:proofErr w:type="spellStart"/>
      <w:r w:rsidRPr="00F45A1F">
        <w:rPr>
          <w:rFonts w:ascii="Arial" w:hAnsi="Arial" w:cs="Arial"/>
        </w:rPr>
        <w:t>Subcréditos</w:t>
      </w:r>
      <w:proofErr w:type="spellEnd"/>
      <w:r w:rsidRPr="00F45A1F">
        <w:rPr>
          <w:rFonts w:ascii="Arial" w:hAnsi="Arial" w:cs="Arial"/>
        </w:rPr>
        <w:t xml:space="preserve"> A e B relativos ao contrato nº 10.2.2032.1, celebrado com o BNDES para investimentos no empreendimento de Angra 3. </w:t>
      </w:r>
    </w:p>
    <w:p w14:paraId="62E816DC" w14:textId="77777777" w:rsidR="0069006A" w:rsidRPr="00F45A1F" w:rsidRDefault="0069006A" w:rsidP="005144E2">
      <w:pPr>
        <w:jc w:val="both"/>
        <w:rPr>
          <w:rFonts w:ascii="Arial" w:hAnsi="Arial" w:cs="Arial"/>
        </w:rPr>
      </w:pPr>
    </w:p>
    <w:p w14:paraId="7CC1CF75" w14:textId="77777777" w:rsidR="0069006A" w:rsidRPr="00F45A1F" w:rsidRDefault="0069006A" w:rsidP="005144E2">
      <w:pPr>
        <w:jc w:val="both"/>
        <w:rPr>
          <w:rFonts w:ascii="Arial" w:hAnsi="Arial" w:cs="Arial"/>
        </w:rPr>
      </w:pPr>
      <w:r w:rsidRPr="00F45A1F">
        <w:rPr>
          <w:rFonts w:ascii="Arial" w:hAnsi="Arial" w:cs="Arial"/>
        </w:rPr>
        <w:t>Em 28</w:t>
      </w:r>
      <w:r w:rsidR="003A5470" w:rsidRPr="00F45A1F">
        <w:rPr>
          <w:rFonts w:ascii="Arial" w:hAnsi="Arial" w:cs="Arial"/>
        </w:rPr>
        <w:t xml:space="preserve"> de junho de </w:t>
      </w:r>
      <w:r w:rsidRPr="00F45A1F">
        <w:rPr>
          <w:rFonts w:ascii="Arial" w:hAnsi="Arial" w:cs="Arial"/>
        </w:rPr>
        <w:t xml:space="preserve">2013, foi assinado o contrato nº 0410.351-27/2013 entre a ELETRONUCLEAR e a Caixa Econômica Federal - CEF (contrato principal), no montante de R$ 3.800.000, para financiamento de parte dos empreendimentos de Angra 3, referente à importação de equipamentos e serviços.  </w:t>
      </w:r>
    </w:p>
    <w:p w14:paraId="3240BE08" w14:textId="77777777" w:rsidR="0069006A" w:rsidRPr="00F45A1F" w:rsidRDefault="0069006A" w:rsidP="005144E2">
      <w:pPr>
        <w:jc w:val="both"/>
        <w:rPr>
          <w:rFonts w:ascii="Arial" w:hAnsi="Arial" w:cs="Arial"/>
        </w:rPr>
      </w:pPr>
    </w:p>
    <w:p w14:paraId="78C6FC90" w14:textId="77777777" w:rsidR="0069006A" w:rsidRPr="00F45A1F" w:rsidRDefault="0069006A" w:rsidP="005144E2">
      <w:pPr>
        <w:widowControl/>
        <w:jc w:val="both"/>
        <w:rPr>
          <w:rFonts w:ascii="Arial" w:hAnsi="Arial" w:cs="Arial"/>
        </w:rPr>
      </w:pPr>
      <w:r w:rsidRPr="00F45A1F">
        <w:rPr>
          <w:rFonts w:ascii="Arial" w:hAnsi="Arial" w:cs="Arial"/>
        </w:rPr>
        <w:t>Em 06</w:t>
      </w:r>
      <w:r w:rsidR="003A5470" w:rsidRPr="00F45A1F">
        <w:rPr>
          <w:rFonts w:ascii="Arial" w:hAnsi="Arial" w:cs="Arial"/>
        </w:rPr>
        <w:t xml:space="preserve"> de julho de </w:t>
      </w:r>
      <w:r w:rsidRPr="00F45A1F">
        <w:rPr>
          <w:rFonts w:ascii="Arial" w:hAnsi="Arial" w:cs="Arial"/>
        </w:rPr>
        <w:t>2018, a ELETRONUCLEAR iniciou a amortização do Contrato nº 0410.351-27/2013 com o pagamento da primeira prestação, no valor de R$ 24.741.</w:t>
      </w:r>
    </w:p>
    <w:p w14:paraId="04D42158" w14:textId="77777777" w:rsidR="0069006A" w:rsidRPr="00F45A1F" w:rsidRDefault="0069006A" w:rsidP="005144E2">
      <w:pPr>
        <w:widowControl/>
        <w:jc w:val="both"/>
        <w:rPr>
          <w:rFonts w:ascii="Arial" w:hAnsi="Arial" w:cs="Arial"/>
        </w:rPr>
      </w:pPr>
    </w:p>
    <w:p w14:paraId="590FD85A" w14:textId="77777777" w:rsidR="0069006A" w:rsidRPr="00F45A1F" w:rsidRDefault="0069006A" w:rsidP="005144E2">
      <w:pPr>
        <w:widowControl/>
        <w:jc w:val="both"/>
        <w:rPr>
          <w:rFonts w:ascii="Arial" w:hAnsi="Arial" w:cs="Arial"/>
        </w:rPr>
      </w:pPr>
      <w:r w:rsidRPr="00F45A1F">
        <w:rPr>
          <w:rFonts w:ascii="Arial" w:hAnsi="Arial" w:cs="Arial"/>
        </w:rPr>
        <w:t>Em 29</w:t>
      </w:r>
      <w:r w:rsidR="003A5470" w:rsidRPr="00F45A1F">
        <w:rPr>
          <w:rFonts w:ascii="Arial" w:hAnsi="Arial" w:cs="Arial"/>
        </w:rPr>
        <w:t xml:space="preserve"> de setembro de 2014</w:t>
      </w:r>
      <w:r w:rsidRPr="00F45A1F">
        <w:rPr>
          <w:rFonts w:ascii="Arial" w:hAnsi="Arial" w:cs="Arial"/>
        </w:rPr>
        <w:t xml:space="preserve">, a Eletrobras, por meio da Deliberação nº DEL-111/2014 de seu Conselho de Administração, aprovou a concessão de recursos à ELETRONUCLEAR no valor de R$ 445.433, sob o Contrato de Repasse de Recursos nº ECR-286, sendo o montante de R$ 295.750 utilizado para </w:t>
      </w:r>
      <w:r w:rsidR="002B4D80" w:rsidRPr="00F45A1F">
        <w:rPr>
          <w:rFonts w:ascii="Arial" w:hAnsi="Arial" w:cs="Arial"/>
        </w:rPr>
        <w:t>o Programa de Investimentos da C</w:t>
      </w:r>
      <w:r w:rsidRPr="00F45A1F">
        <w:rPr>
          <w:rFonts w:ascii="Arial" w:hAnsi="Arial" w:cs="Arial"/>
        </w:rPr>
        <w:t>ompanhia, referente ao projeto de Angra 3.</w:t>
      </w:r>
    </w:p>
    <w:p w14:paraId="4FEBD50D" w14:textId="77777777" w:rsidR="0069006A" w:rsidRPr="00F45A1F" w:rsidRDefault="0069006A" w:rsidP="005144E2">
      <w:pPr>
        <w:widowControl/>
        <w:jc w:val="both"/>
        <w:rPr>
          <w:rFonts w:ascii="Arial" w:hAnsi="Arial" w:cs="Arial"/>
        </w:rPr>
      </w:pPr>
    </w:p>
    <w:p w14:paraId="25594431" w14:textId="77777777" w:rsidR="0069006A" w:rsidRPr="00F45A1F" w:rsidRDefault="0069006A" w:rsidP="005144E2">
      <w:pPr>
        <w:widowControl/>
        <w:jc w:val="both"/>
        <w:rPr>
          <w:rFonts w:ascii="Arial" w:hAnsi="Arial" w:cs="Arial"/>
        </w:rPr>
      </w:pPr>
      <w:r w:rsidRPr="00F45A1F">
        <w:rPr>
          <w:rFonts w:ascii="Arial" w:hAnsi="Arial" w:cs="Arial"/>
        </w:rPr>
        <w:t>Em 28</w:t>
      </w:r>
      <w:r w:rsidR="003A5470" w:rsidRPr="00F45A1F">
        <w:rPr>
          <w:rFonts w:ascii="Arial" w:hAnsi="Arial" w:cs="Arial"/>
        </w:rPr>
        <w:t xml:space="preserve"> de março de 2017</w:t>
      </w:r>
      <w:r w:rsidRPr="00F45A1F">
        <w:rPr>
          <w:rFonts w:ascii="Arial" w:hAnsi="Arial" w:cs="Arial"/>
        </w:rPr>
        <w:t xml:space="preserve">, a Eletrobras, por meio da Deliberação nº DEL-068/2017 de seu Conselho de Administração, aprovou a concessão de recursos à ELETRONUCLEAR no valor de R$ 160.000, sob o Contrato de Financiamento nº ECF-3341, com recursos ordinários, tendo a finalidade de suportar a necessidade de contrapartidas em contratos internacionais de aquisição de equipamentos para o empreendimento Angra </w:t>
      </w:r>
      <w:proofErr w:type="gramStart"/>
      <w:r w:rsidRPr="00F45A1F">
        <w:rPr>
          <w:rFonts w:ascii="Arial" w:hAnsi="Arial" w:cs="Arial"/>
        </w:rPr>
        <w:t>3</w:t>
      </w:r>
      <w:proofErr w:type="gramEnd"/>
      <w:r w:rsidRPr="00F45A1F">
        <w:rPr>
          <w:rFonts w:ascii="Arial" w:hAnsi="Arial" w:cs="Arial"/>
        </w:rPr>
        <w:t>.</w:t>
      </w:r>
    </w:p>
    <w:p w14:paraId="6C99D7ED" w14:textId="77777777" w:rsidR="0069006A" w:rsidRPr="00F45A1F" w:rsidRDefault="0069006A" w:rsidP="005144E2">
      <w:pPr>
        <w:widowControl/>
        <w:jc w:val="both"/>
        <w:rPr>
          <w:rFonts w:ascii="Arial" w:hAnsi="Arial" w:cs="Arial"/>
        </w:rPr>
      </w:pPr>
    </w:p>
    <w:p w14:paraId="64FD8DEA" w14:textId="77777777" w:rsidR="00996CFF" w:rsidRPr="00F45A1F" w:rsidRDefault="00996CFF" w:rsidP="005144E2">
      <w:pPr>
        <w:widowControl/>
        <w:jc w:val="both"/>
        <w:rPr>
          <w:rFonts w:ascii="Arial" w:hAnsi="Arial" w:cs="Arial"/>
          <w:sz w:val="16"/>
          <w:szCs w:val="16"/>
        </w:rPr>
      </w:pPr>
    </w:p>
    <w:p w14:paraId="6E3A3CB8" w14:textId="77777777" w:rsidR="0016041A" w:rsidRPr="00F45A1F" w:rsidRDefault="0016041A" w:rsidP="005144E2">
      <w:pPr>
        <w:widowControl/>
        <w:tabs>
          <w:tab w:val="num" w:pos="360"/>
        </w:tabs>
        <w:jc w:val="both"/>
        <w:rPr>
          <w:rFonts w:ascii="Arial" w:hAnsi="Arial" w:cs="Arial"/>
          <w:b/>
        </w:rPr>
      </w:pPr>
      <w:r w:rsidRPr="00F45A1F">
        <w:rPr>
          <w:rFonts w:ascii="Arial" w:hAnsi="Arial" w:cs="Arial"/>
          <w:b/>
        </w:rPr>
        <w:t xml:space="preserve">Outras Aplicações </w:t>
      </w:r>
    </w:p>
    <w:p w14:paraId="4B386291" w14:textId="77777777" w:rsidR="0016041A" w:rsidRPr="00F45A1F" w:rsidRDefault="0016041A" w:rsidP="005144E2">
      <w:pPr>
        <w:widowControl/>
        <w:tabs>
          <w:tab w:val="num" w:pos="360"/>
        </w:tabs>
        <w:jc w:val="both"/>
        <w:rPr>
          <w:rFonts w:ascii="Arial" w:hAnsi="Arial" w:cs="Arial"/>
        </w:rPr>
      </w:pPr>
    </w:p>
    <w:p w14:paraId="4D2A3B1A" w14:textId="77777777" w:rsidR="0016041A" w:rsidRPr="00F45A1F" w:rsidRDefault="0016041A" w:rsidP="005144E2">
      <w:pPr>
        <w:jc w:val="both"/>
        <w:rPr>
          <w:rFonts w:ascii="Arial" w:hAnsi="Arial" w:cs="Arial"/>
        </w:rPr>
      </w:pPr>
      <w:r w:rsidRPr="00F45A1F">
        <w:rPr>
          <w:rFonts w:ascii="Arial" w:hAnsi="Arial" w:cs="Arial"/>
        </w:rPr>
        <w:t>Em 28</w:t>
      </w:r>
      <w:r w:rsidR="00A05C63" w:rsidRPr="00F45A1F">
        <w:rPr>
          <w:rFonts w:ascii="Arial" w:hAnsi="Arial" w:cs="Arial"/>
        </w:rPr>
        <w:t xml:space="preserve"> de janeiro de </w:t>
      </w:r>
      <w:r w:rsidRPr="00F45A1F">
        <w:rPr>
          <w:rFonts w:ascii="Arial" w:hAnsi="Arial" w:cs="Arial"/>
        </w:rPr>
        <w:t>2019, a Eletrobras aprovou, por meio da Resolução nº RES-048/2019 de sua Diretoria Executiva, ratificada pelo seu Conselho de Administração por meio da Deliberação nº DEL-026/2019 em 22</w:t>
      </w:r>
      <w:r w:rsidR="00555CDF" w:rsidRPr="00F45A1F">
        <w:rPr>
          <w:rFonts w:ascii="Arial" w:hAnsi="Arial" w:cs="Arial"/>
        </w:rPr>
        <w:t xml:space="preserve"> de fevereiro de </w:t>
      </w:r>
      <w:r w:rsidRPr="00F45A1F">
        <w:rPr>
          <w:rFonts w:ascii="Arial" w:hAnsi="Arial" w:cs="Arial"/>
        </w:rPr>
        <w:t>2019, que delegou poderes à Diretoria Executiva da Eletrobras, condicionada à avaliação do fluxo de caixa da ELETRONUCLEAR, de nova linha de financiamento no valor de R$ 164</w:t>
      </w:r>
      <w:r w:rsidR="002F72D5" w:rsidRPr="00F45A1F">
        <w:rPr>
          <w:rFonts w:ascii="Arial" w:hAnsi="Arial" w:cs="Arial"/>
        </w:rPr>
        <w:t>.000</w:t>
      </w:r>
      <w:r w:rsidR="00D453D8" w:rsidRPr="00F45A1F">
        <w:rPr>
          <w:rFonts w:ascii="Arial" w:hAnsi="Arial" w:cs="Arial"/>
        </w:rPr>
        <w:t>,</w:t>
      </w:r>
      <w:r w:rsidRPr="00F45A1F">
        <w:rPr>
          <w:rFonts w:ascii="Arial" w:hAnsi="Arial" w:cs="Arial"/>
        </w:rPr>
        <w:t xml:space="preserve"> em valores líquidos de IOF, nas mesmas condições do Contrato nº ECF-3370/18. </w:t>
      </w:r>
    </w:p>
    <w:p w14:paraId="682A39E5" w14:textId="77777777" w:rsidR="0016041A" w:rsidRPr="00F45A1F" w:rsidRDefault="0016041A" w:rsidP="005144E2">
      <w:pPr>
        <w:jc w:val="both"/>
        <w:rPr>
          <w:rFonts w:ascii="Arial" w:hAnsi="Arial" w:cs="Arial"/>
        </w:rPr>
      </w:pPr>
    </w:p>
    <w:p w14:paraId="36FC0426" w14:textId="77777777" w:rsidR="0016041A" w:rsidRPr="00F45A1F" w:rsidRDefault="0016041A" w:rsidP="005144E2">
      <w:pPr>
        <w:jc w:val="both"/>
        <w:rPr>
          <w:rFonts w:ascii="Arial" w:hAnsi="Arial" w:cs="Arial"/>
        </w:rPr>
      </w:pPr>
      <w:r w:rsidRPr="00F45A1F">
        <w:rPr>
          <w:rFonts w:ascii="Arial" w:hAnsi="Arial" w:cs="Arial"/>
        </w:rPr>
        <w:t>Em 29</w:t>
      </w:r>
      <w:r w:rsidR="00A05C63" w:rsidRPr="00F45A1F">
        <w:rPr>
          <w:rFonts w:ascii="Arial" w:hAnsi="Arial" w:cs="Arial"/>
        </w:rPr>
        <w:t xml:space="preserve"> de abril de 20</w:t>
      </w:r>
      <w:r w:rsidRPr="00F45A1F">
        <w:rPr>
          <w:rFonts w:ascii="Arial" w:hAnsi="Arial" w:cs="Arial"/>
        </w:rPr>
        <w:t>19, a Diretoria Executiva da Eletrobras, por meio da Resolução nº RES-061/2019, aprovou a efetiva assinatura do contrato de financiamento no valor bruto de R$ 164</w:t>
      </w:r>
      <w:r w:rsidR="002F72D5" w:rsidRPr="00F45A1F">
        <w:rPr>
          <w:rFonts w:ascii="Arial" w:hAnsi="Arial" w:cs="Arial"/>
        </w:rPr>
        <w:t>.000</w:t>
      </w:r>
      <w:r w:rsidRPr="00F45A1F">
        <w:rPr>
          <w:rFonts w:ascii="Arial" w:hAnsi="Arial" w:cs="Arial"/>
        </w:rPr>
        <w:t xml:space="preserve">, em valores líquidos de IOF, sob o Contrato de Financiamento nº ECF-3374/19. </w:t>
      </w:r>
    </w:p>
    <w:p w14:paraId="7D37E63D" w14:textId="77777777" w:rsidR="0016041A" w:rsidRPr="00F45A1F" w:rsidRDefault="0016041A" w:rsidP="005144E2">
      <w:pPr>
        <w:jc w:val="both"/>
        <w:rPr>
          <w:rFonts w:ascii="Arial" w:hAnsi="Arial" w:cs="Arial"/>
        </w:rPr>
      </w:pPr>
    </w:p>
    <w:p w14:paraId="6488BA74" w14:textId="77777777" w:rsidR="0016041A" w:rsidRPr="00F45A1F" w:rsidRDefault="0016041A" w:rsidP="005144E2">
      <w:pPr>
        <w:widowControl/>
        <w:tabs>
          <w:tab w:val="num" w:pos="360"/>
        </w:tabs>
        <w:jc w:val="both"/>
        <w:rPr>
          <w:rFonts w:ascii="Arial" w:hAnsi="Arial" w:cs="Arial"/>
        </w:rPr>
      </w:pPr>
      <w:r w:rsidRPr="00F45A1F">
        <w:rPr>
          <w:rFonts w:ascii="Arial" w:hAnsi="Arial" w:cs="Arial"/>
        </w:rPr>
        <w:t>Em 08</w:t>
      </w:r>
      <w:r w:rsidR="00A05C63" w:rsidRPr="00F45A1F">
        <w:rPr>
          <w:rFonts w:ascii="Arial" w:hAnsi="Arial" w:cs="Arial"/>
        </w:rPr>
        <w:t xml:space="preserve"> de maio de </w:t>
      </w:r>
      <w:r w:rsidRPr="00F45A1F">
        <w:rPr>
          <w:rFonts w:ascii="Arial" w:hAnsi="Arial" w:cs="Arial"/>
        </w:rPr>
        <w:t>2019, houve a liberação da primeira parcela do contrato nº ECF-3374/19, no valor de R$ 101</w:t>
      </w:r>
      <w:r w:rsidR="002F72D5" w:rsidRPr="00F45A1F">
        <w:rPr>
          <w:rFonts w:ascii="Arial" w:hAnsi="Arial" w:cs="Arial"/>
        </w:rPr>
        <w:t>.916</w:t>
      </w:r>
      <w:r w:rsidRPr="00F45A1F">
        <w:rPr>
          <w:rFonts w:ascii="Arial" w:hAnsi="Arial" w:cs="Arial"/>
        </w:rPr>
        <w:t>, que em valores líquidos de IOF</w:t>
      </w:r>
      <w:r w:rsidR="00192FDF" w:rsidRPr="00F45A1F">
        <w:rPr>
          <w:rFonts w:ascii="Arial" w:hAnsi="Arial" w:cs="Arial"/>
        </w:rPr>
        <w:t>,</w:t>
      </w:r>
      <w:r w:rsidRPr="00F45A1F">
        <w:rPr>
          <w:rFonts w:ascii="Arial" w:hAnsi="Arial" w:cs="Arial"/>
        </w:rPr>
        <w:t xml:space="preserve"> totalizou R$ 100</w:t>
      </w:r>
      <w:r w:rsidR="002F72D5" w:rsidRPr="00F45A1F">
        <w:rPr>
          <w:rFonts w:ascii="Arial" w:hAnsi="Arial" w:cs="Arial"/>
        </w:rPr>
        <w:t>.000</w:t>
      </w:r>
      <w:r w:rsidRPr="00F45A1F">
        <w:rPr>
          <w:rFonts w:ascii="Arial" w:hAnsi="Arial" w:cs="Arial"/>
        </w:rPr>
        <w:t xml:space="preserve">, mediante solicitação de desembolso enviada pela ELETRONUCLEAR. </w:t>
      </w:r>
    </w:p>
    <w:p w14:paraId="6C65DD90" w14:textId="77777777" w:rsidR="0016041A" w:rsidRPr="00F45A1F" w:rsidRDefault="0016041A" w:rsidP="005144E2">
      <w:pPr>
        <w:jc w:val="both"/>
        <w:rPr>
          <w:rFonts w:ascii="Arial" w:hAnsi="Arial" w:cs="Arial"/>
        </w:rPr>
      </w:pPr>
    </w:p>
    <w:p w14:paraId="1AF1CCF5" w14:textId="77777777" w:rsidR="0016041A" w:rsidRPr="00F45A1F" w:rsidRDefault="0016041A" w:rsidP="005144E2">
      <w:pPr>
        <w:widowControl/>
        <w:tabs>
          <w:tab w:val="num" w:pos="360"/>
        </w:tabs>
        <w:jc w:val="both"/>
        <w:rPr>
          <w:rFonts w:ascii="Arial" w:hAnsi="Arial" w:cs="Arial"/>
        </w:rPr>
      </w:pPr>
      <w:r w:rsidRPr="00F45A1F">
        <w:rPr>
          <w:rFonts w:ascii="Arial" w:hAnsi="Arial" w:cs="Arial"/>
        </w:rPr>
        <w:t>Em 28</w:t>
      </w:r>
      <w:r w:rsidR="00A05C63" w:rsidRPr="00F45A1F">
        <w:rPr>
          <w:rFonts w:ascii="Arial" w:hAnsi="Arial" w:cs="Arial"/>
        </w:rPr>
        <w:t xml:space="preserve"> de junho de </w:t>
      </w:r>
      <w:r w:rsidRPr="00F45A1F">
        <w:rPr>
          <w:rFonts w:ascii="Arial" w:hAnsi="Arial" w:cs="Arial"/>
        </w:rPr>
        <w:t>201</w:t>
      </w:r>
      <w:r w:rsidR="002328D0" w:rsidRPr="00F45A1F">
        <w:rPr>
          <w:rFonts w:ascii="Arial" w:hAnsi="Arial" w:cs="Arial"/>
        </w:rPr>
        <w:t>9</w:t>
      </w:r>
      <w:r w:rsidRPr="00F45A1F">
        <w:rPr>
          <w:rFonts w:ascii="Arial" w:hAnsi="Arial" w:cs="Arial"/>
        </w:rPr>
        <w:t>, houve a liberação da segunda e última parcela do contrato nº ECF-3374/19, no valor de R$ 65</w:t>
      </w:r>
      <w:r w:rsidR="008C2FBE" w:rsidRPr="00F45A1F">
        <w:rPr>
          <w:rFonts w:ascii="Arial" w:hAnsi="Arial" w:cs="Arial"/>
        </w:rPr>
        <w:t>.266</w:t>
      </w:r>
      <w:r w:rsidRPr="00F45A1F">
        <w:rPr>
          <w:rFonts w:ascii="Arial" w:hAnsi="Arial" w:cs="Arial"/>
        </w:rPr>
        <w:t>, que em valores líquidos de IOF</w:t>
      </w:r>
      <w:r w:rsidR="00192FDF" w:rsidRPr="00F45A1F">
        <w:rPr>
          <w:rFonts w:ascii="Arial" w:hAnsi="Arial" w:cs="Arial"/>
        </w:rPr>
        <w:t>,</w:t>
      </w:r>
      <w:r w:rsidRPr="00F45A1F">
        <w:rPr>
          <w:rFonts w:ascii="Arial" w:hAnsi="Arial" w:cs="Arial"/>
        </w:rPr>
        <w:t xml:space="preserve"> totalizou R$ 64</w:t>
      </w:r>
      <w:r w:rsidR="008C2FBE" w:rsidRPr="00F45A1F">
        <w:rPr>
          <w:rFonts w:ascii="Arial" w:hAnsi="Arial" w:cs="Arial"/>
        </w:rPr>
        <w:t>.000</w:t>
      </w:r>
      <w:r w:rsidRPr="00F45A1F">
        <w:rPr>
          <w:rFonts w:ascii="Arial" w:hAnsi="Arial" w:cs="Arial"/>
        </w:rPr>
        <w:t xml:space="preserve">, mediante solicitação de desembolso enviada pela ELETRONUCLEAR. </w:t>
      </w:r>
    </w:p>
    <w:p w14:paraId="49509F5B" w14:textId="77777777" w:rsidR="00B223D4" w:rsidRPr="00F45A1F" w:rsidRDefault="00B223D4" w:rsidP="005144E2">
      <w:pPr>
        <w:widowControl/>
        <w:tabs>
          <w:tab w:val="num" w:pos="360"/>
        </w:tabs>
        <w:jc w:val="both"/>
        <w:rPr>
          <w:rFonts w:ascii="Arial" w:hAnsi="Arial" w:cs="Arial"/>
          <w:b/>
        </w:rPr>
      </w:pPr>
    </w:p>
    <w:p w14:paraId="34FE436C" w14:textId="77777777" w:rsidR="0016041A" w:rsidRPr="00F45A1F" w:rsidRDefault="0016041A" w:rsidP="005144E2">
      <w:pPr>
        <w:widowControl/>
        <w:tabs>
          <w:tab w:val="num" w:pos="360"/>
        </w:tabs>
        <w:jc w:val="both"/>
        <w:rPr>
          <w:rFonts w:ascii="Arial" w:hAnsi="Arial" w:cs="Arial"/>
          <w:b/>
        </w:rPr>
      </w:pPr>
      <w:r w:rsidRPr="00F45A1F">
        <w:rPr>
          <w:rFonts w:ascii="Arial" w:hAnsi="Arial" w:cs="Arial"/>
          <w:b/>
        </w:rPr>
        <w:t>Reestruturação do Serviço da Dívida</w:t>
      </w:r>
    </w:p>
    <w:p w14:paraId="196D4627" w14:textId="77777777" w:rsidR="0016041A" w:rsidRPr="00F45A1F" w:rsidRDefault="0016041A" w:rsidP="005144E2">
      <w:pPr>
        <w:widowControl/>
        <w:tabs>
          <w:tab w:val="num" w:pos="360"/>
        </w:tabs>
        <w:jc w:val="both"/>
        <w:rPr>
          <w:rFonts w:ascii="Arial" w:hAnsi="Arial" w:cs="Arial"/>
          <w:b/>
        </w:rPr>
      </w:pPr>
    </w:p>
    <w:p w14:paraId="1028F753" w14:textId="182D6DF4" w:rsidR="0016041A" w:rsidRPr="00F45A1F" w:rsidRDefault="0016041A" w:rsidP="005144E2">
      <w:pPr>
        <w:widowControl/>
        <w:tabs>
          <w:tab w:val="num" w:pos="360"/>
        </w:tabs>
        <w:jc w:val="both"/>
        <w:rPr>
          <w:rFonts w:ascii="Arial" w:hAnsi="Arial" w:cs="Arial"/>
        </w:rPr>
      </w:pPr>
      <w:r w:rsidRPr="00F45A1F">
        <w:rPr>
          <w:rFonts w:ascii="Arial" w:hAnsi="Arial" w:cs="Arial"/>
        </w:rPr>
        <w:t>Em 17</w:t>
      </w:r>
      <w:r w:rsidR="00787860">
        <w:rPr>
          <w:rFonts w:ascii="Arial" w:hAnsi="Arial" w:cs="Arial"/>
        </w:rPr>
        <w:t xml:space="preserve"> </w:t>
      </w:r>
      <w:r w:rsidR="00593EB4" w:rsidRPr="00F45A1F">
        <w:rPr>
          <w:rFonts w:ascii="Arial" w:hAnsi="Arial" w:cs="Arial"/>
        </w:rPr>
        <w:t xml:space="preserve">de </w:t>
      </w:r>
      <w:r w:rsidR="00F34FD9" w:rsidRPr="00F45A1F">
        <w:rPr>
          <w:rFonts w:ascii="Arial" w:hAnsi="Arial" w:cs="Arial"/>
        </w:rPr>
        <w:t xml:space="preserve">junho de </w:t>
      </w:r>
      <w:r w:rsidRPr="00F45A1F">
        <w:rPr>
          <w:rFonts w:ascii="Arial" w:hAnsi="Arial" w:cs="Arial"/>
        </w:rPr>
        <w:t>2019, a Eletrobras aprovou, por meio da Resolução nº RES-412/2019 de sua Diretoria Executiva, ratificada pelo seu Conselho de Administração por meio da Deliberação nº DEL-135/2019 em 27</w:t>
      </w:r>
      <w:r w:rsidR="00996CFF" w:rsidRPr="00F45A1F">
        <w:rPr>
          <w:rFonts w:ascii="Arial" w:hAnsi="Arial" w:cs="Arial"/>
        </w:rPr>
        <w:t xml:space="preserve"> de junho de 2019</w:t>
      </w:r>
      <w:r w:rsidRPr="00F45A1F">
        <w:rPr>
          <w:rFonts w:ascii="Arial" w:hAnsi="Arial" w:cs="Arial"/>
        </w:rPr>
        <w:t xml:space="preserve"> a suspensão da exigibilidade do principal, sem incorporação dos juros, dos contratos ECR-286/14, ECF-3278/15, ECF-3284/16, ECF-3341/17, ECF-3347/17, ECF-3367/18 e ECF-3370/18, durante o período de 30</w:t>
      </w:r>
      <w:r w:rsidR="00BC46FA" w:rsidRPr="00F45A1F">
        <w:rPr>
          <w:rFonts w:ascii="Arial" w:hAnsi="Arial" w:cs="Arial"/>
        </w:rPr>
        <w:t>/06/</w:t>
      </w:r>
      <w:r w:rsidRPr="00F45A1F">
        <w:rPr>
          <w:rFonts w:ascii="Arial" w:hAnsi="Arial" w:cs="Arial"/>
        </w:rPr>
        <w:t>2019 a 31</w:t>
      </w:r>
      <w:r w:rsidR="00BC46FA" w:rsidRPr="00F45A1F">
        <w:rPr>
          <w:rFonts w:ascii="Arial" w:hAnsi="Arial" w:cs="Arial"/>
        </w:rPr>
        <w:t>/</w:t>
      </w:r>
      <w:r w:rsidRPr="00F45A1F">
        <w:rPr>
          <w:rFonts w:ascii="Arial" w:hAnsi="Arial" w:cs="Arial"/>
        </w:rPr>
        <w:t>12</w:t>
      </w:r>
      <w:r w:rsidR="00BC46FA" w:rsidRPr="00F45A1F">
        <w:rPr>
          <w:rFonts w:ascii="Arial" w:hAnsi="Arial" w:cs="Arial"/>
        </w:rPr>
        <w:t>/</w:t>
      </w:r>
      <w:r w:rsidRPr="00F45A1F">
        <w:rPr>
          <w:rFonts w:ascii="Arial" w:hAnsi="Arial" w:cs="Arial"/>
        </w:rPr>
        <w:t xml:space="preserve">2019, mantendo todas as demais cláusulas contratuais. </w:t>
      </w:r>
    </w:p>
    <w:p w14:paraId="0EA4E4A0" w14:textId="77777777" w:rsidR="0069006A" w:rsidRPr="00F45A1F" w:rsidRDefault="0069006A" w:rsidP="005144E2">
      <w:pPr>
        <w:widowControl/>
        <w:tabs>
          <w:tab w:val="num" w:pos="360"/>
        </w:tabs>
        <w:jc w:val="both"/>
        <w:rPr>
          <w:rFonts w:ascii="Arial" w:hAnsi="Arial" w:cs="Arial"/>
        </w:rPr>
      </w:pPr>
    </w:p>
    <w:p w14:paraId="66E38DD0" w14:textId="77777777" w:rsidR="00AA5E48" w:rsidRPr="00F45A1F" w:rsidRDefault="00AA5E48" w:rsidP="00AA5E48">
      <w:pPr>
        <w:widowControl/>
        <w:tabs>
          <w:tab w:val="num" w:pos="360"/>
        </w:tabs>
        <w:jc w:val="both"/>
        <w:rPr>
          <w:rFonts w:ascii="Arial" w:hAnsi="Arial" w:cs="Arial"/>
          <w:color w:val="000000" w:themeColor="text1"/>
        </w:rPr>
      </w:pPr>
      <w:r w:rsidRPr="00F45A1F">
        <w:rPr>
          <w:rFonts w:ascii="Arial" w:hAnsi="Arial" w:cs="Arial"/>
          <w:color w:val="000000" w:themeColor="text1"/>
        </w:rPr>
        <w:t>Em 21 de janeiro de 2020, a Eletrobras aprovou, por meio da Resolução nº RES-041/2020 de sua Diretoria Executiva, que havia recebido delegação de poderes do Conselho de Administração por meio da Deliberação nº DEL-135/2019 em 27 de junho de 2019, a manutenção da suspensão da exigibilidade do principal, sem incorporação dos juros, dos contratos ECR-286/14, ECF-3278/15, ECF-3284/16, ECF-3341/17, ECF-3347/17, ECF-3367/18 e ECF-3370/18, durante o período de 30/01/2020 a 30/06/2020, mantendo todas as demais cláusulas contratuais.</w:t>
      </w:r>
    </w:p>
    <w:p w14:paraId="42C44D8A" w14:textId="77777777" w:rsidR="00AA5E48" w:rsidRPr="00F45A1F" w:rsidRDefault="00AA5E48" w:rsidP="00AA5E48">
      <w:pPr>
        <w:widowControl/>
        <w:tabs>
          <w:tab w:val="num" w:pos="360"/>
        </w:tabs>
        <w:jc w:val="both"/>
        <w:rPr>
          <w:rFonts w:ascii="Arial" w:hAnsi="Arial" w:cs="Arial"/>
          <w:color w:val="000000" w:themeColor="text1"/>
        </w:rPr>
      </w:pPr>
    </w:p>
    <w:p w14:paraId="7FDF6CF6" w14:textId="77777777" w:rsidR="00AA5E48" w:rsidRPr="00F45A1F" w:rsidRDefault="00AA5E48" w:rsidP="00AA5E48">
      <w:pPr>
        <w:widowControl/>
        <w:tabs>
          <w:tab w:val="num" w:pos="360"/>
        </w:tabs>
        <w:jc w:val="both"/>
        <w:rPr>
          <w:rFonts w:ascii="Arial" w:hAnsi="Arial" w:cs="Arial"/>
          <w:color w:val="000000" w:themeColor="text1"/>
        </w:rPr>
      </w:pPr>
      <w:r w:rsidRPr="00F45A1F">
        <w:rPr>
          <w:rFonts w:ascii="Arial" w:hAnsi="Arial" w:cs="Arial"/>
          <w:color w:val="000000" w:themeColor="text1"/>
        </w:rPr>
        <w:t>No final do mês de março o BNDES anunciou uma série de medidas de apoio emergencial para as empresas brasileiras com objetivo de reduzir os impactos econômicos e financeiro</w:t>
      </w:r>
      <w:r w:rsidR="00EA21AE" w:rsidRPr="00F45A1F">
        <w:rPr>
          <w:rFonts w:ascii="Arial" w:hAnsi="Arial" w:cs="Arial"/>
          <w:color w:val="000000" w:themeColor="text1"/>
        </w:rPr>
        <w:t xml:space="preserve">s </w:t>
      </w:r>
      <w:r w:rsidRPr="00F45A1F">
        <w:rPr>
          <w:rFonts w:ascii="Arial" w:hAnsi="Arial" w:cs="Arial"/>
          <w:color w:val="000000" w:themeColor="text1"/>
        </w:rPr>
        <w:t xml:space="preserve">da crise gerada por conta da pandemia do novo </w:t>
      </w:r>
      <w:proofErr w:type="spellStart"/>
      <w:r w:rsidRPr="00F45A1F">
        <w:rPr>
          <w:rFonts w:ascii="Arial" w:hAnsi="Arial" w:cs="Arial"/>
          <w:color w:val="000000" w:themeColor="text1"/>
        </w:rPr>
        <w:t>coronavírus</w:t>
      </w:r>
      <w:proofErr w:type="spellEnd"/>
      <w:r w:rsidRPr="00F45A1F">
        <w:rPr>
          <w:rFonts w:ascii="Arial" w:hAnsi="Arial" w:cs="Arial"/>
          <w:color w:val="000000" w:themeColor="text1"/>
        </w:rPr>
        <w:t>. Uma das medidas aprovadas pelo banco foi a possibilidade de concessão da suspensão temporária (“</w:t>
      </w:r>
      <w:proofErr w:type="spellStart"/>
      <w:r w:rsidRPr="00F45A1F">
        <w:rPr>
          <w:rFonts w:ascii="Arial" w:hAnsi="Arial" w:cs="Arial"/>
          <w:i/>
          <w:color w:val="000000" w:themeColor="text1"/>
        </w:rPr>
        <w:t>standstill</w:t>
      </w:r>
      <w:proofErr w:type="spellEnd"/>
      <w:r w:rsidRPr="00F45A1F">
        <w:rPr>
          <w:rFonts w:ascii="Arial" w:hAnsi="Arial" w:cs="Arial"/>
          <w:color w:val="000000" w:themeColor="text1"/>
        </w:rPr>
        <w:t>”) pelo prazo de até seis meses do pagamento do serviço da dívida (principal e juros remuneratórios) na modalidade direta, no qual se enquadra o Contrato de Financiamento nº 10.2.2032.1, firmado pela ELETRONUCLEAR com o BNDES. Conforme as condições estabelecidas pelo banco no comunicado realizado, os juros suspensos serão capitalizados ao saldo devedor do contrato, sem alteração da data final do contrato.</w:t>
      </w:r>
    </w:p>
    <w:p w14:paraId="396424A9" w14:textId="77777777" w:rsidR="00AA5E48" w:rsidRPr="00F45A1F" w:rsidRDefault="00AA5E48" w:rsidP="00AA5E48">
      <w:pPr>
        <w:widowControl/>
        <w:tabs>
          <w:tab w:val="num" w:pos="360"/>
        </w:tabs>
        <w:jc w:val="both"/>
        <w:rPr>
          <w:rFonts w:ascii="Arial" w:hAnsi="Arial" w:cs="Arial"/>
          <w:color w:val="000000" w:themeColor="text1"/>
        </w:rPr>
      </w:pPr>
    </w:p>
    <w:p w14:paraId="6DB0DA94" w14:textId="6ED9C431" w:rsidR="00776FEF" w:rsidRPr="00837D5A" w:rsidRDefault="00AA5E48" w:rsidP="00200443">
      <w:pPr>
        <w:widowControl/>
        <w:tabs>
          <w:tab w:val="num" w:pos="360"/>
        </w:tabs>
        <w:jc w:val="both"/>
        <w:rPr>
          <w:rFonts w:ascii="Arial" w:hAnsi="Arial" w:cs="Arial"/>
          <w:color w:val="000000" w:themeColor="text1"/>
        </w:rPr>
      </w:pPr>
      <w:r w:rsidRPr="00F45A1F">
        <w:rPr>
          <w:rFonts w:ascii="Arial" w:hAnsi="Arial" w:cs="Arial"/>
          <w:color w:val="000000" w:themeColor="text1"/>
        </w:rPr>
        <w:t>Em 2</w:t>
      </w:r>
      <w:r w:rsidR="00776FEF">
        <w:rPr>
          <w:rFonts w:ascii="Arial" w:hAnsi="Arial" w:cs="Arial"/>
          <w:color w:val="000000" w:themeColor="text1"/>
        </w:rPr>
        <w:t>6</w:t>
      </w:r>
      <w:r w:rsidRPr="00F45A1F">
        <w:rPr>
          <w:rFonts w:ascii="Arial" w:hAnsi="Arial" w:cs="Arial"/>
          <w:color w:val="000000" w:themeColor="text1"/>
        </w:rPr>
        <w:t xml:space="preserve"> de março de 2020, a ELETRONUCLEAR efetivou a solicitação da suspensão por meio do preenchimento</w:t>
      </w:r>
      <w:r w:rsidR="00776FEF">
        <w:rPr>
          <w:rFonts w:ascii="Arial" w:hAnsi="Arial" w:cs="Arial"/>
          <w:color w:val="000000" w:themeColor="text1"/>
        </w:rPr>
        <w:t xml:space="preserve"> de</w:t>
      </w:r>
      <w:r w:rsidRPr="00F45A1F">
        <w:rPr>
          <w:rFonts w:ascii="Arial" w:hAnsi="Arial" w:cs="Arial"/>
          <w:color w:val="000000" w:themeColor="text1"/>
        </w:rPr>
        <w:t xml:space="preserve"> formulário eletrônico disponibilizado no site do BNDES. </w:t>
      </w:r>
      <w:r w:rsidR="00200443">
        <w:rPr>
          <w:rFonts w:ascii="Arial" w:hAnsi="Arial" w:cs="Arial"/>
          <w:color w:val="000000" w:themeColor="text1"/>
        </w:rPr>
        <w:t>O pedido foi aprovado</w:t>
      </w:r>
      <w:r w:rsidR="00776FEF">
        <w:rPr>
          <w:rFonts w:ascii="Arial" w:hAnsi="Arial" w:cs="Arial"/>
          <w:color w:val="000000" w:themeColor="text1"/>
        </w:rPr>
        <w:t xml:space="preserve">, conforme </w:t>
      </w:r>
      <w:r w:rsidR="00200443">
        <w:rPr>
          <w:rFonts w:ascii="Arial" w:hAnsi="Arial" w:cs="Arial"/>
          <w:color w:val="000000" w:themeColor="text1"/>
        </w:rPr>
        <w:t xml:space="preserve">informado na </w:t>
      </w:r>
      <w:r w:rsidR="00776FEF">
        <w:rPr>
          <w:rFonts w:ascii="Arial" w:hAnsi="Arial" w:cs="Arial"/>
          <w:color w:val="000000" w:themeColor="text1"/>
        </w:rPr>
        <w:t>nota 39 – Eventos Subsequentes.</w:t>
      </w:r>
    </w:p>
    <w:p w14:paraId="73177AC2" w14:textId="77777777" w:rsidR="00776FEF" w:rsidRDefault="00776FEF" w:rsidP="00AA5E48">
      <w:pPr>
        <w:widowControl/>
        <w:tabs>
          <w:tab w:val="num" w:pos="360"/>
        </w:tabs>
        <w:jc w:val="both"/>
        <w:rPr>
          <w:rFonts w:ascii="Arial" w:hAnsi="Arial" w:cs="Arial"/>
          <w:color w:val="000000" w:themeColor="text1"/>
        </w:rPr>
      </w:pPr>
    </w:p>
    <w:p w14:paraId="3062B2B8" w14:textId="77777777" w:rsidR="00105752" w:rsidRDefault="00105752" w:rsidP="00AA5E48">
      <w:pPr>
        <w:widowControl/>
        <w:tabs>
          <w:tab w:val="num" w:pos="360"/>
        </w:tabs>
        <w:jc w:val="both"/>
        <w:rPr>
          <w:rFonts w:ascii="Arial" w:hAnsi="Arial" w:cs="Arial"/>
          <w:color w:val="000000" w:themeColor="text1"/>
        </w:rPr>
      </w:pPr>
    </w:p>
    <w:p w14:paraId="49CF0D45" w14:textId="77777777" w:rsidR="0091559B" w:rsidRDefault="0091559B" w:rsidP="00AA5E48">
      <w:pPr>
        <w:widowControl/>
        <w:tabs>
          <w:tab w:val="num" w:pos="360"/>
        </w:tabs>
        <w:jc w:val="both"/>
        <w:rPr>
          <w:rFonts w:ascii="Arial" w:hAnsi="Arial" w:cs="Arial"/>
          <w:color w:val="000000" w:themeColor="text1"/>
        </w:rPr>
      </w:pPr>
    </w:p>
    <w:p w14:paraId="273CE7A9" w14:textId="77777777" w:rsidR="0091559B" w:rsidRDefault="0091559B" w:rsidP="00AA5E48">
      <w:pPr>
        <w:widowControl/>
        <w:tabs>
          <w:tab w:val="num" w:pos="360"/>
        </w:tabs>
        <w:jc w:val="both"/>
        <w:rPr>
          <w:rFonts w:ascii="Arial" w:hAnsi="Arial" w:cs="Arial"/>
          <w:color w:val="000000" w:themeColor="text1"/>
        </w:rPr>
      </w:pPr>
    </w:p>
    <w:p w14:paraId="66CD5132" w14:textId="77777777" w:rsidR="00776FEF" w:rsidRPr="00F45A1F" w:rsidRDefault="00776FEF" w:rsidP="00AA5E48">
      <w:pPr>
        <w:widowControl/>
        <w:tabs>
          <w:tab w:val="num" w:pos="360"/>
        </w:tabs>
        <w:jc w:val="both"/>
        <w:rPr>
          <w:rFonts w:ascii="Arial" w:hAnsi="Arial" w:cs="Arial"/>
          <w:color w:val="000000" w:themeColor="text1"/>
        </w:rPr>
      </w:pPr>
    </w:p>
    <w:p w14:paraId="7AF38231" w14:textId="77777777" w:rsidR="0069006A" w:rsidRPr="00F45A1F" w:rsidRDefault="0069006A" w:rsidP="005144E2">
      <w:pPr>
        <w:widowControl/>
        <w:tabs>
          <w:tab w:val="num" w:pos="360"/>
        </w:tabs>
        <w:jc w:val="both"/>
        <w:rPr>
          <w:rFonts w:ascii="Arial" w:hAnsi="Arial" w:cs="Arial"/>
          <w:b/>
        </w:rPr>
      </w:pPr>
      <w:r w:rsidRPr="00F45A1F">
        <w:rPr>
          <w:rFonts w:ascii="Arial" w:hAnsi="Arial" w:cs="Arial"/>
          <w:b/>
        </w:rPr>
        <w:t>Confissão de Dívida</w:t>
      </w:r>
    </w:p>
    <w:p w14:paraId="6AD69359" w14:textId="77777777" w:rsidR="0069006A" w:rsidRPr="00F45A1F" w:rsidRDefault="0069006A" w:rsidP="005144E2">
      <w:pPr>
        <w:widowControl/>
        <w:tabs>
          <w:tab w:val="num" w:pos="360"/>
        </w:tabs>
        <w:jc w:val="both"/>
        <w:rPr>
          <w:rFonts w:ascii="Arial" w:hAnsi="Arial" w:cs="Arial"/>
          <w:b/>
        </w:rPr>
      </w:pPr>
    </w:p>
    <w:p w14:paraId="44DFBFC8" w14:textId="77777777" w:rsidR="0069006A" w:rsidRPr="00F45A1F" w:rsidRDefault="0069006A" w:rsidP="005144E2">
      <w:pPr>
        <w:widowControl/>
        <w:tabs>
          <w:tab w:val="num" w:pos="360"/>
        </w:tabs>
        <w:jc w:val="both"/>
        <w:rPr>
          <w:rFonts w:ascii="Arial" w:hAnsi="Arial" w:cs="Arial"/>
        </w:rPr>
      </w:pPr>
      <w:r w:rsidRPr="00F45A1F">
        <w:rPr>
          <w:rFonts w:ascii="Arial" w:hAnsi="Arial" w:cs="Arial"/>
        </w:rPr>
        <w:t>Em 30</w:t>
      </w:r>
      <w:r w:rsidR="00886446" w:rsidRPr="00F45A1F">
        <w:rPr>
          <w:rFonts w:ascii="Arial" w:hAnsi="Arial" w:cs="Arial"/>
        </w:rPr>
        <w:t xml:space="preserve"> de outubro de </w:t>
      </w:r>
      <w:r w:rsidRPr="00F45A1F">
        <w:rPr>
          <w:rFonts w:ascii="Arial" w:hAnsi="Arial" w:cs="Arial"/>
        </w:rPr>
        <w:t>2019 foi celebrado pela ELETRONUCLEAR e por Furnas Centrais Elétricas S.A. o Instrumento Particular de Confissão de Dívida e Outras Avenças – 001/2019, por meio do qual as duas partes reconhecem a existência de créditos pendentes</w:t>
      </w:r>
      <w:r w:rsidR="00593EB4" w:rsidRPr="00F45A1F">
        <w:rPr>
          <w:rFonts w:ascii="Arial" w:hAnsi="Arial" w:cs="Arial"/>
        </w:rPr>
        <w:t xml:space="preserve"> uma</w:t>
      </w:r>
      <w:r w:rsidRPr="00F45A1F">
        <w:rPr>
          <w:rFonts w:ascii="Arial" w:hAnsi="Arial" w:cs="Arial"/>
        </w:rPr>
        <w:t xml:space="preserve"> com a outra, que após compensação dos valores somam um crédito líquido em favor de Furnas no montante de R$ 122.560, atualizado à data de 31</w:t>
      </w:r>
      <w:r w:rsidR="00886446" w:rsidRPr="00F45A1F">
        <w:rPr>
          <w:rFonts w:ascii="Arial" w:hAnsi="Arial" w:cs="Arial"/>
        </w:rPr>
        <w:t xml:space="preserve"> de dezembro de </w:t>
      </w:r>
      <w:r w:rsidRPr="00F45A1F">
        <w:rPr>
          <w:rFonts w:ascii="Arial" w:hAnsi="Arial" w:cs="Arial"/>
        </w:rPr>
        <w:t xml:space="preserve">2012. Este montante devido pela ELETRONUCLEAR, atualizado </w:t>
      </w:r>
      <w:r w:rsidR="00593EB4" w:rsidRPr="00F45A1F">
        <w:rPr>
          <w:rFonts w:ascii="Arial" w:hAnsi="Arial" w:cs="Arial"/>
        </w:rPr>
        <w:t>em</w:t>
      </w:r>
      <w:r w:rsidRPr="00F45A1F">
        <w:rPr>
          <w:rFonts w:ascii="Arial" w:hAnsi="Arial" w:cs="Arial"/>
        </w:rPr>
        <w:t xml:space="preserve"> 31</w:t>
      </w:r>
      <w:r w:rsidR="007E15E9" w:rsidRPr="00F45A1F">
        <w:rPr>
          <w:rFonts w:ascii="Arial" w:hAnsi="Arial" w:cs="Arial"/>
        </w:rPr>
        <w:t xml:space="preserve"> de dezembro </w:t>
      </w:r>
      <w:r w:rsidRPr="00F45A1F">
        <w:rPr>
          <w:rFonts w:ascii="Arial" w:hAnsi="Arial" w:cs="Arial"/>
        </w:rPr>
        <w:t>2018, totalizava R$ 246.142.</w:t>
      </w:r>
    </w:p>
    <w:p w14:paraId="56CD3EA3" w14:textId="77777777" w:rsidR="00C61D3A" w:rsidRPr="00F45A1F" w:rsidRDefault="00C61D3A" w:rsidP="005144E2">
      <w:pPr>
        <w:widowControl/>
        <w:tabs>
          <w:tab w:val="num" w:pos="360"/>
        </w:tabs>
        <w:jc w:val="both"/>
        <w:rPr>
          <w:rFonts w:ascii="Arial" w:hAnsi="Arial" w:cs="Arial"/>
        </w:rPr>
      </w:pPr>
    </w:p>
    <w:p w14:paraId="1AE8CB09" w14:textId="77777777" w:rsidR="0069006A" w:rsidRPr="00F45A1F" w:rsidRDefault="0069006A" w:rsidP="005144E2">
      <w:pPr>
        <w:widowControl/>
        <w:tabs>
          <w:tab w:val="num" w:pos="360"/>
        </w:tabs>
        <w:jc w:val="both"/>
        <w:rPr>
          <w:rFonts w:ascii="Arial" w:hAnsi="Arial" w:cs="Arial"/>
        </w:rPr>
      </w:pPr>
      <w:r w:rsidRPr="00F45A1F">
        <w:rPr>
          <w:rFonts w:ascii="Arial" w:hAnsi="Arial" w:cs="Arial"/>
        </w:rPr>
        <w:t xml:space="preserve">Desta forma, conforme as condições firmadas pelas duas partes no Instrumento firmado, a ELETRONUCLEAR obriga-se a pagar o saldo atualizado, pelo IPCA, da dívida reconhecida em 96 (noventa e seis) parcelas iguais e sucessivas, no Sistema de Amortização Constante </w:t>
      </w:r>
      <w:r w:rsidR="007E15E9" w:rsidRPr="00F45A1F">
        <w:rPr>
          <w:rFonts w:ascii="Arial" w:hAnsi="Arial" w:cs="Arial"/>
        </w:rPr>
        <w:t xml:space="preserve">– </w:t>
      </w:r>
      <w:r w:rsidRPr="00F45A1F">
        <w:rPr>
          <w:rFonts w:ascii="Arial" w:hAnsi="Arial" w:cs="Arial"/>
        </w:rPr>
        <w:t xml:space="preserve">SAC, contados a partir da expiração dos 24 meses de carência do principal que possui início a partir do mês subsequente à assinatura do referido Instrumento de Confissão de Dívida. </w:t>
      </w:r>
    </w:p>
    <w:p w14:paraId="6FC1C73F" w14:textId="77777777" w:rsidR="0069006A" w:rsidRPr="00F45A1F" w:rsidRDefault="0069006A" w:rsidP="005144E2">
      <w:pPr>
        <w:widowControl/>
        <w:tabs>
          <w:tab w:val="num" w:pos="360"/>
        </w:tabs>
        <w:jc w:val="both"/>
        <w:rPr>
          <w:rFonts w:ascii="Arial" w:hAnsi="Arial" w:cs="Arial"/>
        </w:rPr>
      </w:pPr>
    </w:p>
    <w:p w14:paraId="7805B7D1" w14:textId="77777777" w:rsidR="0069006A" w:rsidRPr="00F45A1F" w:rsidRDefault="0069006A" w:rsidP="005144E2">
      <w:pPr>
        <w:widowControl/>
        <w:tabs>
          <w:tab w:val="num" w:pos="360"/>
        </w:tabs>
        <w:jc w:val="both"/>
        <w:rPr>
          <w:rFonts w:ascii="Arial" w:hAnsi="Arial" w:cs="Arial"/>
        </w:rPr>
      </w:pPr>
      <w:r w:rsidRPr="00F45A1F">
        <w:rPr>
          <w:rFonts w:ascii="Arial" w:hAnsi="Arial" w:cs="Arial"/>
        </w:rPr>
        <w:t>A partir da assinatura do referido contrato, sobre o saldo devedor atualizado mensalmente pelo IPCA, incidem juros no montante de 7,83% a.a. e uma taxa de administração de 0,5% a.a.</w:t>
      </w:r>
      <w:r w:rsidR="00D95EA4" w:rsidRPr="00F45A1F">
        <w:rPr>
          <w:rFonts w:ascii="Arial" w:hAnsi="Arial" w:cs="Arial"/>
        </w:rPr>
        <w:t>,</w:t>
      </w:r>
      <w:r w:rsidRPr="00F45A1F">
        <w:rPr>
          <w:rFonts w:ascii="Arial" w:hAnsi="Arial" w:cs="Arial"/>
        </w:rPr>
        <w:t xml:space="preserve"> ambos calculados </w:t>
      </w:r>
      <w:proofErr w:type="gramStart"/>
      <w:r w:rsidRPr="00F45A1F">
        <w:rPr>
          <w:rFonts w:ascii="Arial" w:hAnsi="Arial" w:cs="Arial"/>
          <w:i/>
        </w:rPr>
        <w:t>pro rata</w:t>
      </w:r>
      <w:proofErr w:type="gramEnd"/>
      <w:r w:rsidRPr="00F45A1F">
        <w:rPr>
          <w:rFonts w:ascii="Arial" w:hAnsi="Arial" w:cs="Arial"/>
          <w:i/>
        </w:rPr>
        <w:t xml:space="preserve"> </w:t>
      </w:r>
      <w:proofErr w:type="spellStart"/>
      <w:r w:rsidRPr="00F45A1F">
        <w:rPr>
          <w:rFonts w:ascii="Arial" w:hAnsi="Arial" w:cs="Arial"/>
          <w:i/>
        </w:rPr>
        <w:t>temporis</w:t>
      </w:r>
      <w:proofErr w:type="spellEnd"/>
      <w:r w:rsidRPr="00F45A1F">
        <w:rPr>
          <w:rFonts w:ascii="Arial" w:hAnsi="Arial" w:cs="Arial"/>
        </w:rPr>
        <w:t>.</w:t>
      </w:r>
    </w:p>
    <w:p w14:paraId="0E69B78D" w14:textId="77777777" w:rsidR="007E15E9" w:rsidRPr="00F45A1F" w:rsidRDefault="007E15E9" w:rsidP="005144E2">
      <w:pPr>
        <w:widowControl/>
        <w:tabs>
          <w:tab w:val="num" w:pos="360"/>
        </w:tabs>
        <w:jc w:val="both"/>
        <w:rPr>
          <w:rFonts w:ascii="Arial" w:hAnsi="Arial" w:cs="Arial"/>
        </w:rPr>
      </w:pPr>
    </w:p>
    <w:p w14:paraId="08B361FC" w14:textId="77777777" w:rsidR="00555CDF" w:rsidRPr="00F45A1F" w:rsidRDefault="00555CDF" w:rsidP="005144E2">
      <w:pPr>
        <w:widowControl/>
        <w:tabs>
          <w:tab w:val="num" w:pos="360"/>
        </w:tabs>
        <w:jc w:val="both"/>
        <w:rPr>
          <w:rFonts w:ascii="Arial" w:hAnsi="Arial" w:cs="Arial"/>
        </w:rPr>
      </w:pPr>
    </w:p>
    <w:p w14:paraId="64C2B824" w14:textId="77777777" w:rsidR="003F4719" w:rsidRPr="00F45A1F" w:rsidRDefault="003F4719" w:rsidP="005144E2">
      <w:pPr>
        <w:pStyle w:val="PargrafodaLista"/>
        <w:widowControl/>
        <w:numPr>
          <w:ilvl w:val="0"/>
          <w:numId w:val="12"/>
        </w:numPr>
        <w:ind w:left="567" w:hanging="567"/>
        <w:jc w:val="both"/>
        <w:rPr>
          <w:rFonts w:ascii="Arial" w:hAnsi="Arial" w:cs="Arial"/>
          <w:b/>
        </w:rPr>
      </w:pPr>
      <w:r w:rsidRPr="00F45A1F">
        <w:rPr>
          <w:rFonts w:ascii="Arial" w:hAnsi="Arial" w:cs="Arial"/>
          <w:b/>
        </w:rPr>
        <w:t>Quadro dos financiamentos e empréstimos</w:t>
      </w:r>
    </w:p>
    <w:p w14:paraId="1D1F34BE" w14:textId="77777777" w:rsidR="001643B0" w:rsidRPr="00F45A1F" w:rsidRDefault="001643B0" w:rsidP="001643B0">
      <w:pPr>
        <w:widowControl/>
        <w:jc w:val="both"/>
        <w:rPr>
          <w:rFonts w:ascii="Arial" w:hAnsi="Arial" w:cs="Arial"/>
          <w:b/>
          <w:sz w:val="16"/>
          <w:szCs w:val="16"/>
        </w:rPr>
      </w:pPr>
    </w:p>
    <w:p w14:paraId="51371392" w14:textId="77777777" w:rsidR="00C61D3A" w:rsidRPr="00F45A1F" w:rsidRDefault="001643B0" w:rsidP="005144E2">
      <w:pPr>
        <w:widowControl/>
        <w:jc w:val="both"/>
        <w:rPr>
          <w:rFonts w:ascii="Arial" w:hAnsi="Arial" w:cs="Arial"/>
          <w:b/>
        </w:rPr>
      </w:pPr>
      <w:r w:rsidRPr="00F45A1F">
        <w:rPr>
          <w:noProof/>
        </w:rPr>
        <w:drawing>
          <wp:inline distT="0" distB="0" distL="0" distR="0" wp14:anchorId="4F45F170" wp14:editId="494C2A35">
            <wp:extent cx="6073140" cy="2270909"/>
            <wp:effectExtent l="0" t="0" r="381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73140" cy="2270909"/>
                    </a:xfrm>
                    <a:prstGeom prst="rect">
                      <a:avLst/>
                    </a:prstGeom>
                    <a:noFill/>
                    <a:ln>
                      <a:noFill/>
                    </a:ln>
                  </pic:spPr>
                </pic:pic>
              </a:graphicData>
            </a:graphic>
          </wp:inline>
        </w:drawing>
      </w:r>
    </w:p>
    <w:p w14:paraId="48F6AADF" w14:textId="77777777" w:rsidR="00BF0956" w:rsidRPr="00F45A1F" w:rsidRDefault="00BF0956" w:rsidP="005144E2">
      <w:pPr>
        <w:widowControl/>
        <w:jc w:val="both"/>
        <w:rPr>
          <w:rFonts w:ascii="Arial" w:hAnsi="Arial" w:cs="Arial"/>
          <w:b/>
        </w:rPr>
      </w:pPr>
    </w:p>
    <w:p w14:paraId="3A05F6E4" w14:textId="77777777" w:rsidR="00EA21AE" w:rsidRPr="00F45A1F" w:rsidRDefault="00EA21AE" w:rsidP="005144E2">
      <w:pPr>
        <w:widowControl/>
        <w:jc w:val="both"/>
        <w:rPr>
          <w:rFonts w:ascii="Arial" w:hAnsi="Arial" w:cs="Arial"/>
          <w:b/>
        </w:rPr>
      </w:pPr>
    </w:p>
    <w:p w14:paraId="11DD666B" w14:textId="77777777" w:rsidR="00EA21AE" w:rsidRPr="00F45A1F" w:rsidRDefault="00EA21AE" w:rsidP="005144E2">
      <w:pPr>
        <w:widowControl/>
        <w:jc w:val="both"/>
        <w:rPr>
          <w:rFonts w:ascii="Arial" w:hAnsi="Arial" w:cs="Arial"/>
          <w:b/>
        </w:rPr>
      </w:pPr>
    </w:p>
    <w:p w14:paraId="75AEC553" w14:textId="77777777" w:rsidR="00EA21AE" w:rsidRPr="00F45A1F" w:rsidRDefault="00EA21AE" w:rsidP="005144E2">
      <w:pPr>
        <w:widowControl/>
        <w:jc w:val="both"/>
        <w:rPr>
          <w:rFonts w:ascii="Arial" w:hAnsi="Arial" w:cs="Arial"/>
          <w:b/>
        </w:rPr>
      </w:pPr>
    </w:p>
    <w:p w14:paraId="4CD4F2AB" w14:textId="77777777" w:rsidR="00EA21AE" w:rsidRPr="00F45A1F" w:rsidRDefault="00EA21AE" w:rsidP="005144E2">
      <w:pPr>
        <w:widowControl/>
        <w:jc w:val="both"/>
        <w:rPr>
          <w:rFonts w:ascii="Arial" w:hAnsi="Arial" w:cs="Arial"/>
          <w:b/>
        </w:rPr>
      </w:pPr>
    </w:p>
    <w:p w14:paraId="206E6B28" w14:textId="77777777" w:rsidR="00EA21AE" w:rsidRPr="00F45A1F" w:rsidRDefault="00EA21AE" w:rsidP="005144E2">
      <w:pPr>
        <w:widowControl/>
        <w:jc w:val="both"/>
        <w:rPr>
          <w:rFonts w:ascii="Arial" w:hAnsi="Arial" w:cs="Arial"/>
          <w:b/>
        </w:rPr>
      </w:pPr>
    </w:p>
    <w:p w14:paraId="471199A0" w14:textId="77777777" w:rsidR="001643B0" w:rsidRPr="00F45A1F" w:rsidRDefault="001643B0" w:rsidP="005144E2">
      <w:pPr>
        <w:widowControl/>
        <w:jc w:val="both"/>
        <w:rPr>
          <w:rFonts w:ascii="Arial" w:hAnsi="Arial" w:cs="Arial"/>
          <w:b/>
        </w:rPr>
      </w:pPr>
    </w:p>
    <w:p w14:paraId="093F5C88" w14:textId="77777777" w:rsidR="007631FB" w:rsidRPr="00F45A1F" w:rsidRDefault="007631FB" w:rsidP="005144E2">
      <w:pPr>
        <w:widowControl/>
        <w:jc w:val="both"/>
        <w:rPr>
          <w:rFonts w:ascii="Arial" w:hAnsi="Arial" w:cs="Arial"/>
          <w:b/>
          <w:sz w:val="16"/>
          <w:szCs w:val="16"/>
        </w:rPr>
      </w:pPr>
    </w:p>
    <w:p w14:paraId="5ECD72DE" w14:textId="77777777" w:rsidR="003F4719" w:rsidRPr="00F45A1F" w:rsidRDefault="003F4719" w:rsidP="005144E2">
      <w:pPr>
        <w:pStyle w:val="PargrafodaLista"/>
        <w:widowControl/>
        <w:numPr>
          <w:ilvl w:val="0"/>
          <w:numId w:val="12"/>
        </w:numPr>
        <w:ind w:left="567" w:hanging="567"/>
        <w:jc w:val="both"/>
        <w:rPr>
          <w:rFonts w:ascii="Arial" w:hAnsi="Arial" w:cs="Arial"/>
          <w:b/>
        </w:rPr>
      </w:pPr>
      <w:r w:rsidRPr="00F45A1F">
        <w:rPr>
          <w:rFonts w:ascii="Arial" w:hAnsi="Arial" w:cs="Arial"/>
          <w:b/>
        </w:rPr>
        <w:t>Quadro das mutações dos financiamentos e empréstimos</w:t>
      </w:r>
    </w:p>
    <w:p w14:paraId="0ABCA7F6" w14:textId="77777777" w:rsidR="00CF61AB" w:rsidRPr="00F45A1F" w:rsidRDefault="00CF61AB" w:rsidP="005144E2">
      <w:pPr>
        <w:widowControl/>
        <w:jc w:val="both"/>
        <w:rPr>
          <w:rFonts w:ascii="Arial" w:hAnsi="Arial" w:cs="Arial"/>
          <w:b/>
          <w:sz w:val="16"/>
          <w:szCs w:val="16"/>
        </w:rPr>
      </w:pPr>
    </w:p>
    <w:p w14:paraId="02843EC5" w14:textId="77777777" w:rsidR="00CF61AB" w:rsidRPr="00F45A1F" w:rsidRDefault="002B3A39" w:rsidP="005144E2">
      <w:pPr>
        <w:widowControl/>
        <w:jc w:val="both"/>
        <w:rPr>
          <w:rFonts w:ascii="Arial" w:hAnsi="Arial" w:cs="Arial"/>
          <w:b/>
        </w:rPr>
      </w:pPr>
      <w:r w:rsidRPr="00F45A1F">
        <w:rPr>
          <w:noProof/>
        </w:rPr>
        <w:drawing>
          <wp:inline distT="0" distB="0" distL="0" distR="0" wp14:anchorId="09FC08E7" wp14:editId="24EE2AA3">
            <wp:extent cx="6073140" cy="2594628"/>
            <wp:effectExtent l="0" t="0" r="3810" b="0"/>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73140" cy="2594628"/>
                    </a:xfrm>
                    <a:prstGeom prst="rect">
                      <a:avLst/>
                    </a:prstGeom>
                    <a:noFill/>
                    <a:ln>
                      <a:noFill/>
                    </a:ln>
                  </pic:spPr>
                </pic:pic>
              </a:graphicData>
            </a:graphic>
          </wp:inline>
        </w:drawing>
      </w:r>
    </w:p>
    <w:p w14:paraId="2668BA19" w14:textId="77777777" w:rsidR="002B3A39" w:rsidRPr="00F45A1F" w:rsidRDefault="002B3A39" w:rsidP="005144E2">
      <w:pPr>
        <w:widowControl/>
        <w:jc w:val="both"/>
        <w:rPr>
          <w:rFonts w:ascii="Arial" w:hAnsi="Arial" w:cs="Arial"/>
          <w:b/>
        </w:rPr>
      </w:pPr>
    </w:p>
    <w:p w14:paraId="1AB82335" w14:textId="77777777" w:rsidR="007E15E9" w:rsidRPr="00F45A1F" w:rsidRDefault="007E15E9" w:rsidP="005144E2">
      <w:pPr>
        <w:widowControl/>
        <w:jc w:val="both"/>
        <w:rPr>
          <w:rFonts w:ascii="Arial" w:hAnsi="Arial" w:cs="Arial"/>
          <w:b/>
          <w:sz w:val="16"/>
          <w:szCs w:val="16"/>
        </w:rPr>
      </w:pPr>
    </w:p>
    <w:p w14:paraId="252B75BB" w14:textId="77777777" w:rsidR="003F4719" w:rsidRPr="00F45A1F" w:rsidRDefault="003F4719" w:rsidP="005144E2">
      <w:pPr>
        <w:pStyle w:val="PargrafodaLista"/>
        <w:widowControl/>
        <w:numPr>
          <w:ilvl w:val="0"/>
          <w:numId w:val="12"/>
        </w:numPr>
        <w:ind w:left="567" w:hanging="567"/>
        <w:jc w:val="both"/>
        <w:rPr>
          <w:rFonts w:ascii="Arial" w:hAnsi="Arial" w:cs="Arial"/>
          <w:b/>
        </w:rPr>
      </w:pPr>
      <w:r w:rsidRPr="00F45A1F">
        <w:rPr>
          <w:rFonts w:ascii="Arial" w:hAnsi="Arial" w:cs="Arial"/>
          <w:b/>
        </w:rPr>
        <w:t>Dívida total com seus vencimentos programados</w:t>
      </w:r>
    </w:p>
    <w:p w14:paraId="0F5059BC" w14:textId="77777777" w:rsidR="00A86941" w:rsidRPr="00F45A1F" w:rsidRDefault="00A86941" w:rsidP="005144E2">
      <w:pPr>
        <w:pStyle w:val="PargrafodaLista"/>
        <w:widowControl/>
        <w:ind w:left="567"/>
        <w:jc w:val="both"/>
        <w:rPr>
          <w:rFonts w:ascii="Arial" w:hAnsi="Arial" w:cs="Arial"/>
          <w:noProof/>
          <w:sz w:val="16"/>
          <w:szCs w:val="16"/>
        </w:rPr>
      </w:pPr>
    </w:p>
    <w:p w14:paraId="188F29C3" w14:textId="77777777" w:rsidR="00F72229" w:rsidRPr="00F45A1F" w:rsidRDefault="00A8048D" w:rsidP="005144E2">
      <w:pPr>
        <w:pStyle w:val="PargrafodaLista"/>
        <w:widowControl/>
        <w:ind w:left="567" w:hanging="567"/>
        <w:jc w:val="both"/>
        <w:rPr>
          <w:rFonts w:ascii="Arial" w:hAnsi="Arial" w:cs="Arial"/>
          <w:b/>
        </w:rPr>
      </w:pPr>
      <w:r w:rsidRPr="00F45A1F">
        <w:rPr>
          <w:noProof/>
        </w:rPr>
        <w:drawing>
          <wp:inline distT="0" distB="0" distL="0" distR="0" wp14:anchorId="5FE662D7" wp14:editId="246AB1B7">
            <wp:extent cx="4514850" cy="20764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14850" cy="2076450"/>
                    </a:xfrm>
                    <a:prstGeom prst="rect">
                      <a:avLst/>
                    </a:prstGeom>
                    <a:noFill/>
                    <a:ln>
                      <a:noFill/>
                    </a:ln>
                  </pic:spPr>
                </pic:pic>
              </a:graphicData>
            </a:graphic>
          </wp:inline>
        </w:drawing>
      </w:r>
    </w:p>
    <w:p w14:paraId="4741D49D" w14:textId="77777777" w:rsidR="003A256A" w:rsidRPr="00F45A1F" w:rsidRDefault="003A256A" w:rsidP="005144E2">
      <w:pPr>
        <w:widowControl/>
        <w:jc w:val="both"/>
        <w:rPr>
          <w:rFonts w:ascii="Arial" w:hAnsi="Arial" w:cs="Arial"/>
          <w:b/>
        </w:rPr>
      </w:pPr>
    </w:p>
    <w:p w14:paraId="43865C68" w14:textId="77777777" w:rsidR="002577C6" w:rsidRPr="00F45A1F" w:rsidRDefault="002577C6" w:rsidP="005144E2">
      <w:pPr>
        <w:widowControl/>
        <w:jc w:val="both"/>
        <w:rPr>
          <w:rFonts w:ascii="Arial" w:hAnsi="Arial" w:cs="Arial"/>
          <w:b/>
        </w:rPr>
      </w:pPr>
    </w:p>
    <w:p w14:paraId="1493E5AA" w14:textId="77777777" w:rsidR="002577C6" w:rsidRPr="00F45A1F" w:rsidRDefault="002577C6" w:rsidP="005144E2">
      <w:pPr>
        <w:widowControl/>
        <w:jc w:val="both"/>
        <w:rPr>
          <w:rFonts w:ascii="Arial" w:hAnsi="Arial" w:cs="Arial"/>
          <w:b/>
        </w:rPr>
      </w:pPr>
    </w:p>
    <w:p w14:paraId="08DE631C" w14:textId="77777777" w:rsidR="00EA21AE" w:rsidRPr="00F45A1F" w:rsidRDefault="00EA21AE" w:rsidP="005144E2">
      <w:pPr>
        <w:widowControl/>
        <w:jc w:val="both"/>
        <w:rPr>
          <w:rFonts w:ascii="Arial" w:hAnsi="Arial" w:cs="Arial"/>
          <w:b/>
        </w:rPr>
      </w:pPr>
    </w:p>
    <w:p w14:paraId="568CCD10" w14:textId="77777777" w:rsidR="00EA21AE" w:rsidRPr="00F45A1F" w:rsidRDefault="00EA21AE" w:rsidP="005144E2">
      <w:pPr>
        <w:widowControl/>
        <w:jc w:val="both"/>
        <w:rPr>
          <w:rFonts w:ascii="Arial" w:hAnsi="Arial" w:cs="Arial"/>
          <w:b/>
        </w:rPr>
      </w:pPr>
    </w:p>
    <w:p w14:paraId="72A3B8E0" w14:textId="77777777" w:rsidR="00EA21AE" w:rsidRPr="00F45A1F" w:rsidRDefault="00EA21AE" w:rsidP="005144E2">
      <w:pPr>
        <w:widowControl/>
        <w:jc w:val="both"/>
        <w:rPr>
          <w:rFonts w:ascii="Arial" w:hAnsi="Arial" w:cs="Arial"/>
          <w:b/>
        </w:rPr>
      </w:pPr>
    </w:p>
    <w:p w14:paraId="0DF84FF5" w14:textId="77777777" w:rsidR="00EA21AE" w:rsidRPr="00F45A1F" w:rsidRDefault="00EA21AE" w:rsidP="005144E2">
      <w:pPr>
        <w:widowControl/>
        <w:jc w:val="both"/>
        <w:rPr>
          <w:rFonts w:ascii="Arial" w:hAnsi="Arial" w:cs="Arial"/>
          <w:b/>
        </w:rPr>
      </w:pPr>
    </w:p>
    <w:p w14:paraId="0A2010BF" w14:textId="77777777" w:rsidR="00EA21AE" w:rsidRPr="00F45A1F" w:rsidRDefault="00EA21AE" w:rsidP="005144E2">
      <w:pPr>
        <w:widowControl/>
        <w:jc w:val="both"/>
        <w:rPr>
          <w:rFonts w:ascii="Arial" w:hAnsi="Arial" w:cs="Arial"/>
          <w:b/>
        </w:rPr>
      </w:pPr>
    </w:p>
    <w:p w14:paraId="0B2F1F58" w14:textId="77777777" w:rsidR="00EA21AE" w:rsidRPr="00F45A1F" w:rsidRDefault="00EA21AE" w:rsidP="005144E2">
      <w:pPr>
        <w:widowControl/>
        <w:jc w:val="both"/>
        <w:rPr>
          <w:rFonts w:ascii="Arial" w:hAnsi="Arial" w:cs="Arial"/>
          <w:b/>
        </w:rPr>
      </w:pPr>
    </w:p>
    <w:p w14:paraId="29D23009" w14:textId="77777777" w:rsidR="00EA21AE" w:rsidRPr="00F45A1F" w:rsidRDefault="00EA21AE" w:rsidP="005144E2">
      <w:pPr>
        <w:widowControl/>
        <w:jc w:val="both"/>
        <w:rPr>
          <w:rFonts w:ascii="Arial" w:hAnsi="Arial" w:cs="Arial"/>
          <w:b/>
        </w:rPr>
      </w:pPr>
    </w:p>
    <w:p w14:paraId="7F89A487" w14:textId="77777777" w:rsidR="00EA21AE" w:rsidRPr="00F45A1F" w:rsidRDefault="00EA21AE" w:rsidP="005144E2">
      <w:pPr>
        <w:widowControl/>
        <w:jc w:val="both"/>
        <w:rPr>
          <w:rFonts w:ascii="Arial" w:hAnsi="Arial" w:cs="Arial"/>
          <w:b/>
        </w:rPr>
      </w:pPr>
    </w:p>
    <w:p w14:paraId="5E79D863" w14:textId="77777777" w:rsidR="00EA21AE" w:rsidRPr="00F45A1F" w:rsidRDefault="00EA21AE" w:rsidP="005144E2">
      <w:pPr>
        <w:widowControl/>
        <w:jc w:val="both"/>
        <w:rPr>
          <w:rFonts w:ascii="Arial" w:hAnsi="Arial" w:cs="Arial"/>
          <w:b/>
        </w:rPr>
      </w:pPr>
    </w:p>
    <w:p w14:paraId="036F25DC" w14:textId="77777777" w:rsidR="00A8048D" w:rsidRPr="00F45A1F" w:rsidRDefault="00A8048D" w:rsidP="005144E2">
      <w:pPr>
        <w:widowControl/>
        <w:jc w:val="both"/>
        <w:rPr>
          <w:rFonts w:ascii="Arial" w:hAnsi="Arial" w:cs="Arial"/>
          <w:b/>
        </w:rPr>
      </w:pPr>
    </w:p>
    <w:p w14:paraId="5A0C1EDE" w14:textId="77777777" w:rsidR="00EA21AE" w:rsidRPr="00F45A1F" w:rsidRDefault="00EA21AE" w:rsidP="005144E2">
      <w:pPr>
        <w:widowControl/>
        <w:jc w:val="both"/>
        <w:rPr>
          <w:rFonts w:ascii="Arial" w:hAnsi="Arial" w:cs="Arial"/>
          <w:b/>
        </w:rPr>
      </w:pPr>
    </w:p>
    <w:p w14:paraId="1E092276" w14:textId="77777777" w:rsidR="003F4719" w:rsidRPr="00F45A1F" w:rsidRDefault="003F4719" w:rsidP="005144E2">
      <w:pPr>
        <w:widowControl/>
        <w:jc w:val="both"/>
        <w:rPr>
          <w:rFonts w:ascii="Arial" w:hAnsi="Arial" w:cs="Arial"/>
          <w:b/>
          <w:sz w:val="26"/>
          <w:szCs w:val="26"/>
        </w:rPr>
      </w:pPr>
      <w:r w:rsidRPr="00F45A1F">
        <w:rPr>
          <w:rFonts w:ascii="Arial" w:hAnsi="Arial" w:cs="Arial"/>
          <w:b/>
          <w:sz w:val="26"/>
          <w:szCs w:val="26"/>
        </w:rPr>
        <w:t>NOTA 18 – IMPOSTOS E CONTRIBUIÇÕES SOCIAIS - PASSIVO</w:t>
      </w:r>
    </w:p>
    <w:p w14:paraId="5F7BCD5A" w14:textId="77777777" w:rsidR="00F72229" w:rsidRPr="00F45A1F" w:rsidRDefault="00F72229" w:rsidP="005144E2">
      <w:pPr>
        <w:widowControl/>
        <w:jc w:val="both"/>
        <w:rPr>
          <w:rFonts w:ascii="Arial" w:hAnsi="Arial" w:cs="Arial"/>
        </w:rPr>
      </w:pPr>
    </w:p>
    <w:p w14:paraId="2B81D049" w14:textId="77777777" w:rsidR="002577C6" w:rsidRPr="00F45A1F" w:rsidRDefault="002577C6" w:rsidP="005144E2">
      <w:pPr>
        <w:widowControl/>
        <w:jc w:val="both"/>
        <w:rPr>
          <w:rFonts w:ascii="Arial" w:hAnsi="Arial" w:cs="Arial"/>
        </w:rPr>
      </w:pPr>
    </w:p>
    <w:p w14:paraId="2E204B26" w14:textId="77777777" w:rsidR="003F4719" w:rsidRPr="00F45A1F" w:rsidRDefault="003F4719" w:rsidP="005144E2">
      <w:pPr>
        <w:widowControl/>
        <w:jc w:val="both"/>
        <w:rPr>
          <w:rFonts w:ascii="Arial" w:hAnsi="Arial" w:cs="Arial"/>
        </w:rPr>
      </w:pPr>
      <w:r w:rsidRPr="00F45A1F">
        <w:rPr>
          <w:rFonts w:ascii="Arial" w:hAnsi="Arial" w:cs="Arial"/>
        </w:rPr>
        <w:t>A seguir, a composição das obrigações com tributos e contribuições sociais que se apresentam consignados no passivo circulante</w:t>
      </w:r>
      <w:r w:rsidR="00076A15" w:rsidRPr="00F45A1F">
        <w:rPr>
          <w:rFonts w:ascii="Arial" w:hAnsi="Arial" w:cs="Arial"/>
        </w:rPr>
        <w:t xml:space="preserve"> e não circulante</w:t>
      </w:r>
      <w:r w:rsidRPr="00F45A1F">
        <w:rPr>
          <w:rFonts w:ascii="Arial" w:hAnsi="Arial" w:cs="Arial"/>
        </w:rPr>
        <w:t>, e que compõem as obrigações correntes, na sua totalidade, a vencer e sem registro de qualquer inadimplência, e os passivos fiscais diferidos.</w:t>
      </w:r>
    </w:p>
    <w:p w14:paraId="27EFC759" w14:textId="77777777" w:rsidR="00C61D3A" w:rsidRPr="00F45A1F" w:rsidRDefault="00C61D3A" w:rsidP="005144E2">
      <w:pPr>
        <w:widowControl/>
        <w:jc w:val="both"/>
        <w:rPr>
          <w:rFonts w:ascii="Arial" w:hAnsi="Arial" w:cs="Arial"/>
          <w:sz w:val="16"/>
          <w:szCs w:val="16"/>
        </w:rPr>
      </w:pPr>
    </w:p>
    <w:p w14:paraId="34BF734E" w14:textId="7573CBB0" w:rsidR="006A5FB5" w:rsidRPr="00F45A1F" w:rsidRDefault="00FC0A0F" w:rsidP="005144E2">
      <w:pPr>
        <w:widowControl/>
        <w:jc w:val="both"/>
        <w:rPr>
          <w:rFonts w:ascii="Arial" w:hAnsi="Arial" w:cs="Arial"/>
        </w:rPr>
      </w:pPr>
      <w:r w:rsidRPr="00FC0A0F">
        <w:rPr>
          <w:noProof/>
        </w:rPr>
        <w:drawing>
          <wp:inline distT="0" distB="0" distL="0" distR="0" wp14:anchorId="46D2BA02" wp14:editId="261A6473">
            <wp:extent cx="6073140" cy="3402567"/>
            <wp:effectExtent l="0" t="0" r="3810" b="762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73140" cy="3402567"/>
                    </a:xfrm>
                    <a:prstGeom prst="rect">
                      <a:avLst/>
                    </a:prstGeom>
                    <a:noFill/>
                    <a:ln>
                      <a:noFill/>
                    </a:ln>
                  </pic:spPr>
                </pic:pic>
              </a:graphicData>
            </a:graphic>
          </wp:inline>
        </w:drawing>
      </w:r>
    </w:p>
    <w:p w14:paraId="2FB7463D" w14:textId="77777777" w:rsidR="006A5FB5" w:rsidRPr="00F45A1F" w:rsidRDefault="006A5FB5" w:rsidP="005144E2">
      <w:pPr>
        <w:widowControl/>
        <w:jc w:val="both"/>
        <w:rPr>
          <w:rFonts w:ascii="Arial" w:hAnsi="Arial" w:cs="Arial"/>
        </w:rPr>
      </w:pPr>
    </w:p>
    <w:p w14:paraId="250E4FE7" w14:textId="31128FB1" w:rsidR="004E28C9" w:rsidRPr="00F45A1F" w:rsidRDefault="000371CF" w:rsidP="00BF0956">
      <w:pPr>
        <w:jc w:val="both"/>
        <w:rPr>
          <w:rFonts w:ascii="Arial" w:hAnsi="Arial" w:cs="Arial"/>
        </w:rPr>
      </w:pPr>
      <w:r w:rsidRPr="00F45A1F">
        <w:rPr>
          <w:rFonts w:ascii="Arial" w:hAnsi="Arial" w:cs="Arial"/>
        </w:rPr>
        <w:t xml:space="preserve">A </w:t>
      </w:r>
      <w:r w:rsidR="00EF23C1" w:rsidRPr="00F45A1F">
        <w:rPr>
          <w:rFonts w:ascii="Arial" w:hAnsi="Arial" w:cs="Arial"/>
        </w:rPr>
        <w:t>C</w:t>
      </w:r>
      <w:r w:rsidR="005B5BD1" w:rsidRPr="00F45A1F">
        <w:rPr>
          <w:rFonts w:ascii="Arial" w:hAnsi="Arial" w:cs="Arial"/>
        </w:rPr>
        <w:t xml:space="preserve">ompanhia constitui IRPJ e CSLL Diferidos sobre outros resultados abrangentes, ajustes relativos </w:t>
      </w:r>
      <w:r w:rsidR="0087722E" w:rsidRPr="00F45A1F">
        <w:rPr>
          <w:rFonts w:ascii="Arial" w:hAnsi="Arial" w:cs="Arial"/>
        </w:rPr>
        <w:t>à</w:t>
      </w:r>
      <w:r w:rsidR="005B5BD1" w:rsidRPr="00F45A1F">
        <w:rPr>
          <w:rFonts w:ascii="Arial" w:hAnsi="Arial" w:cs="Arial"/>
        </w:rPr>
        <w:t xml:space="preserve"> adoção da Lei 11.638, bem como sobre diferenças temporárias que, em </w:t>
      </w:r>
      <w:r w:rsidR="00D337BC" w:rsidRPr="00F45A1F">
        <w:rPr>
          <w:rFonts w:ascii="Arial" w:hAnsi="Arial" w:cs="Arial"/>
        </w:rPr>
        <w:t>março de 2020</w:t>
      </w:r>
      <w:r w:rsidR="005B5BD1" w:rsidRPr="00F45A1F">
        <w:rPr>
          <w:rFonts w:ascii="Arial" w:hAnsi="Arial" w:cs="Arial"/>
        </w:rPr>
        <w:t xml:space="preserve">, geraram uma posição líquida </w:t>
      </w:r>
      <w:r w:rsidR="008F6D2D" w:rsidRPr="00F45A1F">
        <w:rPr>
          <w:rFonts w:ascii="Arial" w:hAnsi="Arial" w:cs="Arial"/>
        </w:rPr>
        <w:t>a</w:t>
      </w:r>
      <w:r w:rsidR="005B5BD1" w:rsidRPr="00F45A1F">
        <w:rPr>
          <w:rFonts w:ascii="Arial" w:hAnsi="Arial" w:cs="Arial"/>
        </w:rPr>
        <w:t xml:space="preserve">tiva de IRPJ e CSLL Diferidos no </w:t>
      </w:r>
      <w:r w:rsidR="005B5BD1" w:rsidRPr="007A3583">
        <w:rPr>
          <w:rFonts w:ascii="Arial" w:hAnsi="Arial" w:cs="Arial"/>
        </w:rPr>
        <w:t xml:space="preserve">montante total de </w:t>
      </w:r>
      <w:r w:rsidR="00262ECE" w:rsidRPr="007A3583">
        <w:rPr>
          <w:rFonts w:ascii="Arial" w:hAnsi="Arial" w:cs="Arial"/>
        </w:rPr>
        <w:t xml:space="preserve">R$ </w:t>
      </w:r>
      <w:r w:rsidR="00C94241" w:rsidRPr="007A3583">
        <w:rPr>
          <w:rFonts w:ascii="Arial" w:hAnsi="Arial" w:cs="Arial"/>
        </w:rPr>
        <w:t>1.892.</w:t>
      </w:r>
      <w:r w:rsidR="007A3583" w:rsidRPr="00FD312D">
        <w:rPr>
          <w:rFonts w:ascii="Arial" w:hAnsi="Arial" w:cs="Arial"/>
        </w:rPr>
        <w:t>569</w:t>
      </w:r>
      <w:r w:rsidR="00C94241" w:rsidRPr="007A3583">
        <w:rPr>
          <w:rFonts w:ascii="Arial" w:hAnsi="Arial" w:cs="Arial"/>
        </w:rPr>
        <w:t xml:space="preserve"> </w:t>
      </w:r>
      <w:r w:rsidR="005B5BD1" w:rsidRPr="00FD312D">
        <w:rPr>
          <w:rFonts w:ascii="Arial" w:hAnsi="Arial" w:cs="Arial"/>
        </w:rPr>
        <w:t xml:space="preserve">(R$ </w:t>
      </w:r>
      <w:r w:rsidR="00D337BC" w:rsidRPr="00FD312D">
        <w:rPr>
          <w:rFonts w:ascii="Arial" w:hAnsi="Arial" w:cs="Arial"/>
        </w:rPr>
        <w:t>1.874.030</w:t>
      </w:r>
      <w:r w:rsidR="00556783" w:rsidRPr="00FD312D">
        <w:rPr>
          <w:rFonts w:ascii="Arial" w:hAnsi="Arial" w:cs="Arial"/>
        </w:rPr>
        <w:t xml:space="preserve"> </w:t>
      </w:r>
      <w:r w:rsidR="005B5BD1" w:rsidRPr="00FD312D">
        <w:rPr>
          <w:rFonts w:ascii="Arial" w:hAnsi="Arial" w:cs="Arial"/>
        </w:rPr>
        <w:t>em 201</w:t>
      </w:r>
      <w:r w:rsidR="00D337BC" w:rsidRPr="00FD312D">
        <w:rPr>
          <w:rFonts w:ascii="Arial" w:hAnsi="Arial" w:cs="Arial"/>
        </w:rPr>
        <w:t>9</w:t>
      </w:r>
      <w:r w:rsidR="005B5BD1" w:rsidRPr="00FD312D">
        <w:rPr>
          <w:rFonts w:ascii="Arial" w:hAnsi="Arial" w:cs="Arial"/>
        </w:rPr>
        <w:t>), contabilizados no Ativo Não</w:t>
      </w:r>
      <w:r w:rsidR="005B5BD1" w:rsidRPr="00F45A1F">
        <w:rPr>
          <w:rFonts w:ascii="Arial" w:hAnsi="Arial" w:cs="Arial"/>
        </w:rPr>
        <w:t xml:space="preserve"> Circulante. Todavia, em respeito ao estabelecido pelo CPC 32, foram registradas contas retificadoras, no mesmo montante, também no Ativo Não Circulante, de forma que o citado Ativo Diferido estivesse limitado ao montante do Passivo Diferido de IRPJ e CSLL.</w:t>
      </w:r>
    </w:p>
    <w:p w14:paraId="311C1E2C" w14:textId="77777777" w:rsidR="00C94241" w:rsidRPr="00F45A1F" w:rsidRDefault="00C94241" w:rsidP="00BF0956">
      <w:pPr>
        <w:jc w:val="both"/>
        <w:rPr>
          <w:rFonts w:ascii="Arial" w:hAnsi="Arial" w:cs="Arial"/>
        </w:rPr>
      </w:pPr>
    </w:p>
    <w:p w14:paraId="030BDB91" w14:textId="77777777" w:rsidR="004E28C9" w:rsidRPr="00F45A1F" w:rsidRDefault="004E28C9" w:rsidP="00BF0956">
      <w:pPr>
        <w:jc w:val="both"/>
        <w:rPr>
          <w:rFonts w:ascii="Arial" w:hAnsi="Arial" w:cs="Arial"/>
        </w:rPr>
      </w:pPr>
    </w:p>
    <w:p w14:paraId="78F2FF52" w14:textId="69591B81" w:rsidR="00845243" w:rsidRPr="00F45A1F" w:rsidRDefault="00BD4A18" w:rsidP="00BF0956">
      <w:pPr>
        <w:jc w:val="both"/>
        <w:rPr>
          <w:rFonts w:ascii="Arial" w:hAnsi="Arial" w:cs="Arial"/>
          <w:b/>
        </w:rPr>
      </w:pPr>
      <w:r w:rsidRPr="00BD4A18">
        <w:rPr>
          <w:noProof/>
        </w:rPr>
        <w:drawing>
          <wp:inline distT="0" distB="0" distL="0" distR="0" wp14:anchorId="4A103F08" wp14:editId="1189DD2C">
            <wp:extent cx="6073140" cy="3961065"/>
            <wp:effectExtent l="0" t="0" r="381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73140" cy="3961065"/>
                    </a:xfrm>
                    <a:prstGeom prst="rect">
                      <a:avLst/>
                    </a:prstGeom>
                    <a:noFill/>
                    <a:ln>
                      <a:noFill/>
                    </a:ln>
                  </pic:spPr>
                </pic:pic>
              </a:graphicData>
            </a:graphic>
          </wp:inline>
        </w:drawing>
      </w:r>
    </w:p>
    <w:p w14:paraId="1D39EF18" w14:textId="77777777" w:rsidR="008F4E2A" w:rsidRPr="00F45A1F" w:rsidRDefault="008F4E2A" w:rsidP="005144E2">
      <w:pPr>
        <w:widowControl/>
        <w:tabs>
          <w:tab w:val="center" w:pos="4419"/>
          <w:tab w:val="right" w:pos="8838"/>
        </w:tabs>
        <w:rPr>
          <w:rFonts w:ascii="Arial" w:hAnsi="Arial" w:cs="Arial"/>
          <w:b/>
        </w:rPr>
      </w:pPr>
    </w:p>
    <w:p w14:paraId="52963154" w14:textId="77777777" w:rsidR="004E28C9" w:rsidRPr="00F45A1F" w:rsidRDefault="004E28C9" w:rsidP="005144E2">
      <w:pPr>
        <w:widowControl/>
        <w:tabs>
          <w:tab w:val="center" w:pos="4419"/>
          <w:tab w:val="right" w:pos="8838"/>
        </w:tabs>
        <w:rPr>
          <w:rFonts w:ascii="Arial" w:hAnsi="Arial" w:cs="Arial"/>
          <w:b/>
        </w:rPr>
      </w:pPr>
    </w:p>
    <w:p w14:paraId="7486765F" w14:textId="77777777" w:rsidR="00F16680" w:rsidRPr="00F45A1F" w:rsidRDefault="00F16680" w:rsidP="005144E2">
      <w:pPr>
        <w:widowControl/>
        <w:tabs>
          <w:tab w:val="center" w:pos="4419"/>
          <w:tab w:val="right" w:pos="8838"/>
        </w:tabs>
        <w:rPr>
          <w:rFonts w:ascii="Arial" w:hAnsi="Arial" w:cs="Arial"/>
          <w:b/>
        </w:rPr>
      </w:pPr>
    </w:p>
    <w:p w14:paraId="070D81BB" w14:textId="77777777" w:rsidR="00EC6B13" w:rsidRDefault="00EC6B13" w:rsidP="005144E2">
      <w:pPr>
        <w:widowControl/>
        <w:tabs>
          <w:tab w:val="center" w:pos="4419"/>
          <w:tab w:val="right" w:pos="8838"/>
        </w:tabs>
        <w:rPr>
          <w:rFonts w:ascii="Arial" w:hAnsi="Arial" w:cs="Arial"/>
          <w:b/>
          <w:sz w:val="26"/>
          <w:szCs w:val="26"/>
        </w:rPr>
      </w:pPr>
    </w:p>
    <w:p w14:paraId="2C36A4DF" w14:textId="77777777" w:rsidR="00EC6B13" w:rsidRDefault="00EC6B13" w:rsidP="005144E2">
      <w:pPr>
        <w:widowControl/>
        <w:tabs>
          <w:tab w:val="center" w:pos="4419"/>
          <w:tab w:val="right" w:pos="8838"/>
        </w:tabs>
        <w:rPr>
          <w:rFonts w:ascii="Arial" w:hAnsi="Arial" w:cs="Arial"/>
          <w:b/>
          <w:sz w:val="26"/>
          <w:szCs w:val="26"/>
        </w:rPr>
      </w:pPr>
    </w:p>
    <w:p w14:paraId="475FD2DB" w14:textId="77777777" w:rsidR="00EC6B13" w:rsidRDefault="00EC6B13" w:rsidP="005144E2">
      <w:pPr>
        <w:widowControl/>
        <w:tabs>
          <w:tab w:val="center" w:pos="4419"/>
          <w:tab w:val="right" w:pos="8838"/>
        </w:tabs>
        <w:rPr>
          <w:rFonts w:ascii="Arial" w:hAnsi="Arial" w:cs="Arial"/>
          <w:b/>
          <w:sz w:val="26"/>
          <w:szCs w:val="26"/>
        </w:rPr>
      </w:pPr>
    </w:p>
    <w:p w14:paraId="4228FF37" w14:textId="77777777" w:rsidR="00EC6B13" w:rsidRDefault="00EC6B13" w:rsidP="005144E2">
      <w:pPr>
        <w:widowControl/>
        <w:tabs>
          <w:tab w:val="center" w:pos="4419"/>
          <w:tab w:val="right" w:pos="8838"/>
        </w:tabs>
        <w:rPr>
          <w:rFonts w:ascii="Arial" w:hAnsi="Arial" w:cs="Arial"/>
          <w:b/>
          <w:sz w:val="26"/>
          <w:szCs w:val="26"/>
        </w:rPr>
      </w:pPr>
    </w:p>
    <w:p w14:paraId="39D3AAC9" w14:textId="77777777" w:rsidR="00EC6B13" w:rsidRDefault="00EC6B13" w:rsidP="005144E2">
      <w:pPr>
        <w:widowControl/>
        <w:tabs>
          <w:tab w:val="center" w:pos="4419"/>
          <w:tab w:val="right" w:pos="8838"/>
        </w:tabs>
        <w:rPr>
          <w:rFonts w:ascii="Arial" w:hAnsi="Arial" w:cs="Arial"/>
          <w:b/>
          <w:sz w:val="26"/>
          <w:szCs w:val="26"/>
        </w:rPr>
      </w:pPr>
    </w:p>
    <w:p w14:paraId="084BB7A4" w14:textId="77777777" w:rsidR="00EC6B13" w:rsidRDefault="00EC6B13" w:rsidP="005144E2">
      <w:pPr>
        <w:widowControl/>
        <w:tabs>
          <w:tab w:val="center" w:pos="4419"/>
          <w:tab w:val="right" w:pos="8838"/>
        </w:tabs>
        <w:rPr>
          <w:rFonts w:ascii="Arial" w:hAnsi="Arial" w:cs="Arial"/>
          <w:b/>
          <w:sz w:val="26"/>
          <w:szCs w:val="26"/>
        </w:rPr>
      </w:pPr>
    </w:p>
    <w:p w14:paraId="5BD0C127" w14:textId="77777777" w:rsidR="00EC6B13" w:rsidRDefault="00EC6B13" w:rsidP="005144E2">
      <w:pPr>
        <w:widowControl/>
        <w:tabs>
          <w:tab w:val="center" w:pos="4419"/>
          <w:tab w:val="right" w:pos="8838"/>
        </w:tabs>
        <w:rPr>
          <w:rFonts w:ascii="Arial" w:hAnsi="Arial" w:cs="Arial"/>
          <w:b/>
          <w:sz w:val="26"/>
          <w:szCs w:val="26"/>
        </w:rPr>
      </w:pPr>
    </w:p>
    <w:p w14:paraId="728EE64F" w14:textId="77777777" w:rsidR="00EC6B13" w:rsidRDefault="00EC6B13" w:rsidP="005144E2">
      <w:pPr>
        <w:widowControl/>
        <w:tabs>
          <w:tab w:val="center" w:pos="4419"/>
          <w:tab w:val="right" w:pos="8838"/>
        </w:tabs>
        <w:rPr>
          <w:rFonts w:ascii="Arial" w:hAnsi="Arial" w:cs="Arial"/>
          <w:b/>
          <w:sz w:val="26"/>
          <w:szCs w:val="26"/>
        </w:rPr>
      </w:pPr>
    </w:p>
    <w:p w14:paraId="6F26492D" w14:textId="77777777" w:rsidR="00EC6B13" w:rsidRDefault="00EC6B13" w:rsidP="005144E2">
      <w:pPr>
        <w:widowControl/>
        <w:tabs>
          <w:tab w:val="center" w:pos="4419"/>
          <w:tab w:val="right" w:pos="8838"/>
        </w:tabs>
        <w:rPr>
          <w:rFonts w:ascii="Arial" w:hAnsi="Arial" w:cs="Arial"/>
          <w:b/>
          <w:sz w:val="26"/>
          <w:szCs w:val="26"/>
        </w:rPr>
      </w:pPr>
    </w:p>
    <w:p w14:paraId="2AD23384" w14:textId="77777777" w:rsidR="00EC6B13" w:rsidRDefault="00EC6B13" w:rsidP="005144E2">
      <w:pPr>
        <w:widowControl/>
        <w:tabs>
          <w:tab w:val="center" w:pos="4419"/>
          <w:tab w:val="right" w:pos="8838"/>
        </w:tabs>
        <w:rPr>
          <w:rFonts w:ascii="Arial" w:hAnsi="Arial" w:cs="Arial"/>
          <w:b/>
          <w:sz w:val="26"/>
          <w:szCs w:val="26"/>
        </w:rPr>
      </w:pPr>
    </w:p>
    <w:p w14:paraId="5D0F25A5" w14:textId="77777777" w:rsidR="00EC6B13" w:rsidRDefault="00EC6B13" w:rsidP="005144E2">
      <w:pPr>
        <w:widowControl/>
        <w:tabs>
          <w:tab w:val="center" w:pos="4419"/>
          <w:tab w:val="right" w:pos="8838"/>
        </w:tabs>
        <w:rPr>
          <w:rFonts w:ascii="Arial" w:hAnsi="Arial" w:cs="Arial"/>
          <w:b/>
          <w:sz w:val="26"/>
          <w:szCs w:val="26"/>
        </w:rPr>
      </w:pPr>
    </w:p>
    <w:p w14:paraId="465B4F41" w14:textId="77777777" w:rsidR="00EC6B13" w:rsidRDefault="00EC6B13" w:rsidP="005144E2">
      <w:pPr>
        <w:widowControl/>
        <w:tabs>
          <w:tab w:val="center" w:pos="4419"/>
          <w:tab w:val="right" w:pos="8838"/>
        </w:tabs>
        <w:rPr>
          <w:rFonts w:ascii="Arial" w:hAnsi="Arial" w:cs="Arial"/>
          <w:b/>
          <w:sz w:val="26"/>
          <w:szCs w:val="26"/>
        </w:rPr>
      </w:pPr>
    </w:p>
    <w:p w14:paraId="37FC3DDD" w14:textId="77777777" w:rsidR="00EC6B13" w:rsidRDefault="00EC6B13" w:rsidP="005144E2">
      <w:pPr>
        <w:widowControl/>
        <w:tabs>
          <w:tab w:val="center" w:pos="4419"/>
          <w:tab w:val="right" w:pos="8838"/>
        </w:tabs>
        <w:rPr>
          <w:rFonts w:ascii="Arial" w:hAnsi="Arial" w:cs="Arial"/>
          <w:b/>
          <w:sz w:val="26"/>
          <w:szCs w:val="26"/>
        </w:rPr>
      </w:pPr>
    </w:p>
    <w:p w14:paraId="62DE2B8A" w14:textId="77777777" w:rsidR="00EC6B13" w:rsidRDefault="00EC6B13" w:rsidP="005144E2">
      <w:pPr>
        <w:widowControl/>
        <w:tabs>
          <w:tab w:val="center" w:pos="4419"/>
          <w:tab w:val="right" w:pos="8838"/>
        </w:tabs>
        <w:rPr>
          <w:rFonts w:ascii="Arial" w:hAnsi="Arial" w:cs="Arial"/>
          <w:b/>
          <w:sz w:val="26"/>
          <w:szCs w:val="26"/>
        </w:rPr>
      </w:pPr>
    </w:p>
    <w:p w14:paraId="00392853" w14:textId="77777777" w:rsidR="00EC6B13" w:rsidRDefault="00EC6B13" w:rsidP="005144E2">
      <w:pPr>
        <w:widowControl/>
        <w:tabs>
          <w:tab w:val="center" w:pos="4419"/>
          <w:tab w:val="right" w:pos="8838"/>
        </w:tabs>
        <w:rPr>
          <w:rFonts w:ascii="Arial" w:hAnsi="Arial" w:cs="Arial"/>
          <w:b/>
          <w:sz w:val="26"/>
          <w:szCs w:val="26"/>
        </w:rPr>
      </w:pPr>
    </w:p>
    <w:p w14:paraId="2BCCADCD" w14:textId="77777777" w:rsidR="00EC6B13" w:rsidRDefault="00EC6B13" w:rsidP="005144E2">
      <w:pPr>
        <w:widowControl/>
        <w:tabs>
          <w:tab w:val="center" w:pos="4419"/>
          <w:tab w:val="right" w:pos="8838"/>
        </w:tabs>
        <w:rPr>
          <w:rFonts w:ascii="Arial" w:hAnsi="Arial" w:cs="Arial"/>
          <w:b/>
          <w:sz w:val="26"/>
          <w:szCs w:val="26"/>
        </w:rPr>
      </w:pPr>
    </w:p>
    <w:p w14:paraId="66346D69" w14:textId="77777777" w:rsidR="00EC6B13" w:rsidRDefault="00EC6B13" w:rsidP="005144E2">
      <w:pPr>
        <w:widowControl/>
        <w:tabs>
          <w:tab w:val="center" w:pos="4419"/>
          <w:tab w:val="right" w:pos="8838"/>
        </w:tabs>
        <w:rPr>
          <w:rFonts w:ascii="Arial" w:hAnsi="Arial" w:cs="Arial"/>
          <w:b/>
          <w:sz w:val="26"/>
          <w:szCs w:val="26"/>
        </w:rPr>
      </w:pPr>
    </w:p>
    <w:p w14:paraId="04563881" w14:textId="77777777" w:rsidR="00EC6B13" w:rsidRDefault="00EC6B13" w:rsidP="005144E2">
      <w:pPr>
        <w:widowControl/>
        <w:tabs>
          <w:tab w:val="center" w:pos="4419"/>
          <w:tab w:val="right" w:pos="8838"/>
        </w:tabs>
        <w:rPr>
          <w:rFonts w:ascii="Arial" w:hAnsi="Arial" w:cs="Arial"/>
          <w:b/>
          <w:sz w:val="26"/>
          <w:szCs w:val="26"/>
        </w:rPr>
      </w:pPr>
    </w:p>
    <w:p w14:paraId="65780D26" w14:textId="77777777" w:rsidR="009E77CC" w:rsidRPr="00F45A1F" w:rsidRDefault="003F4719" w:rsidP="005144E2">
      <w:pPr>
        <w:widowControl/>
        <w:tabs>
          <w:tab w:val="center" w:pos="4419"/>
          <w:tab w:val="right" w:pos="8838"/>
        </w:tabs>
        <w:rPr>
          <w:rFonts w:ascii="Arial" w:hAnsi="Arial" w:cs="Arial"/>
          <w:b/>
          <w:sz w:val="26"/>
          <w:szCs w:val="26"/>
        </w:rPr>
      </w:pPr>
      <w:r w:rsidRPr="00F45A1F">
        <w:rPr>
          <w:rFonts w:ascii="Arial" w:hAnsi="Arial" w:cs="Arial"/>
          <w:b/>
          <w:sz w:val="26"/>
          <w:szCs w:val="26"/>
        </w:rPr>
        <w:t>NOTA 19 – OBRIGAÇÕES ESTIMADAS</w:t>
      </w:r>
    </w:p>
    <w:p w14:paraId="36A08317" w14:textId="77777777" w:rsidR="004E28C9" w:rsidRPr="00F45A1F" w:rsidRDefault="004E28C9" w:rsidP="005144E2">
      <w:pPr>
        <w:widowControl/>
        <w:tabs>
          <w:tab w:val="center" w:pos="4419"/>
          <w:tab w:val="right" w:pos="8838"/>
        </w:tabs>
        <w:rPr>
          <w:rFonts w:ascii="Arial" w:hAnsi="Arial" w:cs="Arial"/>
          <w:b/>
        </w:rPr>
      </w:pPr>
    </w:p>
    <w:p w14:paraId="7B6219B7" w14:textId="77777777" w:rsidR="00505449" w:rsidRPr="00F45A1F" w:rsidRDefault="00505449" w:rsidP="005144E2">
      <w:pPr>
        <w:keepNext/>
        <w:widowControl/>
        <w:jc w:val="both"/>
        <w:outlineLvl w:val="0"/>
        <w:rPr>
          <w:rFonts w:ascii="Arial" w:hAnsi="Arial" w:cs="Arial"/>
          <w:b/>
        </w:rPr>
      </w:pPr>
    </w:p>
    <w:p w14:paraId="7D817517" w14:textId="266D1815" w:rsidR="00505449" w:rsidRPr="00F45A1F" w:rsidRDefault="00D96E83" w:rsidP="005144E2">
      <w:pPr>
        <w:keepNext/>
        <w:widowControl/>
        <w:jc w:val="both"/>
        <w:outlineLvl w:val="0"/>
        <w:rPr>
          <w:rFonts w:ascii="Arial" w:hAnsi="Arial" w:cs="Arial"/>
          <w:b/>
        </w:rPr>
      </w:pPr>
      <w:r w:rsidRPr="00D96E83">
        <w:rPr>
          <w:noProof/>
        </w:rPr>
        <w:drawing>
          <wp:inline distT="0" distB="0" distL="0" distR="0" wp14:anchorId="533F974B" wp14:editId="56E19063">
            <wp:extent cx="5574665" cy="1905635"/>
            <wp:effectExtent l="0" t="0" r="698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74665" cy="1905635"/>
                    </a:xfrm>
                    <a:prstGeom prst="rect">
                      <a:avLst/>
                    </a:prstGeom>
                    <a:noFill/>
                    <a:ln>
                      <a:noFill/>
                    </a:ln>
                  </pic:spPr>
                </pic:pic>
              </a:graphicData>
            </a:graphic>
          </wp:inline>
        </w:drawing>
      </w:r>
    </w:p>
    <w:p w14:paraId="6A75FE0C" w14:textId="77777777" w:rsidR="00505449" w:rsidRPr="00F45A1F" w:rsidRDefault="00505449" w:rsidP="005144E2">
      <w:pPr>
        <w:keepNext/>
        <w:widowControl/>
        <w:jc w:val="both"/>
        <w:outlineLvl w:val="0"/>
        <w:rPr>
          <w:rFonts w:ascii="Arial" w:hAnsi="Arial" w:cs="Arial"/>
          <w:b/>
          <w:sz w:val="26"/>
          <w:szCs w:val="26"/>
        </w:rPr>
      </w:pPr>
    </w:p>
    <w:p w14:paraId="26966A60" w14:textId="77777777" w:rsidR="000767AF" w:rsidRDefault="000767AF" w:rsidP="005144E2">
      <w:pPr>
        <w:keepNext/>
        <w:widowControl/>
        <w:jc w:val="both"/>
        <w:outlineLvl w:val="0"/>
        <w:rPr>
          <w:rFonts w:ascii="Arial" w:hAnsi="Arial" w:cs="Arial"/>
          <w:b/>
          <w:sz w:val="26"/>
          <w:szCs w:val="26"/>
        </w:rPr>
      </w:pPr>
    </w:p>
    <w:p w14:paraId="737B9BB8" w14:textId="77777777" w:rsidR="000767AF" w:rsidRDefault="000767AF" w:rsidP="005144E2">
      <w:pPr>
        <w:keepNext/>
        <w:widowControl/>
        <w:jc w:val="both"/>
        <w:outlineLvl w:val="0"/>
        <w:rPr>
          <w:rFonts w:ascii="Arial" w:hAnsi="Arial" w:cs="Arial"/>
          <w:b/>
          <w:sz w:val="26"/>
          <w:szCs w:val="26"/>
        </w:rPr>
      </w:pPr>
    </w:p>
    <w:p w14:paraId="6811E08C" w14:textId="77777777" w:rsidR="000767AF" w:rsidRDefault="000767AF" w:rsidP="005144E2">
      <w:pPr>
        <w:keepNext/>
        <w:widowControl/>
        <w:jc w:val="both"/>
        <w:outlineLvl w:val="0"/>
        <w:rPr>
          <w:rFonts w:ascii="Arial" w:hAnsi="Arial" w:cs="Arial"/>
          <w:b/>
          <w:sz w:val="26"/>
          <w:szCs w:val="26"/>
        </w:rPr>
      </w:pPr>
    </w:p>
    <w:p w14:paraId="6540EE94" w14:textId="77777777" w:rsidR="00EC6B13" w:rsidRDefault="00EC6B13" w:rsidP="005144E2">
      <w:pPr>
        <w:keepNext/>
        <w:widowControl/>
        <w:jc w:val="both"/>
        <w:outlineLvl w:val="0"/>
        <w:rPr>
          <w:rFonts w:ascii="Arial" w:hAnsi="Arial" w:cs="Arial"/>
          <w:b/>
          <w:sz w:val="26"/>
          <w:szCs w:val="26"/>
        </w:rPr>
      </w:pPr>
    </w:p>
    <w:p w14:paraId="4B9FF497" w14:textId="77777777" w:rsidR="003F4719" w:rsidRPr="00F45A1F" w:rsidRDefault="003F4719" w:rsidP="005144E2">
      <w:pPr>
        <w:keepNext/>
        <w:widowControl/>
        <w:jc w:val="both"/>
        <w:outlineLvl w:val="0"/>
        <w:rPr>
          <w:rFonts w:ascii="Arial" w:hAnsi="Arial" w:cs="Arial"/>
          <w:b/>
          <w:sz w:val="26"/>
          <w:szCs w:val="26"/>
        </w:rPr>
      </w:pPr>
      <w:r w:rsidRPr="00F45A1F">
        <w:rPr>
          <w:rFonts w:ascii="Arial" w:hAnsi="Arial" w:cs="Arial"/>
          <w:b/>
          <w:sz w:val="26"/>
          <w:szCs w:val="26"/>
        </w:rPr>
        <w:t>NOTA 20 – ENCARGOS SETORIAIS</w:t>
      </w:r>
    </w:p>
    <w:p w14:paraId="527723B7" w14:textId="77777777" w:rsidR="003F7EBB" w:rsidRPr="00F45A1F" w:rsidRDefault="003F7EBB" w:rsidP="005144E2">
      <w:pPr>
        <w:rPr>
          <w:rFonts w:ascii="Arial" w:hAnsi="Arial" w:cs="Arial"/>
          <w:b/>
        </w:rPr>
      </w:pPr>
    </w:p>
    <w:p w14:paraId="7F5FBBB1" w14:textId="6D680AA2" w:rsidR="003F7EBB" w:rsidRPr="00F45A1F" w:rsidRDefault="000767AF" w:rsidP="005144E2">
      <w:pPr>
        <w:rPr>
          <w:rFonts w:ascii="Arial" w:hAnsi="Arial" w:cs="Arial"/>
          <w:b/>
        </w:rPr>
      </w:pPr>
      <w:r w:rsidRPr="000767AF">
        <w:rPr>
          <w:noProof/>
        </w:rPr>
        <w:drawing>
          <wp:inline distT="0" distB="0" distL="0" distR="0" wp14:anchorId="1E7F05D0" wp14:editId="1F9D3787">
            <wp:extent cx="4946650" cy="1322070"/>
            <wp:effectExtent l="0" t="0" r="635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46650" cy="1322070"/>
                    </a:xfrm>
                    <a:prstGeom prst="rect">
                      <a:avLst/>
                    </a:prstGeom>
                    <a:noFill/>
                    <a:ln>
                      <a:noFill/>
                    </a:ln>
                  </pic:spPr>
                </pic:pic>
              </a:graphicData>
            </a:graphic>
          </wp:inline>
        </w:drawing>
      </w:r>
    </w:p>
    <w:p w14:paraId="16B0822B" w14:textId="77777777" w:rsidR="005A2219" w:rsidRPr="00F45A1F" w:rsidRDefault="005A2219" w:rsidP="005144E2">
      <w:pPr>
        <w:rPr>
          <w:rFonts w:ascii="Arial" w:hAnsi="Arial" w:cs="Arial"/>
          <w:b/>
        </w:rPr>
      </w:pPr>
    </w:p>
    <w:p w14:paraId="7AC25ACB" w14:textId="77777777" w:rsidR="00EC6B13" w:rsidRDefault="00EC6B13" w:rsidP="005144E2">
      <w:pPr>
        <w:rPr>
          <w:rFonts w:ascii="Arial" w:hAnsi="Arial" w:cs="Arial"/>
          <w:b/>
          <w:sz w:val="26"/>
          <w:szCs w:val="26"/>
        </w:rPr>
      </w:pPr>
    </w:p>
    <w:p w14:paraId="0D2204DA" w14:textId="77777777" w:rsidR="00EC6B13" w:rsidRDefault="00EC6B13" w:rsidP="005144E2">
      <w:pPr>
        <w:rPr>
          <w:rFonts w:ascii="Arial" w:hAnsi="Arial" w:cs="Arial"/>
          <w:b/>
          <w:sz w:val="26"/>
          <w:szCs w:val="26"/>
        </w:rPr>
      </w:pPr>
    </w:p>
    <w:p w14:paraId="6D20D045" w14:textId="77777777" w:rsidR="00EC6B13" w:rsidRDefault="00EC6B13" w:rsidP="005144E2">
      <w:pPr>
        <w:rPr>
          <w:rFonts w:ascii="Arial" w:hAnsi="Arial" w:cs="Arial"/>
          <w:b/>
          <w:sz w:val="26"/>
          <w:szCs w:val="26"/>
        </w:rPr>
      </w:pPr>
    </w:p>
    <w:p w14:paraId="1EE2E64C" w14:textId="77777777" w:rsidR="00EC6B13" w:rsidRDefault="00EC6B13" w:rsidP="005144E2">
      <w:pPr>
        <w:rPr>
          <w:rFonts w:ascii="Arial" w:hAnsi="Arial" w:cs="Arial"/>
          <w:b/>
          <w:sz w:val="26"/>
          <w:szCs w:val="26"/>
        </w:rPr>
      </w:pPr>
    </w:p>
    <w:p w14:paraId="0C7E71AF" w14:textId="77777777" w:rsidR="00F47BC0" w:rsidRPr="00F45A1F" w:rsidRDefault="00F47BC0" w:rsidP="005144E2">
      <w:pPr>
        <w:rPr>
          <w:rFonts w:ascii="Arial" w:hAnsi="Arial" w:cs="Arial"/>
          <w:b/>
          <w:sz w:val="26"/>
          <w:szCs w:val="26"/>
        </w:rPr>
      </w:pPr>
      <w:r w:rsidRPr="00F45A1F">
        <w:rPr>
          <w:rFonts w:ascii="Arial" w:hAnsi="Arial" w:cs="Arial"/>
          <w:b/>
          <w:sz w:val="26"/>
          <w:szCs w:val="26"/>
        </w:rPr>
        <w:t>NOTA 21 – BENEFÍCIOS PÓS-EMPREGO</w:t>
      </w:r>
    </w:p>
    <w:p w14:paraId="69DBF3AE" w14:textId="77777777" w:rsidR="00754FF6" w:rsidRPr="00F45A1F" w:rsidRDefault="00754FF6" w:rsidP="005144E2">
      <w:pPr>
        <w:rPr>
          <w:rFonts w:ascii="Arial" w:hAnsi="Arial" w:cs="Arial"/>
          <w:b/>
        </w:rPr>
      </w:pPr>
    </w:p>
    <w:p w14:paraId="36204163" w14:textId="77777777" w:rsidR="005A2219" w:rsidRPr="00F45A1F" w:rsidRDefault="005A2219" w:rsidP="005144E2">
      <w:pPr>
        <w:rPr>
          <w:rFonts w:ascii="Arial" w:hAnsi="Arial" w:cs="Arial"/>
          <w:b/>
        </w:rPr>
      </w:pPr>
    </w:p>
    <w:p w14:paraId="0E795161" w14:textId="77777777" w:rsidR="00325A12" w:rsidRPr="00F45A1F" w:rsidRDefault="00325A12" w:rsidP="005144E2">
      <w:pPr>
        <w:rPr>
          <w:rFonts w:ascii="Arial" w:hAnsi="Arial" w:cs="Arial"/>
          <w:b/>
        </w:rPr>
      </w:pPr>
      <w:r w:rsidRPr="00F45A1F">
        <w:rPr>
          <w:noProof/>
        </w:rPr>
        <w:drawing>
          <wp:inline distT="0" distB="0" distL="0" distR="0" wp14:anchorId="1079D936" wp14:editId="2D8EAB72">
            <wp:extent cx="6073140" cy="1100556"/>
            <wp:effectExtent l="0" t="0" r="3810" b="4445"/>
            <wp:docPr id="110" name="Image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73140" cy="1100556"/>
                    </a:xfrm>
                    <a:prstGeom prst="rect">
                      <a:avLst/>
                    </a:prstGeom>
                    <a:noFill/>
                    <a:ln>
                      <a:noFill/>
                    </a:ln>
                  </pic:spPr>
                </pic:pic>
              </a:graphicData>
            </a:graphic>
          </wp:inline>
        </w:drawing>
      </w:r>
    </w:p>
    <w:p w14:paraId="5F33A49E" w14:textId="77777777" w:rsidR="00325A12" w:rsidRPr="00F45A1F" w:rsidRDefault="00325A12" w:rsidP="005144E2">
      <w:pPr>
        <w:rPr>
          <w:rFonts w:ascii="Arial" w:hAnsi="Arial" w:cs="Arial"/>
          <w:b/>
        </w:rPr>
      </w:pPr>
    </w:p>
    <w:p w14:paraId="5B3F2BF2" w14:textId="77777777" w:rsidR="00325A12" w:rsidRPr="00F45A1F" w:rsidRDefault="00325A12" w:rsidP="005144E2">
      <w:pPr>
        <w:rPr>
          <w:rFonts w:ascii="Arial" w:hAnsi="Arial" w:cs="Arial"/>
          <w:b/>
          <w:sz w:val="16"/>
          <w:szCs w:val="16"/>
        </w:rPr>
      </w:pPr>
    </w:p>
    <w:p w14:paraId="2185C7FF" w14:textId="77777777" w:rsidR="00F472B7" w:rsidRDefault="00F472B7" w:rsidP="00F472B7">
      <w:pPr>
        <w:jc w:val="both"/>
        <w:rPr>
          <w:rFonts w:ascii="Arial" w:hAnsi="Arial"/>
        </w:rPr>
      </w:pPr>
      <w:r w:rsidRPr="00F45A1F">
        <w:rPr>
          <w:rFonts w:ascii="Arial" w:hAnsi="Arial"/>
        </w:rPr>
        <w:t xml:space="preserve">Em 31 de março de 2020 não ocorreram alterações na natureza e nas condições dos planos de benefícios à aposentadoria em relação ao descrito na </w:t>
      </w:r>
      <w:r w:rsidR="00325A12" w:rsidRPr="00F45A1F">
        <w:rPr>
          <w:rFonts w:ascii="Arial" w:hAnsi="Arial"/>
        </w:rPr>
        <w:t>n</w:t>
      </w:r>
      <w:r w:rsidRPr="00F45A1F">
        <w:rPr>
          <w:rFonts w:ascii="Arial" w:hAnsi="Arial"/>
        </w:rPr>
        <w:t>ota 21 das demonstrações financeiras da Companhia do exercício findo em 31 de dezembro de 2019.</w:t>
      </w:r>
    </w:p>
    <w:p w14:paraId="3F028B66" w14:textId="77777777" w:rsidR="009E2DF9" w:rsidRDefault="009E2DF9" w:rsidP="00F472B7">
      <w:pPr>
        <w:jc w:val="both"/>
        <w:rPr>
          <w:rFonts w:ascii="Arial" w:hAnsi="Arial"/>
        </w:rPr>
      </w:pPr>
    </w:p>
    <w:p w14:paraId="5FAAB12D" w14:textId="4762FF15" w:rsidR="009E2DF9" w:rsidRDefault="009E2DF9" w:rsidP="00F472B7">
      <w:pPr>
        <w:jc w:val="both"/>
        <w:rPr>
          <w:rFonts w:ascii="Arial" w:hAnsi="Arial"/>
        </w:rPr>
      </w:pPr>
      <w:r w:rsidRPr="009E2DF9">
        <w:rPr>
          <w:rFonts w:ascii="Arial" w:hAnsi="Arial"/>
        </w:rPr>
        <w:t xml:space="preserve">Em virtude do cenário econômico </w:t>
      </w:r>
      <w:r w:rsidR="007E1361" w:rsidRPr="007E1361">
        <w:rPr>
          <w:rFonts w:ascii="Arial" w:hAnsi="Arial"/>
        </w:rPr>
        <w:t xml:space="preserve">causado pela pandemia da COVID-19, </w:t>
      </w:r>
      <w:r w:rsidRPr="009E2DF9">
        <w:rPr>
          <w:rFonts w:ascii="Arial" w:hAnsi="Arial"/>
        </w:rPr>
        <w:t>a Companhia sensibilizou dois dos principais componentes utilizados para a mensuração dos passivos atuariais dos benefícios pós-emprego</w:t>
      </w:r>
      <w:r w:rsidR="007E1361">
        <w:rPr>
          <w:rFonts w:ascii="Arial" w:hAnsi="Arial"/>
        </w:rPr>
        <w:t xml:space="preserve"> r</w:t>
      </w:r>
      <w:r w:rsidRPr="009E2DF9">
        <w:rPr>
          <w:rFonts w:ascii="Arial" w:hAnsi="Arial"/>
        </w:rPr>
        <w:t>elacionados aos benefícios de aposentadoria. Os componentes para os quais foram observadas alterações significativas foram o valor justo dos ativos e as taxas de descontos utilizadas para descontar as obrigações de benefícios pós-emprego, substancialmente mensuradas pela NTN-B e não foi identificado efeitos relevantes</w:t>
      </w:r>
      <w:r>
        <w:rPr>
          <w:rFonts w:ascii="Arial" w:hAnsi="Arial"/>
        </w:rPr>
        <w:t>.</w:t>
      </w:r>
    </w:p>
    <w:p w14:paraId="51113CEE" w14:textId="77777777" w:rsidR="009E2DF9" w:rsidRPr="00F45A1F" w:rsidRDefault="009E2DF9" w:rsidP="00F472B7">
      <w:pPr>
        <w:jc w:val="both"/>
        <w:rPr>
          <w:rFonts w:ascii="Arial" w:hAnsi="Arial"/>
        </w:rPr>
      </w:pPr>
    </w:p>
    <w:p w14:paraId="24563663" w14:textId="77777777" w:rsidR="00325A12" w:rsidRPr="00F45A1F" w:rsidRDefault="00325A12" w:rsidP="00F472B7">
      <w:pPr>
        <w:jc w:val="both"/>
        <w:rPr>
          <w:rFonts w:ascii="Arial" w:hAnsi="Arial"/>
        </w:rPr>
      </w:pPr>
    </w:p>
    <w:p w14:paraId="1A714903" w14:textId="77777777" w:rsidR="00325A12" w:rsidRPr="00F45A1F" w:rsidRDefault="00325A12" w:rsidP="00325A12">
      <w:pPr>
        <w:keepNext/>
        <w:widowControl/>
        <w:spacing w:line="240" w:lineRule="auto"/>
        <w:jc w:val="both"/>
        <w:outlineLvl w:val="0"/>
        <w:rPr>
          <w:rFonts w:ascii="Arial" w:hAnsi="Arial"/>
          <w:b/>
        </w:rPr>
      </w:pPr>
      <w:r w:rsidRPr="00F45A1F">
        <w:rPr>
          <w:rFonts w:ascii="Arial" w:hAnsi="Arial"/>
          <w:b/>
        </w:rPr>
        <w:t>a) Movimentação das obrigações de benefícios de aposentadoria</w:t>
      </w:r>
    </w:p>
    <w:p w14:paraId="070AB1CA" w14:textId="77777777" w:rsidR="00325A12" w:rsidRPr="00F45A1F" w:rsidRDefault="00325A12" w:rsidP="00325A12">
      <w:pPr>
        <w:widowControl/>
        <w:tabs>
          <w:tab w:val="center" w:pos="4419"/>
          <w:tab w:val="right" w:pos="8838"/>
        </w:tabs>
        <w:spacing w:line="240" w:lineRule="auto"/>
        <w:rPr>
          <w:rFonts w:ascii="Arial" w:hAnsi="Arial"/>
          <w:b/>
          <w:sz w:val="16"/>
          <w:szCs w:val="16"/>
        </w:rPr>
      </w:pPr>
    </w:p>
    <w:p w14:paraId="4053409D" w14:textId="1D6598E2" w:rsidR="00325A12" w:rsidRPr="00F45A1F" w:rsidRDefault="00325A12" w:rsidP="00325A12">
      <w:pPr>
        <w:keepNext/>
        <w:widowControl/>
        <w:spacing w:line="240" w:lineRule="auto"/>
        <w:jc w:val="both"/>
        <w:outlineLvl w:val="0"/>
        <w:rPr>
          <w:rFonts w:ascii="Arial" w:hAnsi="Arial"/>
        </w:rPr>
      </w:pPr>
      <w:r w:rsidRPr="00F45A1F">
        <w:rPr>
          <w:rFonts w:ascii="Arial" w:hAnsi="Arial"/>
        </w:rPr>
        <w:t>O estudo atuarial, em consonância com o CPC 33, efetuado por atuário independente para a data base de 31 de dezembro de 201</w:t>
      </w:r>
      <w:r w:rsidR="000A5242" w:rsidRPr="00F45A1F">
        <w:rPr>
          <w:rFonts w:ascii="Arial" w:hAnsi="Arial"/>
        </w:rPr>
        <w:t>9</w:t>
      </w:r>
      <w:r w:rsidRPr="00F45A1F">
        <w:rPr>
          <w:rFonts w:ascii="Arial" w:hAnsi="Arial"/>
        </w:rPr>
        <w:t>, apresentou passivo de R$</w:t>
      </w:r>
      <w:r w:rsidR="000A5242" w:rsidRPr="00F45A1F">
        <w:rPr>
          <w:rFonts w:ascii="Arial" w:hAnsi="Arial"/>
        </w:rPr>
        <w:t xml:space="preserve"> 77.463</w:t>
      </w:r>
      <w:r w:rsidRPr="00F45A1F">
        <w:rPr>
          <w:rFonts w:ascii="Arial" w:hAnsi="Arial"/>
        </w:rPr>
        <w:t>. O referido estudo atuarial será revisado em 31 de dezembro de 20</w:t>
      </w:r>
      <w:r w:rsidR="00370AF8">
        <w:rPr>
          <w:rFonts w:ascii="Arial" w:hAnsi="Arial"/>
        </w:rPr>
        <w:t>20</w:t>
      </w:r>
      <w:r w:rsidRPr="00F45A1F">
        <w:rPr>
          <w:rFonts w:ascii="Arial" w:hAnsi="Arial"/>
        </w:rPr>
        <w:t>. A movimentação das obrigações dos benefícios de aposentadoria com base nas estimativas para 20</w:t>
      </w:r>
      <w:r w:rsidR="00370AF8">
        <w:rPr>
          <w:rFonts w:ascii="Arial" w:hAnsi="Arial"/>
        </w:rPr>
        <w:t>20</w:t>
      </w:r>
      <w:r w:rsidRPr="00F45A1F">
        <w:rPr>
          <w:rFonts w:ascii="Arial" w:hAnsi="Arial"/>
        </w:rPr>
        <w:t xml:space="preserve"> pode ser assim demonstrada:</w:t>
      </w:r>
    </w:p>
    <w:p w14:paraId="54E2A3A5" w14:textId="77777777" w:rsidR="00F472B7" w:rsidRPr="00F45A1F" w:rsidRDefault="00F472B7" w:rsidP="00F472B7">
      <w:pPr>
        <w:jc w:val="both"/>
        <w:rPr>
          <w:rFonts w:ascii="Arial" w:hAnsi="Arial"/>
        </w:rPr>
      </w:pPr>
    </w:p>
    <w:p w14:paraId="15ACDE44" w14:textId="77777777" w:rsidR="00F472B7" w:rsidRPr="00F45A1F" w:rsidRDefault="000A5242" w:rsidP="00F472B7">
      <w:pPr>
        <w:jc w:val="both"/>
        <w:rPr>
          <w:rFonts w:ascii="Arial" w:hAnsi="Arial"/>
        </w:rPr>
      </w:pPr>
      <w:r w:rsidRPr="00F45A1F">
        <w:rPr>
          <w:noProof/>
        </w:rPr>
        <w:drawing>
          <wp:inline distT="0" distB="0" distL="0" distR="0" wp14:anchorId="555406CC" wp14:editId="1395A228">
            <wp:extent cx="5953125" cy="790575"/>
            <wp:effectExtent l="0" t="0" r="9525" b="9525"/>
            <wp:docPr id="111" name="Image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53125" cy="790575"/>
                    </a:xfrm>
                    <a:prstGeom prst="rect">
                      <a:avLst/>
                    </a:prstGeom>
                    <a:noFill/>
                    <a:ln>
                      <a:noFill/>
                    </a:ln>
                  </pic:spPr>
                </pic:pic>
              </a:graphicData>
            </a:graphic>
          </wp:inline>
        </w:drawing>
      </w:r>
    </w:p>
    <w:p w14:paraId="23D78AB5" w14:textId="77777777" w:rsidR="00F472B7" w:rsidRPr="00F45A1F" w:rsidRDefault="00F472B7" w:rsidP="00F472B7">
      <w:pPr>
        <w:jc w:val="both"/>
        <w:rPr>
          <w:rFonts w:ascii="Arial" w:hAnsi="Arial"/>
        </w:rPr>
      </w:pPr>
    </w:p>
    <w:p w14:paraId="1EF0F77B" w14:textId="77777777" w:rsidR="00F472B7" w:rsidRPr="00F45A1F" w:rsidRDefault="00F472B7" w:rsidP="00F472B7">
      <w:pPr>
        <w:jc w:val="both"/>
        <w:rPr>
          <w:rFonts w:ascii="Arial" w:hAnsi="Arial"/>
        </w:rPr>
      </w:pPr>
    </w:p>
    <w:p w14:paraId="1D52E63A" w14:textId="77777777" w:rsidR="00645811" w:rsidRPr="00F45A1F" w:rsidRDefault="00645811" w:rsidP="00F472B7">
      <w:pPr>
        <w:jc w:val="both"/>
        <w:rPr>
          <w:rFonts w:ascii="Arial" w:hAnsi="Arial"/>
        </w:rPr>
      </w:pPr>
    </w:p>
    <w:p w14:paraId="10570FEC" w14:textId="77777777" w:rsidR="00B97C3A" w:rsidRPr="00F45A1F" w:rsidRDefault="003F4719" w:rsidP="005144E2">
      <w:pPr>
        <w:widowControl/>
        <w:tabs>
          <w:tab w:val="center" w:pos="4419"/>
          <w:tab w:val="right" w:pos="8838"/>
        </w:tabs>
        <w:rPr>
          <w:rFonts w:ascii="Arial" w:hAnsi="Arial" w:cs="Arial"/>
          <w:b/>
          <w:sz w:val="26"/>
          <w:szCs w:val="26"/>
        </w:rPr>
      </w:pPr>
      <w:r w:rsidRPr="00F45A1F">
        <w:rPr>
          <w:rFonts w:ascii="Arial" w:hAnsi="Arial" w:cs="Arial"/>
          <w:b/>
          <w:sz w:val="26"/>
          <w:szCs w:val="26"/>
        </w:rPr>
        <w:t>NOTA 22 – PROVISÃO PARA PLANO</w:t>
      </w:r>
      <w:r w:rsidR="001D7513" w:rsidRPr="00F45A1F">
        <w:rPr>
          <w:rFonts w:ascii="Arial" w:hAnsi="Arial" w:cs="Arial"/>
          <w:b/>
          <w:sz w:val="26"/>
          <w:szCs w:val="26"/>
        </w:rPr>
        <w:t>S</w:t>
      </w:r>
      <w:r w:rsidRPr="00F45A1F">
        <w:rPr>
          <w:rFonts w:ascii="Arial" w:hAnsi="Arial" w:cs="Arial"/>
          <w:b/>
          <w:sz w:val="26"/>
          <w:szCs w:val="26"/>
        </w:rPr>
        <w:t xml:space="preserve"> DE INCENTIVO DE DESLIGAMENTO</w:t>
      </w:r>
    </w:p>
    <w:p w14:paraId="770A83D5" w14:textId="77777777" w:rsidR="002C7AC6" w:rsidRPr="00F45A1F" w:rsidRDefault="002C7AC6" w:rsidP="005144E2">
      <w:pPr>
        <w:widowControl/>
        <w:tabs>
          <w:tab w:val="center" w:pos="4419"/>
          <w:tab w:val="right" w:pos="8838"/>
        </w:tabs>
        <w:rPr>
          <w:rFonts w:ascii="Arial" w:hAnsi="Arial" w:cs="Arial"/>
          <w:b/>
        </w:rPr>
      </w:pPr>
    </w:p>
    <w:p w14:paraId="69707DEF" w14:textId="77777777" w:rsidR="001933B3" w:rsidRPr="00F45A1F" w:rsidRDefault="001933B3" w:rsidP="005144E2">
      <w:pPr>
        <w:widowControl/>
        <w:tabs>
          <w:tab w:val="center" w:pos="4419"/>
          <w:tab w:val="right" w:pos="8838"/>
        </w:tabs>
        <w:rPr>
          <w:rFonts w:ascii="Arial" w:hAnsi="Arial" w:cs="Arial"/>
          <w:b/>
        </w:rPr>
      </w:pPr>
    </w:p>
    <w:p w14:paraId="1B9C27E5" w14:textId="77777777" w:rsidR="003F4719" w:rsidRPr="00F45A1F" w:rsidRDefault="003F4719" w:rsidP="0063741F">
      <w:pPr>
        <w:widowControl/>
        <w:spacing w:line="240" w:lineRule="auto"/>
        <w:jc w:val="both"/>
      </w:pPr>
      <w:r w:rsidRPr="00F45A1F">
        <w:rPr>
          <w:rFonts w:ascii="Arial" w:hAnsi="Arial" w:cs="Arial"/>
        </w:rPr>
        <w:t xml:space="preserve">A Companhia instituiu, em fevereiro de 2014, o Plano de Sucessão Programada dos Empregados – </w:t>
      </w:r>
      <w:r w:rsidR="00513610" w:rsidRPr="00F45A1F">
        <w:rPr>
          <w:rFonts w:ascii="Arial" w:hAnsi="Arial" w:cs="Arial"/>
          <w:szCs w:val="20"/>
        </w:rPr>
        <w:t>PSPE</w:t>
      </w:r>
      <w:r w:rsidR="00645811" w:rsidRPr="00F45A1F">
        <w:rPr>
          <w:rFonts w:ascii="Arial" w:hAnsi="Arial" w:cs="Arial"/>
          <w:szCs w:val="20"/>
        </w:rPr>
        <w:t xml:space="preserve"> </w:t>
      </w:r>
      <w:r w:rsidRPr="00F45A1F">
        <w:rPr>
          <w:rFonts w:ascii="Arial" w:hAnsi="Arial" w:cs="Arial"/>
        </w:rPr>
        <w:t>conforme aprovado na 282ª reunião do Conselho de Administração da ELETRONUCLEAR de 19</w:t>
      </w:r>
      <w:r w:rsidR="001933B3" w:rsidRPr="00F45A1F">
        <w:rPr>
          <w:rFonts w:ascii="Arial" w:hAnsi="Arial" w:cs="Arial"/>
        </w:rPr>
        <w:t xml:space="preserve"> de dezembro de 2012</w:t>
      </w:r>
      <w:r w:rsidRPr="00F45A1F">
        <w:rPr>
          <w:rFonts w:ascii="Arial" w:hAnsi="Arial" w:cs="Arial"/>
        </w:rPr>
        <w:t xml:space="preserve">, com o início das adesões </w:t>
      </w:r>
      <w:r w:rsidR="004F3D45" w:rsidRPr="00F45A1F">
        <w:rPr>
          <w:rFonts w:ascii="Arial" w:hAnsi="Arial" w:cs="Arial"/>
        </w:rPr>
        <w:t>em</w:t>
      </w:r>
      <w:r w:rsidRPr="00F45A1F">
        <w:rPr>
          <w:rFonts w:ascii="Arial" w:hAnsi="Arial" w:cs="Arial"/>
        </w:rPr>
        <w:t xml:space="preserve"> março de 2014 e término em abril de 2014. Ocorre</w:t>
      </w:r>
      <w:r w:rsidR="002C75F6" w:rsidRPr="00F45A1F">
        <w:rPr>
          <w:rFonts w:ascii="Arial" w:hAnsi="Arial" w:cs="Arial"/>
        </w:rPr>
        <w:t>r</w:t>
      </w:r>
      <w:r w:rsidRPr="00F45A1F">
        <w:rPr>
          <w:rFonts w:ascii="Arial" w:hAnsi="Arial" w:cs="Arial"/>
        </w:rPr>
        <w:t>am 341 desligamentos até 31 de dezembro de 2014, 277 até 31 até dezembro de 2015,</w:t>
      </w:r>
      <w:r w:rsidR="00B02629" w:rsidRPr="00F45A1F">
        <w:rPr>
          <w:rFonts w:ascii="Arial" w:hAnsi="Arial" w:cs="Arial"/>
        </w:rPr>
        <w:t xml:space="preserve"> 1 em fevereiro de 2016,</w:t>
      </w:r>
      <w:r w:rsidR="00645811" w:rsidRPr="00F45A1F">
        <w:rPr>
          <w:rFonts w:ascii="Arial" w:hAnsi="Arial" w:cs="Arial"/>
        </w:rPr>
        <w:t xml:space="preserve"> </w:t>
      </w:r>
      <w:r w:rsidR="002B1FD9" w:rsidRPr="00F45A1F">
        <w:rPr>
          <w:rFonts w:ascii="Arial" w:hAnsi="Arial" w:cs="Arial"/>
        </w:rPr>
        <w:t>e o último em maio</w:t>
      </w:r>
      <w:r w:rsidRPr="00F45A1F">
        <w:rPr>
          <w:rFonts w:ascii="Arial" w:hAnsi="Arial" w:cs="Arial"/>
        </w:rPr>
        <w:t xml:space="preserve"> de 2016. </w:t>
      </w:r>
      <w:r w:rsidR="0063741F" w:rsidRPr="00F45A1F">
        <w:rPr>
          <w:rFonts w:ascii="Arial" w:hAnsi="Arial" w:cs="Arial"/>
        </w:rPr>
        <w:t xml:space="preserve">O incentivo de desligamento PSPE incluiu uma indenização financeira no momento do desligamento e </w:t>
      </w:r>
      <w:r w:rsidR="00AF26B8" w:rsidRPr="00F45A1F">
        <w:rPr>
          <w:rFonts w:ascii="Arial" w:hAnsi="Arial" w:cs="Arial"/>
        </w:rPr>
        <w:t>garantia de continuidade</w:t>
      </w:r>
      <w:r w:rsidR="00645811" w:rsidRPr="00F45A1F">
        <w:rPr>
          <w:rFonts w:ascii="Arial" w:hAnsi="Arial" w:cs="Arial"/>
        </w:rPr>
        <w:t xml:space="preserve"> </w:t>
      </w:r>
      <w:r w:rsidR="00AF26B8" w:rsidRPr="00F45A1F">
        <w:rPr>
          <w:rFonts w:ascii="Arial" w:hAnsi="Arial" w:cs="Arial"/>
        </w:rPr>
        <w:t>n</w:t>
      </w:r>
      <w:r w:rsidR="0063741F" w:rsidRPr="00F45A1F">
        <w:rPr>
          <w:rFonts w:ascii="Arial" w:hAnsi="Arial" w:cs="Arial"/>
        </w:rPr>
        <w:t xml:space="preserve">o plano de saúde </w:t>
      </w:r>
      <w:r w:rsidR="00AF26B8" w:rsidRPr="00F45A1F">
        <w:rPr>
          <w:rFonts w:ascii="Arial" w:hAnsi="Arial" w:cs="Arial"/>
        </w:rPr>
        <w:t>da Companhia pelo período de</w:t>
      </w:r>
      <w:r w:rsidR="0063741F" w:rsidRPr="00F45A1F">
        <w:rPr>
          <w:rFonts w:ascii="Arial" w:hAnsi="Arial" w:cs="Arial"/>
        </w:rPr>
        <w:t xml:space="preserve"> 5 anos</w:t>
      </w:r>
      <w:r w:rsidR="00AF26B8" w:rsidRPr="00F45A1F">
        <w:rPr>
          <w:rFonts w:ascii="Arial" w:hAnsi="Arial" w:cs="Arial"/>
        </w:rPr>
        <w:t>, incluindo os respectivos dependentes.</w:t>
      </w:r>
    </w:p>
    <w:p w14:paraId="50B34F83" w14:textId="77777777" w:rsidR="001D7513" w:rsidRPr="00F45A1F" w:rsidRDefault="001D7513" w:rsidP="0063741F">
      <w:pPr>
        <w:widowControl/>
        <w:tabs>
          <w:tab w:val="center" w:pos="4419"/>
          <w:tab w:val="right" w:pos="8838"/>
        </w:tabs>
        <w:jc w:val="both"/>
        <w:rPr>
          <w:rFonts w:ascii="Arial" w:hAnsi="Arial" w:cs="Arial"/>
        </w:rPr>
      </w:pPr>
    </w:p>
    <w:p w14:paraId="09FE2DD5" w14:textId="77777777" w:rsidR="00766976" w:rsidRPr="00F45A1F" w:rsidRDefault="001D7513" w:rsidP="00AF26B8">
      <w:pPr>
        <w:widowControl/>
        <w:spacing w:line="240" w:lineRule="auto"/>
        <w:jc w:val="both"/>
        <w:rPr>
          <w:rFonts w:ascii="Arial" w:hAnsi="Arial" w:cs="Arial"/>
        </w:rPr>
      </w:pPr>
      <w:r w:rsidRPr="00F45A1F">
        <w:rPr>
          <w:rFonts w:ascii="Arial" w:hAnsi="Arial" w:cs="Arial"/>
        </w:rPr>
        <w:t xml:space="preserve">Em 2017, o Plano de Aposentadoria Extraordinária – PAE foi </w:t>
      </w:r>
      <w:r w:rsidR="00024BE8" w:rsidRPr="00F45A1F">
        <w:rPr>
          <w:rFonts w:ascii="Arial" w:hAnsi="Arial" w:cs="Arial"/>
        </w:rPr>
        <w:t xml:space="preserve">aprovado </w:t>
      </w:r>
      <w:r w:rsidR="00076A15" w:rsidRPr="00F45A1F">
        <w:rPr>
          <w:rFonts w:ascii="Arial" w:hAnsi="Arial" w:cs="Arial"/>
        </w:rPr>
        <w:t xml:space="preserve">pela Diretoria Executiva </w:t>
      </w:r>
      <w:r w:rsidR="003D09D6" w:rsidRPr="00F45A1F">
        <w:rPr>
          <w:rFonts w:ascii="Arial" w:hAnsi="Arial" w:cs="Arial"/>
        </w:rPr>
        <w:t xml:space="preserve">na </w:t>
      </w:r>
      <w:r w:rsidR="00D33A05" w:rsidRPr="00F45A1F">
        <w:rPr>
          <w:rFonts w:ascii="Arial" w:hAnsi="Arial" w:cs="Arial"/>
        </w:rPr>
        <w:t>1</w:t>
      </w:r>
      <w:r w:rsidR="003D09D6" w:rsidRPr="00F45A1F">
        <w:rPr>
          <w:rFonts w:ascii="Arial" w:hAnsi="Arial" w:cs="Arial"/>
        </w:rPr>
        <w:t xml:space="preserve">352ª reunião realizada em </w:t>
      </w:r>
      <w:r w:rsidR="00064F4C" w:rsidRPr="00F45A1F">
        <w:rPr>
          <w:rFonts w:ascii="Arial" w:hAnsi="Arial" w:cs="Arial"/>
        </w:rPr>
        <w:t>23</w:t>
      </w:r>
      <w:r w:rsidR="001933B3" w:rsidRPr="00F45A1F">
        <w:rPr>
          <w:rFonts w:ascii="Arial" w:hAnsi="Arial" w:cs="Arial"/>
        </w:rPr>
        <w:t xml:space="preserve"> de maio de 2017</w:t>
      </w:r>
      <w:r w:rsidR="003D09D6" w:rsidRPr="00F45A1F">
        <w:rPr>
          <w:rFonts w:ascii="Arial" w:hAnsi="Arial" w:cs="Arial"/>
        </w:rPr>
        <w:t xml:space="preserve"> e </w:t>
      </w:r>
      <w:r w:rsidR="00024BE8" w:rsidRPr="00F45A1F">
        <w:rPr>
          <w:rFonts w:ascii="Arial" w:hAnsi="Arial" w:cs="Arial"/>
        </w:rPr>
        <w:t xml:space="preserve">pelo </w:t>
      </w:r>
      <w:r w:rsidRPr="00F45A1F">
        <w:rPr>
          <w:rFonts w:ascii="Arial" w:hAnsi="Arial" w:cs="Arial"/>
        </w:rPr>
        <w:t xml:space="preserve">Conselho de Administração </w:t>
      </w:r>
      <w:r w:rsidR="00024BE8" w:rsidRPr="00F45A1F">
        <w:rPr>
          <w:rFonts w:ascii="Arial" w:hAnsi="Arial" w:cs="Arial"/>
        </w:rPr>
        <w:t xml:space="preserve">da ELETRONUCLEAR, na </w:t>
      </w:r>
      <w:r w:rsidR="003D09D6" w:rsidRPr="00F45A1F">
        <w:rPr>
          <w:rFonts w:ascii="Arial" w:hAnsi="Arial" w:cs="Arial"/>
        </w:rPr>
        <w:t xml:space="preserve">360ª reunião realizada </w:t>
      </w:r>
      <w:r w:rsidR="00BE4F35" w:rsidRPr="00F45A1F">
        <w:rPr>
          <w:rFonts w:ascii="Arial" w:hAnsi="Arial" w:cs="Arial"/>
        </w:rPr>
        <w:t xml:space="preserve">em </w:t>
      </w:r>
      <w:r w:rsidR="00064F4C" w:rsidRPr="00F45A1F">
        <w:rPr>
          <w:rFonts w:ascii="Arial" w:hAnsi="Arial" w:cs="Arial"/>
        </w:rPr>
        <w:t>25</w:t>
      </w:r>
      <w:r w:rsidR="001933B3" w:rsidRPr="00F45A1F">
        <w:rPr>
          <w:rFonts w:ascii="Arial" w:hAnsi="Arial" w:cs="Arial"/>
        </w:rPr>
        <w:t xml:space="preserve"> de maio de 2017</w:t>
      </w:r>
      <w:r w:rsidR="00024BE8" w:rsidRPr="00F45A1F">
        <w:rPr>
          <w:rFonts w:ascii="Arial" w:hAnsi="Arial" w:cs="Arial"/>
        </w:rPr>
        <w:t>, com início da</w:t>
      </w:r>
      <w:r w:rsidR="00BE4F35" w:rsidRPr="00F45A1F">
        <w:rPr>
          <w:rFonts w:ascii="Arial" w:hAnsi="Arial" w:cs="Arial"/>
        </w:rPr>
        <w:t>s</w:t>
      </w:r>
      <w:r w:rsidR="00024BE8" w:rsidRPr="00F45A1F">
        <w:rPr>
          <w:rFonts w:ascii="Arial" w:hAnsi="Arial" w:cs="Arial"/>
        </w:rPr>
        <w:t xml:space="preserve"> adesões para </w:t>
      </w:r>
      <w:r w:rsidR="008A6C8C" w:rsidRPr="00F45A1F">
        <w:rPr>
          <w:rFonts w:ascii="Arial" w:hAnsi="Arial" w:cs="Arial"/>
        </w:rPr>
        <w:t>maio</w:t>
      </w:r>
      <w:r w:rsidR="00024BE8" w:rsidRPr="00F45A1F">
        <w:rPr>
          <w:rFonts w:ascii="Arial" w:hAnsi="Arial" w:cs="Arial"/>
        </w:rPr>
        <w:t xml:space="preserve"> de 2017 e </w:t>
      </w:r>
      <w:r w:rsidR="008D2C2F" w:rsidRPr="00F45A1F">
        <w:rPr>
          <w:rFonts w:ascii="Arial" w:hAnsi="Arial" w:cs="Arial"/>
        </w:rPr>
        <w:t>término</w:t>
      </w:r>
      <w:r w:rsidR="00024BE8" w:rsidRPr="00F45A1F">
        <w:rPr>
          <w:rFonts w:ascii="Arial" w:hAnsi="Arial" w:cs="Arial"/>
        </w:rPr>
        <w:t xml:space="preserve"> em </w:t>
      </w:r>
      <w:r w:rsidR="003D09D6" w:rsidRPr="00F45A1F">
        <w:rPr>
          <w:rFonts w:ascii="Arial" w:hAnsi="Arial" w:cs="Arial"/>
        </w:rPr>
        <w:t xml:space="preserve">31 de </w:t>
      </w:r>
      <w:r w:rsidR="00D847CB" w:rsidRPr="00F45A1F">
        <w:rPr>
          <w:rFonts w:ascii="Arial" w:hAnsi="Arial" w:cs="Arial"/>
        </w:rPr>
        <w:t>j</w:t>
      </w:r>
      <w:r w:rsidR="003D09D6" w:rsidRPr="00F45A1F">
        <w:rPr>
          <w:rFonts w:ascii="Arial" w:hAnsi="Arial" w:cs="Arial"/>
        </w:rPr>
        <w:t>ulho</w:t>
      </w:r>
      <w:r w:rsidR="00024BE8" w:rsidRPr="00F45A1F">
        <w:rPr>
          <w:rFonts w:ascii="Arial" w:hAnsi="Arial" w:cs="Arial"/>
        </w:rPr>
        <w:t xml:space="preserve"> de 2017. </w:t>
      </w:r>
      <w:r w:rsidR="00C87E2A" w:rsidRPr="00F45A1F">
        <w:rPr>
          <w:rFonts w:ascii="Arial" w:hAnsi="Arial" w:cs="Arial"/>
        </w:rPr>
        <w:t xml:space="preserve">Ocorreram 185 desligamentos entre </w:t>
      </w:r>
      <w:r w:rsidR="008A6C8C" w:rsidRPr="00F45A1F">
        <w:rPr>
          <w:rFonts w:ascii="Arial" w:hAnsi="Arial" w:cs="Arial"/>
        </w:rPr>
        <w:t>julho</w:t>
      </w:r>
      <w:r w:rsidR="00024BE8" w:rsidRPr="00F45A1F">
        <w:rPr>
          <w:rFonts w:ascii="Arial" w:hAnsi="Arial" w:cs="Arial"/>
        </w:rPr>
        <w:t xml:space="preserve"> de 2017 </w:t>
      </w:r>
      <w:r w:rsidR="00C87E2A" w:rsidRPr="00F45A1F">
        <w:rPr>
          <w:rFonts w:ascii="Arial" w:hAnsi="Arial" w:cs="Arial"/>
        </w:rPr>
        <w:t>e</w:t>
      </w:r>
      <w:r w:rsidR="00024BE8" w:rsidRPr="00F45A1F">
        <w:rPr>
          <w:rFonts w:ascii="Arial" w:hAnsi="Arial" w:cs="Arial"/>
        </w:rPr>
        <w:t xml:space="preserve"> dezembro 2017. </w:t>
      </w:r>
      <w:r w:rsidR="0063741F" w:rsidRPr="00F45A1F">
        <w:rPr>
          <w:rFonts w:ascii="Arial" w:hAnsi="Arial" w:cs="Arial"/>
        </w:rPr>
        <w:t xml:space="preserve">O incentivo de desligamento PAE incluiu uma indenização financeira no momento do desligamento </w:t>
      </w:r>
      <w:r w:rsidR="00740F5F" w:rsidRPr="00F45A1F">
        <w:rPr>
          <w:rFonts w:ascii="Arial" w:hAnsi="Arial" w:cs="Arial"/>
        </w:rPr>
        <w:t>e garantia de continuidade no plano de saúde da Companhia pelo período de 5 anos, incluindo os respectivos dependentes</w:t>
      </w:r>
      <w:r w:rsidR="00AF26B8" w:rsidRPr="00F45A1F">
        <w:rPr>
          <w:rFonts w:ascii="Arial" w:hAnsi="Arial" w:cs="Arial"/>
        </w:rPr>
        <w:t>.</w:t>
      </w:r>
    </w:p>
    <w:p w14:paraId="773104AA" w14:textId="77777777" w:rsidR="00AF26B8" w:rsidRPr="00F45A1F" w:rsidRDefault="00AF26B8" w:rsidP="00AF26B8">
      <w:pPr>
        <w:widowControl/>
        <w:spacing w:line="240" w:lineRule="auto"/>
        <w:jc w:val="both"/>
        <w:rPr>
          <w:rFonts w:ascii="Arial" w:hAnsi="Arial" w:cs="Arial"/>
        </w:rPr>
      </w:pPr>
    </w:p>
    <w:p w14:paraId="2E8CE81E" w14:textId="77777777" w:rsidR="0063741F" w:rsidRPr="00F45A1F" w:rsidRDefault="00175FCE" w:rsidP="0063741F">
      <w:pPr>
        <w:widowControl/>
        <w:spacing w:line="240" w:lineRule="auto"/>
        <w:jc w:val="both"/>
      </w:pPr>
      <w:r w:rsidRPr="00F45A1F">
        <w:rPr>
          <w:rFonts w:ascii="Arial" w:hAnsi="Arial" w:cs="Arial"/>
        </w:rPr>
        <w:t xml:space="preserve">O Plano de Demissão Consensual – PDC foi aprovado pelo Conselho de Administração na </w:t>
      </w:r>
      <w:r w:rsidR="00F76CFB" w:rsidRPr="00F45A1F">
        <w:rPr>
          <w:rFonts w:ascii="Arial" w:hAnsi="Arial" w:cs="Arial"/>
        </w:rPr>
        <w:t>374ª</w:t>
      </w:r>
      <w:r w:rsidRPr="00F45A1F">
        <w:rPr>
          <w:rFonts w:ascii="Arial" w:hAnsi="Arial" w:cs="Arial"/>
        </w:rPr>
        <w:t xml:space="preserve"> reunião realizada em </w:t>
      </w:r>
      <w:r w:rsidR="00F76CFB" w:rsidRPr="00F45A1F">
        <w:rPr>
          <w:rFonts w:ascii="Arial" w:hAnsi="Arial" w:cs="Arial"/>
        </w:rPr>
        <w:t>23</w:t>
      </w:r>
      <w:r w:rsidR="001933B3" w:rsidRPr="00F45A1F">
        <w:rPr>
          <w:rFonts w:ascii="Arial" w:hAnsi="Arial" w:cs="Arial"/>
        </w:rPr>
        <w:t xml:space="preserve"> de março de 2018</w:t>
      </w:r>
      <w:r w:rsidR="00F76CFB" w:rsidRPr="00F45A1F">
        <w:rPr>
          <w:rFonts w:ascii="Arial" w:hAnsi="Arial" w:cs="Arial"/>
        </w:rPr>
        <w:t>,</w:t>
      </w:r>
      <w:r w:rsidRPr="00F45A1F">
        <w:rPr>
          <w:rFonts w:ascii="Arial" w:hAnsi="Arial" w:cs="Arial"/>
        </w:rPr>
        <w:t xml:space="preserve"> com período de adesão entre 26</w:t>
      </w:r>
      <w:r w:rsidR="008C0E48" w:rsidRPr="00F45A1F">
        <w:rPr>
          <w:rFonts w:ascii="Arial" w:hAnsi="Arial" w:cs="Arial"/>
        </w:rPr>
        <w:t>/</w:t>
      </w:r>
      <w:r w:rsidRPr="00F45A1F">
        <w:rPr>
          <w:rFonts w:ascii="Arial" w:hAnsi="Arial" w:cs="Arial"/>
        </w:rPr>
        <w:t>03</w:t>
      </w:r>
      <w:r w:rsidR="008C0E48" w:rsidRPr="00F45A1F">
        <w:rPr>
          <w:rFonts w:ascii="Arial" w:hAnsi="Arial" w:cs="Arial"/>
        </w:rPr>
        <w:t>/</w:t>
      </w:r>
      <w:r w:rsidR="004572B9" w:rsidRPr="00F45A1F">
        <w:rPr>
          <w:rFonts w:ascii="Arial" w:hAnsi="Arial" w:cs="Arial"/>
        </w:rPr>
        <w:t>20</w:t>
      </w:r>
      <w:r w:rsidRPr="00F45A1F">
        <w:rPr>
          <w:rFonts w:ascii="Arial" w:hAnsi="Arial" w:cs="Arial"/>
        </w:rPr>
        <w:t>18 e 27</w:t>
      </w:r>
      <w:r w:rsidR="008C0E48" w:rsidRPr="00F45A1F">
        <w:rPr>
          <w:rFonts w:ascii="Arial" w:hAnsi="Arial" w:cs="Arial"/>
        </w:rPr>
        <w:t>/</w:t>
      </w:r>
      <w:r w:rsidRPr="00F45A1F">
        <w:rPr>
          <w:rFonts w:ascii="Arial" w:hAnsi="Arial" w:cs="Arial"/>
        </w:rPr>
        <w:t>04</w:t>
      </w:r>
      <w:r w:rsidR="008C0E48" w:rsidRPr="00F45A1F">
        <w:rPr>
          <w:rFonts w:ascii="Arial" w:hAnsi="Arial" w:cs="Arial"/>
        </w:rPr>
        <w:t>/</w:t>
      </w:r>
      <w:r w:rsidR="004572B9" w:rsidRPr="00F45A1F">
        <w:rPr>
          <w:rFonts w:ascii="Arial" w:hAnsi="Arial" w:cs="Arial"/>
        </w:rPr>
        <w:t>20</w:t>
      </w:r>
      <w:r w:rsidRPr="00F45A1F">
        <w:rPr>
          <w:rFonts w:ascii="Arial" w:hAnsi="Arial" w:cs="Arial"/>
        </w:rPr>
        <w:t>18</w:t>
      </w:r>
      <w:r w:rsidR="007226C2" w:rsidRPr="00F45A1F">
        <w:rPr>
          <w:rFonts w:ascii="Arial" w:hAnsi="Arial" w:cs="Arial"/>
        </w:rPr>
        <w:t>.</w:t>
      </w:r>
      <w:r w:rsidRPr="00F45A1F">
        <w:rPr>
          <w:rFonts w:ascii="Arial" w:hAnsi="Arial" w:cs="Arial"/>
        </w:rPr>
        <w:t>Os desligamentos</w:t>
      </w:r>
      <w:r w:rsidR="00F76CFB" w:rsidRPr="00F45A1F">
        <w:rPr>
          <w:rFonts w:ascii="Arial" w:hAnsi="Arial" w:cs="Arial"/>
        </w:rPr>
        <w:t>, que</w:t>
      </w:r>
      <w:r w:rsidR="00645811" w:rsidRPr="00F45A1F">
        <w:rPr>
          <w:rFonts w:ascii="Arial" w:hAnsi="Arial" w:cs="Arial"/>
        </w:rPr>
        <w:t xml:space="preserve"> </w:t>
      </w:r>
      <w:r w:rsidR="00F76CFB" w:rsidRPr="00F45A1F">
        <w:rPr>
          <w:rFonts w:ascii="Arial" w:hAnsi="Arial" w:cs="Arial"/>
        </w:rPr>
        <w:t xml:space="preserve">se iniciaram em 04 de </w:t>
      </w:r>
      <w:r w:rsidR="008A6C8C" w:rsidRPr="00F45A1F">
        <w:rPr>
          <w:rFonts w:ascii="Arial" w:hAnsi="Arial" w:cs="Arial"/>
        </w:rPr>
        <w:t>junho</w:t>
      </w:r>
      <w:r w:rsidR="00F76CFB" w:rsidRPr="00F45A1F">
        <w:rPr>
          <w:rFonts w:ascii="Arial" w:hAnsi="Arial" w:cs="Arial"/>
        </w:rPr>
        <w:t xml:space="preserve"> de 2018, </w:t>
      </w:r>
      <w:r w:rsidR="00D13AA0" w:rsidRPr="00F45A1F">
        <w:rPr>
          <w:rFonts w:ascii="Arial" w:hAnsi="Arial" w:cs="Arial"/>
        </w:rPr>
        <w:t xml:space="preserve">foram </w:t>
      </w:r>
      <w:r w:rsidR="0012695D" w:rsidRPr="00F45A1F">
        <w:rPr>
          <w:rFonts w:ascii="Arial" w:hAnsi="Arial" w:cs="Arial"/>
        </w:rPr>
        <w:t xml:space="preserve">efetuados até </w:t>
      </w:r>
      <w:r w:rsidR="007226C2" w:rsidRPr="00F45A1F">
        <w:rPr>
          <w:rFonts w:ascii="Arial" w:hAnsi="Arial" w:cs="Arial"/>
        </w:rPr>
        <w:t>14</w:t>
      </w:r>
      <w:r w:rsidR="0012695D" w:rsidRPr="00F45A1F">
        <w:rPr>
          <w:rFonts w:ascii="Arial" w:hAnsi="Arial" w:cs="Arial"/>
        </w:rPr>
        <w:t xml:space="preserve"> de </w:t>
      </w:r>
      <w:r w:rsidR="00D847CB" w:rsidRPr="00F45A1F">
        <w:rPr>
          <w:rFonts w:ascii="Arial" w:hAnsi="Arial" w:cs="Arial"/>
        </w:rPr>
        <w:t>d</w:t>
      </w:r>
      <w:r w:rsidR="0012695D" w:rsidRPr="00F45A1F">
        <w:rPr>
          <w:rFonts w:ascii="Arial" w:hAnsi="Arial" w:cs="Arial"/>
        </w:rPr>
        <w:t>ezembro de 2018</w:t>
      </w:r>
      <w:r w:rsidR="00F76CFB" w:rsidRPr="00F45A1F">
        <w:rPr>
          <w:rFonts w:ascii="Arial" w:hAnsi="Arial" w:cs="Arial"/>
        </w:rPr>
        <w:t>.</w:t>
      </w:r>
      <w:r w:rsidR="0063741F" w:rsidRPr="00F45A1F">
        <w:rPr>
          <w:rFonts w:ascii="Arial" w:hAnsi="Arial" w:cs="Arial"/>
        </w:rPr>
        <w:t xml:space="preserve">O incentivo de desligamento PDC incluiu uma indenização financeira no momento do desligamento </w:t>
      </w:r>
      <w:r w:rsidR="00740F5F" w:rsidRPr="00F45A1F">
        <w:rPr>
          <w:rFonts w:ascii="Arial" w:hAnsi="Arial" w:cs="Arial"/>
        </w:rPr>
        <w:t xml:space="preserve">e garantia de continuidade no plano de saúde da Companhia pelo período de </w:t>
      </w:r>
      <w:r w:rsidR="003F1B8D" w:rsidRPr="00F45A1F">
        <w:rPr>
          <w:rFonts w:ascii="Arial" w:hAnsi="Arial" w:cs="Arial"/>
        </w:rPr>
        <w:t xml:space="preserve">5 </w:t>
      </w:r>
      <w:r w:rsidR="00740F5F" w:rsidRPr="00F45A1F">
        <w:rPr>
          <w:rFonts w:ascii="Arial" w:hAnsi="Arial" w:cs="Arial"/>
        </w:rPr>
        <w:t>anos, incluindo os respectivos dependentes</w:t>
      </w:r>
      <w:r w:rsidR="0063741F" w:rsidRPr="00F45A1F">
        <w:rPr>
          <w:rFonts w:ascii="Arial" w:hAnsi="Arial" w:cs="Arial"/>
        </w:rPr>
        <w:t>.</w:t>
      </w:r>
    </w:p>
    <w:p w14:paraId="6EB19233" w14:textId="77777777" w:rsidR="00FE1678" w:rsidRPr="00F45A1F" w:rsidRDefault="00FE1678" w:rsidP="0063741F">
      <w:pPr>
        <w:widowControl/>
        <w:tabs>
          <w:tab w:val="center" w:pos="4419"/>
          <w:tab w:val="right" w:pos="8838"/>
        </w:tabs>
        <w:jc w:val="both"/>
        <w:rPr>
          <w:rFonts w:ascii="Arial" w:hAnsi="Arial" w:cs="Arial"/>
        </w:rPr>
      </w:pPr>
    </w:p>
    <w:p w14:paraId="2D429D6C" w14:textId="1835B850" w:rsidR="003F4719" w:rsidRPr="00F45A1F" w:rsidRDefault="00645811" w:rsidP="0063741F">
      <w:pPr>
        <w:widowControl/>
        <w:tabs>
          <w:tab w:val="center" w:pos="4419"/>
          <w:tab w:val="right" w:pos="8838"/>
        </w:tabs>
        <w:jc w:val="both"/>
        <w:rPr>
          <w:rFonts w:ascii="Arial" w:hAnsi="Arial" w:cs="Arial"/>
        </w:rPr>
      </w:pPr>
      <w:r w:rsidRPr="00F45A1F">
        <w:rPr>
          <w:rFonts w:ascii="Arial" w:hAnsi="Arial" w:cs="Arial"/>
        </w:rPr>
        <w:t xml:space="preserve"> </w:t>
      </w:r>
      <w:r w:rsidR="00806C1A" w:rsidRPr="00F64B19">
        <w:rPr>
          <w:rFonts w:ascii="Arial" w:hAnsi="Arial" w:cs="Arial"/>
        </w:rPr>
        <w:t xml:space="preserve">A </w:t>
      </w:r>
      <w:r w:rsidR="003F4719" w:rsidRPr="00F64B19">
        <w:rPr>
          <w:rFonts w:ascii="Arial" w:hAnsi="Arial" w:cs="Arial"/>
        </w:rPr>
        <w:t>ELETRONUCLEAR reconheceu</w:t>
      </w:r>
      <w:r w:rsidR="00806C1A" w:rsidRPr="00F64B19">
        <w:rPr>
          <w:rFonts w:ascii="Arial" w:hAnsi="Arial" w:cs="Arial"/>
        </w:rPr>
        <w:t xml:space="preserve"> </w:t>
      </w:r>
      <w:r w:rsidR="00490D44" w:rsidRPr="00F64B19">
        <w:rPr>
          <w:rFonts w:ascii="Arial" w:hAnsi="Arial" w:cs="Arial"/>
        </w:rPr>
        <w:t>a</w:t>
      </w:r>
      <w:r w:rsidR="00806C1A" w:rsidRPr="00F64B19">
        <w:rPr>
          <w:rFonts w:ascii="Arial" w:hAnsi="Arial" w:cs="Arial"/>
        </w:rPr>
        <w:t xml:space="preserve"> </w:t>
      </w:r>
      <w:r w:rsidR="00D70F34" w:rsidRPr="00F64B19">
        <w:rPr>
          <w:rFonts w:ascii="Arial" w:hAnsi="Arial" w:cs="Arial"/>
        </w:rPr>
        <w:t>baixa</w:t>
      </w:r>
      <w:r w:rsidR="00806C1A" w:rsidRPr="00F64B19">
        <w:rPr>
          <w:rFonts w:ascii="Arial" w:hAnsi="Arial" w:cs="Arial"/>
        </w:rPr>
        <w:t xml:space="preserve"> de provisão </w:t>
      </w:r>
      <w:r w:rsidR="00024BE8" w:rsidRPr="00F64B19">
        <w:rPr>
          <w:rFonts w:ascii="Arial" w:hAnsi="Arial" w:cs="Arial"/>
        </w:rPr>
        <w:t>de R$</w:t>
      </w:r>
      <w:r w:rsidR="00806C1A" w:rsidRPr="00F64B19">
        <w:rPr>
          <w:rFonts w:ascii="Arial" w:hAnsi="Arial" w:cs="Arial"/>
        </w:rPr>
        <w:t xml:space="preserve"> 8.014 </w:t>
      </w:r>
      <w:r w:rsidR="004F3D45" w:rsidRPr="00F64B19">
        <w:rPr>
          <w:rFonts w:ascii="Arial" w:hAnsi="Arial" w:cs="Arial"/>
        </w:rPr>
        <w:t>referente ao</w:t>
      </w:r>
      <w:r w:rsidR="00B62990" w:rsidRPr="00F64B19">
        <w:rPr>
          <w:rFonts w:ascii="Arial" w:hAnsi="Arial" w:cs="Arial"/>
        </w:rPr>
        <w:t xml:space="preserve"> </w:t>
      </w:r>
      <w:r w:rsidR="004F3D45" w:rsidRPr="00F64B19">
        <w:rPr>
          <w:rFonts w:ascii="Arial" w:hAnsi="Arial" w:cs="Arial"/>
        </w:rPr>
        <w:t>plano de</w:t>
      </w:r>
      <w:r w:rsidR="00F267F0" w:rsidRPr="00F64B19">
        <w:rPr>
          <w:rFonts w:ascii="Arial" w:hAnsi="Arial" w:cs="Arial"/>
        </w:rPr>
        <w:t xml:space="preserve"> incentivo de desligamento</w:t>
      </w:r>
      <w:r w:rsidR="00490D44" w:rsidRPr="00F64B19">
        <w:rPr>
          <w:rFonts w:ascii="Arial" w:hAnsi="Arial" w:cs="Arial"/>
        </w:rPr>
        <w:t xml:space="preserve"> dos</w:t>
      </w:r>
      <w:r w:rsidR="00B62990" w:rsidRPr="00F64B19">
        <w:rPr>
          <w:rFonts w:ascii="Arial" w:hAnsi="Arial" w:cs="Arial"/>
        </w:rPr>
        <w:t xml:space="preserve"> </w:t>
      </w:r>
      <w:r w:rsidR="00791C00" w:rsidRPr="00F64B19">
        <w:rPr>
          <w:rFonts w:ascii="Arial" w:hAnsi="Arial" w:cs="Arial"/>
        </w:rPr>
        <w:t>funcionários</w:t>
      </w:r>
      <w:r w:rsidR="00806C1A" w:rsidRPr="00F64B19">
        <w:rPr>
          <w:rFonts w:ascii="Arial" w:hAnsi="Arial" w:cs="Arial"/>
        </w:rPr>
        <w:t xml:space="preserve">, permanecendo </w:t>
      </w:r>
      <w:r w:rsidR="00B02629" w:rsidRPr="00F64B19">
        <w:rPr>
          <w:rFonts w:ascii="Arial" w:hAnsi="Arial" w:cs="Arial"/>
        </w:rPr>
        <w:t>o saldo</w:t>
      </w:r>
      <w:r w:rsidR="00B62990" w:rsidRPr="00F64B19">
        <w:rPr>
          <w:rFonts w:ascii="Arial" w:hAnsi="Arial" w:cs="Arial"/>
        </w:rPr>
        <w:t xml:space="preserve"> </w:t>
      </w:r>
      <w:r w:rsidR="00B02629" w:rsidRPr="00F64B19">
        <w:rPr>
          <w:rFonts w:ascii="Arial" w:hAnsi="Arial" w:cs="Arial"/>
        </w:rPr>
        <w:t>da provisão</w:t>
      </w:r>
      <w:r w:rsidR="003F4719" w:rsidRPr="00F64B19">
        <w:rPr>
          <w:rFonts w:ascii="Arial" w:hAnsi="Arial" w:cs="Arial"/>
        </w:rPr>
        <w:t xml:space="preserve"> </w:t>
      </w:r>
      <w:r w:rsidR="00806C1A" w:rsidRPr="00F64B19">
        <w:rPr>
          <w:rFonts w:ascii="Arial" w:hAnsi="Arial" w:cs="Arial"/>
        </w:rPr>
        <w:t xml:space="preserve">em 31 de março de 2020 </w:t>
      </w:r>
      <w:r w:rsidR="00935658" w:rsidRPr="00F64B19">
        <w:rPr>
          <w:rFonts w:ascii="Arial" w:hAnsi="Arial" w:cs="Arial"/>
        </w:rPr>
        <w:t xml:space="preserve">de </w:t>
      </w:r>
      <w:r w:rsidR="003F01EE" w:rsidRPr="00F64B19">
        <w:rPr>
          <w:rFonts w:ascii="Arial" w:hAnsi="Arial" w:cs="Arial"/>
        </w:rPr>
        <w:t xml:space="preserve">R$ </w:t>
      </w:r>
      <w:r w:rsidR="00935658" w:rsidRPr="00F64B19">
        <w:rPr>
          <w:rFonts w:ascii="Arial" w:hAnsi="Arial" w:cs="Arial"/>
        </w:rPr>
        <w:t>36.071</w:t>
      </w:r>
      <w:r w:rsidR="00B62990" w:rsidRPr="00F64B19">
        <w:rPr>
          <w:rFonts w:ascii="Arial" w:hAnsi="Arial" w:cs="Arial"/>
        </w:rPr>
        <w:t xml:space="preserve"> </w:t>
      </w:r>
      <w:r w:rsidR="003F4719" w:rsidRPr="00F64B19">
        <w:rPr>
          <w:rFonts w:ascii="Arial" w:hAnsi="Arial" w:cs="Arial"/>
        </w:rPr>
        <w:t xml:space="preserve">(R$ </w:t>
      </w:r>
      <w:r w:rsidR="00B62990" w:rsidRPr="00F64B19">
        <w:rPr>
          <w:rFonts w:ascii="Arial" w:hAnsi="Arial" w:cs="Arial"/>
        </w:rPr>
        <w:t xml:space="preserve">44.085 </w:t>
      </w:r>
      <w:r w:rsidR="003F4719" w:rsidRPr="00F64B19">
        <w:rPr>
          <w:rFonts w:ascii="Arial" w:hAnsi="Arial" w:cs="Arial"/>
        </w:rPr>
        <w:t xml:space="preserve">em </w:t>
      </w:r>
      <w:r w:rsidR="00311C5C" w:rsidRPr="00F64B19">
        <w:rPr>
          <w:rFonts w:ascii="Arial" w:hAnsi="Arial" w:cs="Arial"/>
        </w:rPr>
        <w:t xml:space="preserve">31 </w:t>
      </w:r>
      <w:r w:rsidR="003F4719" w:rsidRPr="00F64B19">
        <w:rPr>
          <w:rFonts w:ascii="Arial" w:hAnsi="Arial" w:cs="Arial"/>
        </w:rPr>
        <w:t>dezembro de 201</w:t>
      </w:r>
      <w:r w:rsidR="00B62990" w:rsidRPr="00F64B19">
        <w:rPr>
          <w:rFonts w:ascii="Arial" w:hAnsi="Arial" w:cs="Arial"/>
        </w:rPr>
        <w:t>9</w:t>
      </w:r>
      <w:r w:rsidR="003F4719" w:rsidRPr="00F64B19">
        <w:rPr>
          <w:rFonts w:ascii="Arial" w:hAnsi="Arial" w:cs="Arial"/>
        </w:rPr>
        <w:t>).</w:t>
      </w:r>
    </w:p>
    <w:p w14:paraId="6F9E0B7A" w14:textId="77777777" w:rsidR="007A55C4" w:rsidRPr="00F45A1F" w:rsidRDefault="007A55C4" w:rsidP="0063741F">
      <w:pPr>
        <w:widowControl/>
        <w:jc w:val="both"/>
        <w:rPr>
          <w:rFonts w:ascii="Arial" w:hAnsi="Arial" w:cs="Arial"/>
          <w:b/>
          <w:sz w:val="16"/>
          <w:szCs w:val="16"/>
        </w:rPr>
      </w:pPr>
    </w:p>
    <w:p w14:paraId="1D2B3FF5" w14:textId="77777777" w:rsidR="00D5405D" w:rsidRPr="00F45A1F" w:rsidRDefault="00935658" w:rsidP="005144E2">
      <w:pPr>
        <w:widowControl/>
        <w:rPr>
          <w:rFonts w:ascii="Arial" w:hAnsi="Arial" w:cs="Arial"/>
          <w:b/>
        </w:rPr>
      </w:pPr>
      <w:r w:rsidRPr="00F45A1F">
        <w:rPr>
          <w:noProof/>
        </w:rPr>
        <w:drawing>
          <wp:inline distT="0" distB="0" distL="0" distR="0" wp14:anchorId="6E7A92D3" wp14:editId="6F5F8EA1">
            <wp:extent cx="6073140" cy="4902086"/>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73140" cy="4902086"/>
                    </a:xfrm>
                    <a:prstGeom prst="rect">
                      <a:avLst/>
                    </a:prstGeom>
                    <a:noFill/>
                    <a:ln>
                      <a:noFill/>
                    </a:ln>
                  </pic:spPr>
                </pic:pic>
              </a:graphicData>
            </a:graphic>
          </wp:inline>
        </w:drawing>
      </w:r>
    </w:p>
    <w:p w14:paraId="1F415E91" w14:textId="77777777" w:rsidR="00D5405D" w:rsidRPr="00F45A1F" w:rsidRDefault="00D5405D" w:rsidP="005144E2">
      <w:pPr>
        <w:widowControl/>
        <w:rPr>
          <w:rFonts w:ascii="Arial" w:hAnsi="Arial" w:cs="Arial"/>
          <w:b/>
        </w:rPr>
      </w:pPr>
    </w:p>
    <w:p w14:paraId="29D59BDF" w14:textId="77777777" w:rsidR="007A55C4" w:rsidRPr="00F45A1F" w:rsidRDefault="007A55C4" w:rsidP="005144E2">
      <w:pPr>
        <w:widowControl/>
        <w:rPr>
          <w:rFonts w:ascii="Arial" w:hAnsi="Arial" w:cs="Arial"/>
          <w:b/>
        </w:rPr>
      </w:pPr>
    </w:p>
    <w:p w14:paraId="02C98086" w14:textId="77777777" w:rsidR="002B1BDF" w:rsidRPr="00F45A1F" w:rsidRDefault="002B1BDF" w:rsidP="005144E2">
      <w:pPr>
        <w:widowControl/>
        <w:rPr>
          <w:rFonts w:ascii="Arial" w:hAnsi="Arial" w:cs="Arial"/>
          <w:b/>
        </w:rPr>
      </w:pPr>
    </w:p>
    <w:p w14:paraId="7DD6625D" w14:textId="77777777" w:rsidR="00A16C43" w:rsidRPr="00F45A1F" w:rsidRDefault="00A16C43" w:rsidP="005144E2">
      <w:pPr>
        <w:widowControl/>
        <w:rPr>
          <w:rFonts w:ascii="Arial" w:hAnsi="Arial" w:cs="Arial"/>
          <w:b/>
          <w:sz w:val="26"/>
          <w:szCs w:val="26"/>
        </w:rPr>
      </w:pPr>
      <w:r w:rsidRPr="00F45A1F">
        <w:rPr>
          <w:rFonts w:ascii="Arial" w:hAnsi="Arial" w:cs="Arial"/>
          <w:b/>
          <w:sz w:val="26"/>
          <w:szCs w:val="26"/>
        </w:rPr>
        <w:t>NOTA 23 – PROVISÕES PARA RISCOS</w:t>
      </w:r>
    </w:p>
    <w:p w14:paraId="24887BFA" w14:textId="77777777" w:rsidR="00A16C43" w:rsidRPr="00F45A1F" w:rsidRDefault="00A16C43" w:rsidP="005144E2">
      <w:pPr>
        <w:widowControl/>
        <w:rPr>
          <w:rFonts w:ascii="Arial" w:hAnsi="Arial" w:cs="Arial"/>
          <w:b/>
        </w:rPr>
      </w:pPr>
    </w:p>
    <w:p w14:paraId="2308F8C5" w14:textId="77777777" w:rsidR="001933B3" w:rsidRPr="00F45A1F" w:rsidRDefault="001933B3" w:rsidP="005144E2">
      <w:pPr>
        <w:widowControl/>
        <w:rPr>
          <w:rFonts w:ascii="Arial" w:hAnsi="Arial" w:cs="Arial"/>
          <w:b/>
        </w:rPr>
      </w:pPr>
    </w:p>
    <w:p w14:paraId="2A3C53F7" w14:textId="77777777" w:rsidR="00A16C43" w:rsidRPr="00F45A1F" w:rsidRDefault="00A16C43" w:rsidP="005144E2">
      <w:pPr>
        <w:widowControl/>
        <w:jc w:val="both"/>
        <w:rPr>
          <w:rFonts w:ascii="Arial" w:hAnsi="Arial" w:cs="Arial"/>
        </w:rPr>
      </w:pPr>
      <w:r w:rsidRPr="00F45A1F">
        <w:rPr>
          <w:rFonts w:ascii="Arial" w:hAnsi="Arial" w:cs="Arial"/>
        </w:rPr>
        <w:t>A Companhia, amparada pela sua Procuradoria Jurídica, mantém o registro no passivo não circulante, de provisões para contingências judiciais que atendem os critérios de reconhecimento apresentados no CPC 25 – Provisões, Passivos Contingentes e Ativos Contingentes, conforme quadro abaixo:</w:t>
      </w:r>
    </w:p>
    <w:p w14:paraId="676DFF9F" w14:textId="77777777" w:rsidR="00004EAA" w:rsidRPr="00F45A1F" w:rsidRDefault="00004EAA" w:rsidP="005144E2">
      <w:pPr>
        <w:widowControl/>
        <w:jc w:val="both"/>
        <w:rPr>
          <w:rFonts w:ascii="Arial" w:hAnsi="Arial" w:cs="Arial"/>
        </w:rPr>
      </w:pPr>
    </w:p>
    <w:p w14:paraId="01F46F40" w14:textId="77777777" w:rsidR="00A16C43" w:rsidRPr="00F45A1F" w:rsidRDefault="00A16C43" w:rsidP="005144E2">
      <w:pPr>
        <w:pStyle w:val="PargrafodaLista"/>
        <w:widowControl/>
        <w:numPr>
          <w:ilvl w:val="0"/>
          <w:numId w:val="18"/>
        </w:numPr>
        <w:tabs>
          <w:tab w:val="center" w:pos="4419"/>
          <w:tab w:val="right" w:pos="8838"/>
        </w:tabs>
        <w:ind w:left="426" w:hanging="426"/>
        <w:rPr>
          <w:rFonts w:ascii="Arial" w:hAnsi="Arial" w:cs="Arial"/>
          <w:b/>
        </w:rPr>
      </w:pPr>
      <w:r w:rsidRPr="00F45A1F">
        <w:rPr>
          <w:rFonts w:ascii="Arial" w:hAnsi="Arial" w:cs="Arial"/>
          <w:b/>
        </w:rPr>
        <w:t>Composição</w:t>
      </w:r>
    </w:p>
    <w:p w14:paraId="195CA0BA" w14:textId="77777777" w:rsidR="006E368C" w:rsidRPr="00F45A1F" w:rsidRDefault="006E368C" w:rsidP="006E368C">
      <w:pPr>
        <w:widowControl/>
        <w:tabs>
          <w:tab w:val="center" w:pos="4419"/>
          <w:tab w:val="right" w:pos="8838"/>
        </w:tabs>
        <w:rPr>
          <w:rFonts w:ascii="Arial" w:hAnsi="Arial" w:cs="Arial"/>
          <w:b/>
          <w:sz w:val="16"/>
          <w:szCs w:val="16"/>
        </w:rPr>
      </w:pPr>
    </w:p>
    <w:p w14:paraId="118EB513" w14:textId="77777777" w:rsidR="00A16C43" w:rsidRPr="00F45A1F" w:rsidRDefault="004C20FF" w:rsidP="005144E2">
      <w:pPr>
        <w:widowControl/>
        <w:tabs>
          <w:tab w:val="center" w:pos="4419"/>
          <w:tab w:val="right" w:pos="8838"/>
        </w:tabs>
        <w:rPr>
          <w:rFonts w:ascii="Arial" w:hAnsi="Arial" w:cs="Arial"/>
          <w:b/>
        </w:rPr>
      </w:pPr>
      <w:r w:rsidRPr="00F45A1F">
        <w:rPr>
          <w:noProof/>
        </w:rPr>
        <w:drawing>
          <wp:inline distT="0" distB="0" distL="0" distR="0" wp14:anchorId="3FEF9892" wp14:editId="65BCEA09">
            <wp:extent cx="5638800" cy="44005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38800" cy="4400550"/>
                    </a:xfrm>
                    <a:prstGeom prst="rect">
                      <a:avLst/>
                    </a:prstGeom>
                    <a:noFill/>
                    <a:ln>
                      <a:noFill/>
                    </a:ln>
                  </pic:spPr>
                </pic:pic>
              </a:graphicData>
            </a:graphic>
          </wp:inline>
        </w:drawing>
      </w:r>
    </w:p>
    <w:p w14:paraId="2AC5588B" w14:textId="77777777" w:rsidR="004C20FF" w:rsidRPr="00F45A1F" w:rsidRDefault="004C20FF" w:rsidP="004C20FF">
      <w:pPr>
        <w:widowControl/>
        <w:spacing w:line="240" w:lineRule="auto"/>
        <w:jc w:val="both"/>
        <w:rPr>
          <w:rFonts w:ascii="Arial" w:hAnsi="Arial" w:cs="Arial"/>
        </w:rPr>
      </w:pPr>
    </w:p>
    <w:p w14:paraId="6FE2A0A3" w14:textId="77777777" w:rsidR="004C20FF" w:rsidRPr="00F45A1F" w:rsidRDefault="004C20FF" w:rsidP="004C20FF">
      <w:pPr>
        <w:widowControl/>
        <w:spacing w:line="240" w:lineRule="auto"/>
        <w:jc w:val="both"/>
        <w:rPr>
          <w:rFonts w:ascii="Arial" w:hAnsi="Arial" w:cs="Arial"/>
        </w:rPr>
      </w:pPr>
      <w:r w:rsidRPr="00F45A1F">
        <w:rPr>
          <w:rFonts w:ascii="Arial" w:hAnsi="Arial" w:cs="Arial"/>
        </w:rPr>
        <w:t>Os depósitos judiciais apresentados no quadro acima são apenas aqueles vinculados às contingências de perda provável.  Os demais depósitos judiciais da Companhia estão divulgados na Nota 12.</w:t>
      </w:r>
    </w:p>
    <w:p w14:paraId="64398CBE" w14:textId="77777777" w:rsidR="004C20FF" w:rsidRPr="00F45A1F" w:rsidRDefault="004C20FF" w:rsidP="004C20FF">
      <w:pPr>
        <w:widowControl/>
        <w:spacing w:line="240" w:lineRule="auto"/>
        <w:jc w:val="both"/>
        <w:rPr>
          <w:rFonts w:ascii="Arial" w:hAnsi="Arial" w:cs="Arial"/>
        </w:rPr>
      </w:pPr>
    </w:p>
    <w:p w14:paraId="0ED934DC" w14:textId="1FD133B5" w:rsidR="004C20FF" w:rsidRPr="00F45A1F" w:rsidRDefault="004C20FF" w:rsidP="004C20FF">
      <w:pPr>
        <w:widowControl/>
        <w:spacing w:line="240" w:lineRule="auto"/>
        <w:jc w:val="both"/>
        <w:rPr>
          <w:rFonts w:ascii="Arial" w:hAnsi="Arial" w:cs="Arial"/>
        </w:rPr>
      </w:pPr>
      <w:r w:rsidRPr="00F45A1F">
        <w:rPr>
          <w:rFonts w:ascii="Arial" w:hAnsi="Arial" w:cs="Arial"/>
        </w:rPr>
        <w:t xml:space="preserve">Os processos judiciais, avaliados como de perda possível, movidos contra a Companhia e, portanto, não provisionados, montam R$ 1.435.328 atualizados em 31 de março 2020 (R$ 1.441.553 em 31 de dezembro de 2019), sendo R$ 926.236 de processos de natureza trabalhista (R$ 906.361 em 31 de dezembro de 2019), </w:t>
      </w:r>
      <w:r w:rsidR="00222620" w:rsidRPr="00F45A1F">
        <w:rPr>
          <w:rFonts w:ascii="Arial" w:hAnsi="Arial" w:cs="Arial"/>
        </w:rPr>
        <w:t>R$ 121.239 de ações tributárias (R$ 120.352 em 31 de dezembro de 2019)</w:t>
      </w:r>
      <w:r w:rsidR="00222620">
        <w:rPr>
          <w:rFonts w:ascii="Arial" w:hAnsi="Arial" w:cs="Arial"/>
        </w:rPr>
        <w:t xml:space="preserve"> e</w:t>
      </w:r>
      <w:r w:rsidR="00222620" w:rsidRPr="00F45A1F">
        <w:rPr>
          <w:rFonts w:ascii="Arial" w:hAnsi="Arial" w:cs="Arial"/>
        </w:rPr>
        <w:t xml:space="preserve"> R$ 387.853 de ações cíveis (R$ 414.839 em 31 de dezembro de 2019)</w:t>
      </w:r>
      <w:r w:rsidRPr="00F45A1F">
        <w:rPr>
          <w:rFonts w:ascii="Arial" w:hAnsi="Arial" w:cs="Arial"/>
        </w:rPr>
        <w:t>.</w:t>
      </w:r>
    </w:p>
    <w:p w14:paraId="3DCD9B9D" w14:textId="77777777" w:rsidR="004C20FF" w:rsidRPr="00F45A1F" w:rsidRDefault="004C20FF" w:rsidP="004C20FF">
      <w:pPr>
        <w:widowControl/>
        <w:spacing w:line="240" w:lineRule="auto"/>
        <w:jc w:val="both"/>
        <w:rPr>
          <w:rFonts w:ascii="Arial" w:hAnsi="Arial" w:cs="Arial"/>
        </w:rPr>
      </w:pPr>
    </w:p>
    <w:p w14:paraId="13D798A6" w14:textId="77777777" w:rsidR="004C20FF" w:rsidRPr="00F45A1F" w:rsidRDefault="004C20FF" w:rsidP="004C20FF">
      <w:pPr>
        <w:widowControl/>
        <w:spacing w:line="240" w:lineRule="auto"/>
        <w:jc w:val="both"/>
        <w:rPr>
          <w:rFonts w:ascii="Arial" w:hAnsi="Arial"/>
        </w:rPr>
      </w:pPr>
      <w:r w:rsidRPr="00F45A1F">
        <w:rPr>
          <w:rFonts w:ascii="Arial" w:hAnsi="Arial"/>
        </w:rPr>
        <w:t>Dentre as ações de causas prováveis e possíveis, e, que apresentam valores avaliados com perda superiores a 4% da Receita Operacional Líquida (até março de 2020), ou seja, acima de R$ 33.849, destacam-se:</w:t>
      </w:r>
    </w:p>
    <w:p w14:paraId="5107DE23" w14:textId="77777777" w:rsidR="004C20FF" w:rsidRPr="00F45A1F" w:rsidRDefault="004C20FF" w:rsidP="004C20FF">
      <w:pPr>
        <w:rPr>
          <w:sz w:val="22"/>
          <w:szCs w:val="22"/>
        </w:rPr>
      </w:pPr>
    </w:p>
    <w:tbl>
      <w:tblPr>
        <w:tblW w:w="0" w:type="auto"/>
        <w:tblInd w:w="2" w:type="dxa"/>
        <w:tblCellMar>
          <w:left w:w="0" w:type="dxa"/>
          <w:right w:w="0" w:type="dxa"/>
        </w:tblCellMar>
        <w:tblLook w:val="04A0" w:firstRow="1" w:lastRow="0" w:firstColumn="1" w:lastColumn="0" w:noHBand="0" w:noVBand="1"/>
      </w:tblPr>
      <w:tblGrid>
        <w:gridCol w:w="1022"/>
        <w:gridCol w:w="8680"/>
      </w:tblGrid>
      <w:tr w:rsidR="004C20FF" w:rsidRPr="00F45A1F" w14:paraId="32018C1E" w14:textId="77777777" w:rsidTr="000442A6">
        <w:trPr>
          <w:trHeight w:val="675"/>
        </w:trPr>
        <w:tc>
          <w:tcPr>
            <w:tcW w:w="13598"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35E1C9A5" w14:textId="77777777" w:rsidR="004C20FF" w:rsidRPr="00F45A1F" w:rsidRDefault="004C20FF" w:rsidP="000442A6">
            <w:pPr>
              <w:ind w:firstLine="1205"/>
              <w:rPr>
                <w:rFonts w:ascii="Arial" w:hAnsi="Arial" w:cs="Arial"/>
                <w:b/>
                <w:bCs/>
              </w:rPr>
            </w:pPr>
            <w:r w:rsidRPr="00F45A1F">
              <w:rPr>
                <w:rFonts w:ascii="Arial" w:hAnsi="Arial" w:cs="Arial"/>
                <w:b/>
                <w:bCs/>
              </w:rPr>
              <w:t>a)     Ação Trabalhista n. 0064500-25.1989.5.01.0029</w:t>
            </w:r>
          </w:p>
        </w:tc>
      </w:tr>
      <w:tr w:rsidR="004C20FF" w:rsidRPr="00F45A1F" w14:paraId="2F08853E" w14:textId="77777777" w:rsidTr="000442A6">
        <w:trPr>
          <w:trHeight w:val="54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693830"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Instância /Juízo</w:t>
            </w:r>
          </w:p>
        </w:tc>
        <w:tc>
          <w:tcPr>
            <w:tcW w:w="10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9D4262"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 xml:space="preserve">[1ª] Instância - [29ª] Vara do Trabalho da Capital do Rio de Janeiro </w:t>
            </w:r>
          </w:p>
        </w:tc>
      </w:tr>
      <w:tr w:rsidR="004C20FF" w:rsidRPr="00F45A1F" w14:paraId="0E2204C2" w14:textId="77777777" w:rsidTr="000442A6">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EC6301"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Partes</w:t>
            </w:r>
          </w:p>
        </w:tc>
        <w:tc>
          <w:tcPr>
            <w:tcW w:w="10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9F0225"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 xml:space="preserve">Sindicato do Engenheiros do Estado do RJ – SENGE (Substituindo cerca de 245 empregados e </w:t>
            </w:r>
            <w:proofErr w:type="spellStart"/>
            <w:r w:rsidRPr="00F45A1F">
              <w:rPr>
                <w:rFonts w:ascii="Arial" w:hAnsi="Arial" w:cs="Arial"/>
                <w:sz w:val="20"/>
                <w:szCs w:val="20"/>
              </w:rPr>
              <w:t>ex-empregados</w:t>
            </w:r>
            <w:proofErr w:type="spellEnd"/>
            <w:r w:rsidRPr="00F45A1F">
              <w:rPr>
                <w:rFonts w:ascii="Arial" w:hAnsi="Arial" w:cs="Arial"/>
                <w:sz w:val="20"/>
                <w:szCs w:val="20"/>
              </w:rPr>
              <w:t>) x Eletrobras Eletronuclear (Reclamada)</w:t>
            </w:r>
          </w:p>
        </w:tc>
      </w:tr>
      <w:tr w:rsidR="004C20FF" w:rsidRPr="00F45A1F" w14:paraId="5E19303A" w14:textId="77777777" w:rsidTr="000442A6">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1D4C9C"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Valores, bens ou direitos envolvidos</w:t>
            </w:r>
          </w:p>
        </w:tc>
        <w:tc>
          <w:tcPr>
            <w:tcW w:w="10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10D71C" w14:textId="22B50908" w:rsidR="004C20FF" w:rsidRPr="00F45A1F" w:rsidRDefault="004C20FF" w:rsidP="00137098">
            <w:pPr>
              <w:jc w:val="both"/>
              <w:rPr>
                <w:rFonts w:ascii="Arial" w:hAnsi="Arial" w:cs="Arial"/>
                <w:sz w:val="20"/>
                <w:szCs w:val="20"/>
              </w:rPr>
            </w:pPr>
            <w:r w:rsidRPr="00F45A1F">
              <w:rPr>
                <w:rFonts w:ascii="Arial" w:hAnsi="Arial" w:cs="Arial"/>
                <w:sz w:val="20"/>
                <w:szCs w:val="20"/>
              </w:rPr>
              <w:t>R$ 536.311</w:t>
            </w:r>
          </w:p>
        </w:tc>
      </w:tr>
      <w:tr w:rsidR="004C20FF" w:rsidRPr="00F45A1F" w14:paraId="3448DF9A" w14:textId="77777777" w:rsidTr="000442A6">
        <w:trPr>
          <w:trHeight w:val="694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5BFFDC"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Objeto:</w:t>
            </w:r>
          </w:p>
        </w:tc>
        <w:tc>
          <w:tcPr>
            <w:tcW w:w="10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7345C7" w14:textId="589EA2B6" w:rsidR="004C20FF" w:rsidRPr="00F45A1F" w:rsidRDefault="00067E54" w:rsidP="000442A6">
            <w:pPr>
              <w:jc w:val="both"/>
              <w:rPr>
                <w:rFonts w:ascii="Arial" w:hAnsi="Arial" w:cs="Arial"/>
                <w:sz w:val="20"/>
                <w:szCs w:val="20"/>
              </w:rPr>
            </w:pPr>
            <w:r w:rsidRPr="00F45A1F">
              <w:rPr>
                <w:rFonts w:ascii="Arial" w:hAnsi="Arial" w:cs="Arial"/>
                <w:sz w:val="20"/>
                <w:szCs w:val="20"/>
              </w:rPr>
              <w:t xml:space="preserve">URP/1989 – Plano Econômico. A controvérsia principal do processo reside na interpretação da coisa julgada que delimitou o pagamento do índice da URP apenas do mês de fevereiro de 1989. Contudo, em fase de liquidação a outra parte alegou que deve ser aplicado o índice de 26,05% mês a mês até sua incorporação na remuneração dos substituídos ou até sua demissão. Há possibilidade de ter decisão judicial homologando o valor histórico de R$ 359.670.661,31, calculado pelo perito judicial em 2014. Ressalte-se que a Advocacia Geral da União – AGU ingressou nos autos. A AGU tem tese jurídica que se alinha à defesa da Eletrobras Eletronuclear, ao explicitar que: [1] a decisão em fase de liquidação/execução que estabelece direito à incorporação da URP/1989 na remuneração dos substituídos ofende a decisão já transitada em julgado; [2] o valor exigido com base na decisão transitada em julgado, ou seja, o pagamento da URP relativa apenas ao mês de fevereiro de 1989,  já foi adimplido, por conta da existência de Acordo Coletivo pactuado em 1989, entre as partes da presente ação judicial, cujo conteúdo trata especificadamente da quitação da URP/1989. No momento há laudo emitido pelo perito do Juízo.  Em 24.11.2017 foi publicada decisão judicial para as partes se manifestarem em relação ao laudo pericial que respondeu os quesitos apresentados pela Companhia. Nesse laudo o Perito do Juízo, por amostragem, destacou que os valores indicados no acordo coletivo específico da URP de fevereiro de 1989 foram pagos.  A última decisão publicada em diário oficial é a do dia 16.03.2018, destinada à parte autora (SENGE) para que oferte manifestação em relação a petição apresentada pela parte Ré.  Há outros andamentos processuais que constam no sítio eletrônico do Tribunal Regional do Trabalho da 1ª Região, são eles: [1] autos enviados à contadoria da Vara; [2] homologada a liquidação; [3] petição da União Federal; [4] petição do </w:t>
            </w:r>
            <w:proofErr w:type="spellStart"/>
            <w:r w:rsidRPr="00F45A1F">
              <w:rPr>
                <w:rFonts w:ascii="Arial" w:hAnsi="Arial" w:cs="Arial"/>
                <w:sz w:val="20"/>
                <w:szCs w:val="20"/>
              </w:rPr>
              <w:t>Senge</w:t>
            </w:r>
            <w:proofErr w:type="spellEnd"/>
            <w:r w:rsidRPr="00F45A1F">
              <w:rPr>
                <w:rFonts w:ascii="Arial" w:hAnsi="Arial" w:cs="Arial"/>
                <w:sz w:val="20"/>
                <w:szCs w:val="20"/>
              </w:rPr>
              <w:t xml:space="preserve"> com impugnação aos cálculos, todos atos processuais aos quais a Companhia ainda não foi intimada para tomar ciência. Em 29 de janeiro de 2019 foi publicada decisão para a Companhia pagar o débito ou ofertar defesa, o que inaugurou a fase de execução do processo. De toda forma, na decisão a Companhia foi isentada de ofertar bens à penhora para ajuizar eventual defesa. Foram interposto</w:t>
            </w:r>
            <w:r>
              <w:rPr>
                <w:rFonts w:ascii="Arial" w:hAnsi="Arial" w:cs="Arial"/>
                <w:sz w:val="20"/>
                <w:szCs w:val="20"/>
              </w:rPr>
              <w:t>s</w:t>
            </w:r>
            <w:r w:rsidRPr="00F45A1F">
              <w:rPr>
                <w:rFonts w:ascii="Arial" w:hAnsi="Arial" w:cs="Arial"/>
                <w:sz w:val="20"/>
                <w:szCs w:val="20"/>
              </w:rPr>
              <w:t xml:space="preserve"> embargos de declaração pela Eletrobras Eletronuclear, sem decisão de julgamento publicada. Foi publicada decisão em 19.07.19 para a Companhia pagar honorário do perito do Juízo, o que já foi realizado. Em 11.12.2019 foi gerado o alvará judicial n. 0094/2019, com expedição em 13.12.2019. </w:t>
            </w:r>
          </w:p>
        </w:tc>
      </w:tr>
      <w:tr w:rsidR="004C20FF" w:rsidRPr="00F45A1F" w14:paraId="05C8046E" w14:textId="77777777" w:rsidTr="000442A6">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B6D79B"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Expectativa de Perda</w:t>
            </w:r>
          </w:p>
        </w:tc>
        <w:tc>
          <w:tcPr>
            <w:tcW w:w="10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7A4C26"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 xml:space="preserve">Possível </w:t>
            </w:r>
          </w:p>
        </w:tc>
      </w:tr>
      <w:tr w:rsidR="004C20FF" w:rsidRPr="00F45A1F" w14:paraId="2CF2AA86" w14:textId="77777777" w:rsidTr="000442A6">
        <w:trPr>
          <w:trHeight w:val="300"/>
        </w:trPr>
        <w:tc>
          <w:tcPr>
            <w:tcW w:w="0" w:type="auto"/>
            <w:noWrap/>
            <w:tcMar>
              <w:top w:w="0" w:type="dxa"/>
              <w:left w:w="70" w:type="dxa"/>
              <w:bottom w:w="0" w:type="dxa"/>
              <w:right w:w="70" w:type="dxa"/>
            </w:tcMar>
            <w:vAlign w:val="center"/>
          </w:tcPr>
          <w:p w14:paraId="655EB365" w14:textId="77777777" w:rsidR="004C20FF" w:rsidRPr="00F45A1F" w:rsidRDefault="004C20FF" w:rsidP="000442A6">
            <w:pPr>
              <w:rPr>
                <w:rFonts w:ascii="Arial" w:hAnsi="Arial" w:cs="Arial"/>
                <w:sz w:val="20"/>
                <w:szCs w:val="20"/>
              </w:rPr>
            </w:pPr>
          </w:p>
        </w:tc>
        <w:tc>
          <w:tcPr>
            <w:tcW w:w="10901" w:type="dxa"/>
            <w:noWrap/>
            <w:tcMar>
              <w:top w:w="0" w:type="dxa"/>
              <w:left w:w="70" w:type="dxa"/>
              <w:bottom w:w="0" w:type="dxa"/>
              <w:right w:w="70" w:type="dxa"/>
            </w:tcMar>
            <w:vAlign w:val="bottom"/>
            <w:hideMark/>
          </w:tcPr>
          <w:p w14:paraId="7D1515CF" w14:textId="77777777" w:rsidR="004C20FF" w:rsidRPr="00F45A1F" w:rsidRDefault="004C20FF" w:rsidP="000442A6">
            <w:pPr>
              <w:rPr>
                <w:rFonts w:ascii="Arial" w:hAnsi="Arial" w:cs="Arial"/>
                <w:sz w:val="20"/>
                <w:szCs w:val="20"/>
              </w:rPr>
            </w:pPr>
          </w:p>
        </w:tc>
      </w:tr>
      <w:tr w:rsidR="004C20FF" w:rsidRPr="00F45A1F" w14:paraId="55C202B2" w14:textId="77777777" w:rsidTr="000442A6">
        <w:trPr>
          <w:trHeight w:val="315"/>
        </w:trPr>
        <w:tc>
          <w:tcPr>
            <w:tcW w:w="0" w:type="auto"/>
            <w:noWrap/>
            <w:tcMar>
              <w:top w:w="0" w:type="dxa"/>
              <w:left w:w="70" w:type="dxa"/>
              <w:bottom w:w="0" w:type="dxa"/>
              <w:right w:w="70" w:type="dxa"/>
            </w:tcMar>
            <w:vAlign w:val="center"/>
            <w:hideMark/>
          </w:tcPr>
          <w:p w14:paraId="7484A820" w14:textId="77777777" w:rsidR="004C20FF" w:rsidRPr="00F45A1F" w:rsidRDefault="004C20FF" w:rsidP="000442A6">
            <w:pPr>
              <w:rPr>
                <w:sz w:val="20"/>
                <w:szCs w:val="20"/>
              </w:rPr>
            </w:pPr>
          </w:p>
        </w:tc>
        <w:tc>
          <w:tcPr>
            <w:tcW w:w="10901" w:type="dxa"/>
            <w:noWrap/>
            <w:tcMar>
              <w:top w:w="0" w:type="dxa"/>
              <w:left w:w="70" w:type="dxa"/>
              <w:bottom w:w="0" w:type="dxa"/>
              <w:right w:w="70" w:type="dxa"/>
            </w:tcMar>
            <w:vAlign w:val="bottom"/>
            <w:hideMark/>
          </w:tcPr>
          <w:p w14:paraId="2032BE7A" w14:textId="77777777" w:rsidR="004C20FF" w:rsidRPr="00F45A1F" w:rsidRDefault="004C20FF" w:rsidP="000442A6">
            <w:pPr>
              <w:rPr>
                <w:sz w:val="20"/>
                <w:szCs w:val="20"/>
              </w:rPr>
            </w:pPr>
          </w:p>
        </w:tc>
      </w:tr>
      <w:tr w:rsidR="004C20FF" w:rsidRPr="00F45A1F" w14:paraId="64FC88BB" w14:textId="77777777" w:rsidTr="000442A6">
        <w:trPr>
          <w:trHeight w:val="675"/>
        </w:trPr>
        <w:tc>
          <w:tcPr>
            <w:tcW w:w="13598"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EEE3F3C" w14:textId="77777777" w:rsidR="004C20FF" w:rsidRPr="00F45A1F" w:rsidRDefault="004C20FF" w:rsidP="000442A6">
            <w:pPr>
              <w:ind w:firstLine="1004"/>
              <w:rPr>
                <w:rFonts w:ascii="Arial" w:eastAsiaTheme="minorHAnsi" w:hAnsi="Arial" w:cs="Arial"/>
                <w:b/>
                <w:bCs/>
                <w:sz w:val="20"/>
                <w:szCs w:val="20"/>
                <w:lang w:eastAsia="en-US"/>
              </w:rPr>
            </w:pPr>
            <w:r w:rsidRPr="00F45A1F">
              <w:rPr>
                <w:rFonts w:ascii="Arial" w:hAnsi="Arial" w:cs="Arial"/>
                <w:b/>
                <w:bCs/>
                <w:sz w:val="20"/>
                <w:szCs w:val="20"/>
              </w:rPr>
              <w:t>b)</w:t>
            </w:r>
            <w:r w:rsidRPr="00F45A1F">
              <w:rPr>
                <w:rFonts w:ascii="Arial" w:hAnsi="Arial" w:cs="Arial"/>
                <w:b/>
                <w:bCs/>
                <w:sz w:val="14"/>
                <w:szCs w:val="14"/>
              </w:rPr>
              <w:t xml:space="preserve">    </w:t>
            </w:r>
            <w:r w:rsidRPr="00F45A1F">
              <w:rPr>
                <w:rFonts w:ascii="Arial" w:hAnsi="Arial" w:cs="Arial"/>
                <w:b/>
                <w:bCs/>
              </w:rPr>
              <w:t>Ação Tributária/ Fiscal n. 0003767-29.2009.8.19.0001</w:t>
            </w:r>
          </w:p>
        </w:tc>
      </w:tr>
      <w:tr w:rsidR="004C20FF" w:rsidRPr="00F45A1F" w14:paraId="24BC91BE" w14:textId="77777777" w:rsidTr="000442A6">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166705"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Instância /Juízo</w:t>
            </w:r>
          </w:p>
        </w:tc>
        <w:tc>
          <w:tcPr>
            <w:tcW w:w="10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7AF2AC"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 xml:space="preserve">[1ª] Instância - [11ª] Vara de Fazenda Pública do Tribunal de Justiça do Estado do RJ </w:t>
            </w:r>
          </w:p>
        </w:tc>
      </w:tr>
      <w:tr w:rsidR="004C20FF" w:rsidRPr="00F45A1F" w14:paraId="06D8CB4D" w14:textId="77777777" w:rsidTr="000442A6">
        <w:trPr>
          <w:trHeight w:val="31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2FF705"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Partes</w:t>
            </w:r>
          </w:p>
        </w:tc>
        <w:tc>
          <w:tcPr>
            <w:tcW w:w="10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246237"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Estado do Rio de Janeiro (Exequente) x Eletrobras Eletronuclear (Executada)</w:t>
            </w:r>
          </w:p>
        </w:tc>
      </w:tr>
      <w:tr w:rsidR="004C20FF" w:rsidRPr="00F45A1F" w14:paraId="0CC549A5" w14:textId="77777777" w:rsidTr="000442A6">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FBEAFD"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Valores, bens ou direitos envolvidos</w:t>
            </w:r>
          </w:p>
        </w:tc>
        <w:tc>
          <w:tcPr>
            <w:tcW w:w="10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72D794" w14:textId="12E8D48E" w:rsidR="004C20FF" w:rsidRPr="00F45A1F" w:rsidRDefault="004C20FF" w:rsidP="00577F51">
            <w:pPr>
              <w:jc w:val="both"/>
              <w:rPr>
                <w:rFonts w:ascii="Arial" w:hAnsi="Arial" w:cs="Arial"/>
                <w:sz w:val="20"/>
                <w:szCs w:val="20"/>
              </w:rPr>
            </w:pPr>
            <w:r w:rsidRPr="00F45A1F">
              <w:rPr>
                <w:rFonts w:ascii="Arial" w:hAnsi="Arial" w:cs="Arial"/>
                <w:sz w:val="20"/>
                <w:szCs w:val="20"/>
              </w:rPr>
              <w:t>Valor atualizado: R$ 120.093</w:t>
            </w:r>
          </w:p>
        </w:tc>
      </w:tr>
      <w:tr w:rsidR="004C20FF" w:rsidRPr="00F45A1F" w14:paraId="19203A45" w14:textId="77777777" w:rsidTr="000442A6">
        <w:trPr>
          <w:trHeight w:val="496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A7029B"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Objeto:</w:t>
            </w:r>
          </w:p>
        </w:tc>
        <w:tc>
          <w:tcPr>
            <w:tcW w:w="10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1BA89C"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 xml:space="preserve">No auto de infração nº 01.134725-9 é </w:t>
            </w:r>
            <w:proofErr w:type="gramStart"/>
            <w:r w:rsidRPr="00F45A1F">
              <w:rPr>
                <w:rFonts w:ascii="Arial" w:hAnsi="Arial" w:cs="Arial"/>
                <w:sz w:val="20"/>
                <w:szCs w:val="20"/>
              </w:rPr>
              <w:t>exigida</w:t>
            </w:r>
            <w:proofErr w:type="gramEnd"/>
            <w:r w:rsidRPr="00F45A1F">
              <w:rPr>
                <w:rFonts w:ascii="Arial" w:hAnsi="Arial" w:cs="Arial"/>
                <w:sz w:val="20"/>
                <w:szCs w:val="20"/>
              </w:rPr>
              <w:t xml:space="preserve"> a certidão n. 2008/027.141-2, crédito tributário exigido na presente execução fiscal.  Em síntese, a Receita Estadual descreve que a Companhia realizou </w:t>
            </w:r>
            <w:proofErr w:type="spellStart"/>
            <w:r w:rsidRPr="00F45A1F">
              <w:rPr>
                <w:rFonts w:ascii="Arial" w:hAnsi="Arial" w:cs="Arial"/>
                <w:sz w:val="20"/>
                <w:szCs w:val="20"/>
              </w:rPr>
              <w:t>creditamento</w:t>
            </w:r>
            <w:proofErr w:type="spellEnd"/>
            <w:r w:rsidRPr="00F45A1F">
              <w:rPr>
                <w:rFonts w:ascii="Arial" w:hAnsi="Arial" w:cs="Arial"/>
                <w:sz w:val="20"/>
                <w:szCs w:val="20"/>
              </w:rPr>
              <w:t xml:space="preserve"> indevido de ICMS, por utilizar documentação incorreta e inidônea. Em contraponto a Companhia argumenta que os documentos utilizados para o </w:t>
            </w:r>
            <w:proofErr w:type="spellStart"/>
            <w:r w:rsidRPr="00F45A1F">
              <w:rPr>
                <w:rFonts w:ascii="Arial" w:hAnsi="Arial" w:cs="Arial"/>
                <w:sz w:val="20"/>
                <w:szCs w:val="20"/>
              </w:rPr>
              <w:t>creditamento</w:t>
            </w:r>
            <w:proofErr w:type="spellEnd"/>
            <w:r w:rsidRPr="00F45A1F">
              <w:rPr>
                <w:rFonts w:ascii="Arial" w:hAnsi="Arial" w:cs="Arial"/>
                <w:sz w:val="20"/>
                <w:szCs w:val="20"/>
              </w:rPr>
              <w:t xml:space="preserve"> são idôneos, já que por </w:t>
            </w:r>
            <w:proofErr w:type="gramStart"/>
            <w:r w:rsidRPr="00F45A1F">
              <w:rPr>
                <w:rFonts w:ascii="Arial" w:hAnsi="Arial" w:cs="Arial"/>
                <w:sz w:val="20"/>
                <w:szCs w:val="20"/>
              </w:rPr>
              <w:t>ser</w:t>
            </w:r>
            <w:proofErr w:type="gramEnd"/>
            <w:r w:rsidRPr="00F45A1F">
              <w:rPr>
                <w:rFonts w:ascii="Arial" w:hAnsi="Arial" w:cs="Arial"/>
                <w:sz w:val="20"/>
                <w:szCs w:val="20"/>
              </w:rPr>
              <w:t xml:space="preserve"> Furnas responsável pela importação antes da cisão, por sucessão universal de direitos e obrigações, a Companhia passou a ser detentora do crédito, de toda forma, assevera também que não utilizou tais créditos. Foram ajuizados os embargos à execução de n. 0404842-28.2015.8.19.0001 pela Eletrobras Eletronuclear. Há um seguro garantindo o Juízo, o que possibilidade a emissão da certidão tributária estadual e o impedimento de penhora </w:t>
            </w:r>
            <w:proofErr w:type="spellStart"/>
            <w:r w:rsidRPr="00F45A1F">
              <w:rPr>
                <w:rFonts w:ascii="Arial" w:hAnsi="Arial" w:cs="Arial"/>
                <w:sz w:val="20"/>
                <w:szCs w:val="20"/>
              </w:rPr>
              <w:t>on</w:t>
            </w:r>
            <w:proofErr w:type="spellEnd"/>
            <w:r w:rsidRPr="00F45A1F">
              <w:rPr>
                <w:rFonts w:ascii="Arial" w:hAnsi="Arial" w:cs="Arial"/>
                <w:sz w:val="20"/>
                <w:szCs w:val="20"/>
              </w:rPr>
              <w:t xml:space="preserve"> </w:t>
            </w:r>
            <w:proofErr w:type="spellStart"/>
            <w:r w:rsidRPr="00F45A1F">
              <w:rPr>
                <w:rFonts w:ascii="Arial" w:hAnsi="Arial" w:cs="Arial"/>
                <w:sz w:val="20"/>
                <w:szCs w:val="20"/>
              </w:rPr>
              <w:t>line</w:t>
            </w:r>
            <w:proofErr w:type="spellEnd"/>
            <w:r w:rsidRPr="00F45A1F">
              <w:rPr>
                <w:rFonts w:ascii="Arial" w:hAnsi="Arial" w:cs="Arial"/>
                <w:sz w:val="20"/>
                <w:szCs w:val="20"/>
              </w:rPr>
              <w:t xml:space="preserve"> das contas da Companhia. Em 31.08.2018 foi publicada decisão judicial para as partes se manifestarem quanto ao laudo emitido pelo perito judicial. O perito do Juízo destacou que a Companhia não realizou o aproveitamento do crédito fiscal indicado pelo Fisco Estadual.  A Companhia manifestou-se quanto àquele laudo e juntou documentos. O processo foi remetido à Procuradoria do Estado do Rio de Janeiro em 10.10.2018.</w:t>
            </w:r>
            <w:r w:rsidRPr="00F45A1F">
              <w:rPr>
                <w:rFonts w:ascii="Arial" w:hAnsi="Arial" w:cs="Arial"/>
              </w:rPr>
              <w:t xml:space="preserve"> </w:t>
            </w:r>
            <w:r w:rsidRPr="00F45A1F">
              <w:rPr>
                <w:rFonts w:ascii="Arial" w:hAnsi="Arial" w:cs="Arial"/>
                <w:sz w:val="20"/>
                <w:szCs w:val="20"/>
              </w:rPr>
              <w:t>Em 24.04.2019 foi publicada sentença de procedência dos embargos à execução, com a consequente extinção da execução. O Juízo considerou a tese da Companhia no sentido de que os créditos foram estornados. O Estado do Rio de Janeiro apelou da sentença e a Companhia ofertou suas contrarrazões, com encaminhamento do processo em 14.10.2019 para a instância superior (Tribunal de Justiça do Rio de Janeiro). O TJRJ julgou improcedente o recurso de apelação do Estado do Rio de Janeiro, mantendo a decisão de 1º instância favorável à Companhia.  Em 21.01.2020 foram interpostos embargos de declaração pelo Estado do Rio de Janeiro. </w:t>
            </w:r>
            <w:r w:rsidRPr="00BD54B2">
              <w:rPr>
                <w:rFonts w:ascii="Arial" w:hAnsi="Arial" w:cs="Arial"/>
                <w:sz w:val="20"/>
                <w:szCs w:val="20"/>
              </w:rPr>
              <w:t>Em 11.03.2020 foram julgados improcedentes os embargos de declaração interpostos pelo Estado do Rio de Janeiro.</w:t>
            </w:r>
            <w:r w:rsidRPr="00F45A1F">
              <w:rPr>
                <w:rFonts w:ascii="Arial" w:hAnsi="Arial" w:cs="Arial"/>
              </w:rPr>
              <w:t> </w:t>
            </w:r>
          </w:p>
        </w:tc>
      </w:tr>
      <w:tr w:rsidR="004C20FF" w:rsidRPr="00F45A1F" w14:paraId="12F369DC" w14:textId="77777777" w:rsidTr="000442A6">
        <w:trPr>
          <w:trHeight w:val="58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683B7E"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Expectativa de Perda</w:t>
            </w:r>
          </w:p>
        </w:tc>
        <w:tc>
          <w:tcPr>
            <w:tcW w:w="10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BEFCC2"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Possível</w:t>
            </w:r>
          </w:p>
        </w:tc>
      </w:tr>
    </w:tbl>
    <w:p w14:paraId="1F30C60F" w14:textId="77777777" w:rsidR="004C20FF" w:rsidRPr="00F45A1F" w:rsidRDefault="004C20FF" w:rsidP="004C20FF">
      <w:pPr>
        <w:rPr>
          <w:rFonts w:ascii="Arial" w:eastAsiaTheme="minorHAnsi" w:hAnsi="Arial" w:cs="Arial"/>
          <w:sz w:val="22"/>
          <w:szCs w:val="22"/>
          <w:lang w:eastAsia="en-US"/>
        </w:rPr>
      </w:pPr>
    </w:p>
    <w:p w14:paraId="2D2AFC93" w14:textId="77777777" w:rsidR="004C20FF" w:rsidRPr="00F45A1F" w:rsidRDefault="004C20FF" w:rsidP="004C20FF">
      <w:pPr>
        <w:rPr>
          <w:rFonts w:ascii="Arial" w:hAnsi="Arial" w:cs="Arial"/>
        </w:rPr>
      </w:pPr>
    </w:p>
    <w:tbl>
      <w:tblPr>
        <w:tblW w:w="0" w:type="auto"/>
        <w:tblInd w:w="2" w:type="dxa"/>
        <w:tblCellMar>
          <w:left w:w="0" w:type="dxa"/>
          <w:right w:w="0" w:type="dxa"/>
        </w:tblCellMar>
        <w:tblLook w:val="04A0" w:firstRow="1" w:lastRow="0" w:firstColumn="1" w:lastColumn="0" w:noHBand="0" w:noVBand="1"/>
      </w:tblPr>
      <w:tblGrid>
        <w:gridCol w:w="1252"/>
        <w:gridCol w:w="8450"/>
      </w:tblGrid>
      <w:tr w:rsidR="004C20FF" w:rsidRPr="00F45A1F" w14:paraId="59DFC19C" w14:textId="77777777" w:rsidTr="000442A6">
        <w:trPr>
          <w:trHeight w:val="645"/>
        </w:trPr>
        <w:tc>
          <w:tcPr>
            <w:tcW w:w="13598"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528660C" w14:textId="77777777" w:rsidR="004C20FF" w:rsidRPr="00F45A1F" w:rsidRDefault="004C20FF" w:rsidP="004C20FF">
            <w:pPr>
              <w:ind w:firstLine="1004"/>
              <w:rPr>
                <w:rFonts w:ascii="Arial" w:hAnsi="Arial" w:cs="Arial"/>
                <w:b/>
                <w:bCs/>
                <w:sz w:val="20"/>
                <w:szCs w:val="20"/>
                <w:lang w:eastAsia="en-US"/>
              </w:rPr>
            </w:pPr>
            <w:r w:rsidRPr="00F45A1F">
              <w:rPr>
                <w:rFonts w:ascii="Arial" w:hAnsi="Arial" w:cs="Arial"/>
                <w:b/>
                <w:bCs/>
                <w:sz w:val="20"/>
                <w:szCs w:val="20"/>
              </w:rPr>
              <w:t>c)</w:t>
            </w:r>
            <w:r w:rsidRPr="00F45A1F">
              <w:rPr>
                <w:rFonts w:ascii="Arial" w:hAnsi="Arial" w:cs="Arial"/>
                <w:b/>
                <w:bCs/>
                <w:sz w:val="14"/>
                <w:szCs w:val="14"/>
              </w:rPr>
              <w:t xml:space="preserve">    </w:t>
            </w:r>
            <w:r w:rsidRPr="00F45A1F">
              <w:rPr>
                <w:rFonts w:ascii="Arial" w:hAnsi="Arial" w:cs="Arial"/>
                <w:b/>
                <w:bCs/>
              </w:rPr>
              <w:t>Ação Trabalhista n. 0010786-77.2015.5.08.0116</w:t>
            </w:r>
          </w:p>
        </w:tc>
      </w:tr>
      <w:tr w:rsidR="004C20FF" w:rsidRPr="00F45A1F" w14:paraId="14B8ACE5" w14:textId="77777777" w:rsidTr="000442A6">
        <w:trPr>
          <w:trHeight w:val="31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13630C"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Instância /Juízo</w:t>
            </w:r>
          </w:p>
        </w:tc>
        <w:tc>
          <w:tcPr>
            <w:tcW w:w="10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CBBA59"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[1ª] Instância - 1ª Vara do Trabalho de Paragominas</w:t>
            </w:r>
          </w:p>
        </w:tc>
      </w:tr>
      <w:tr w:rsidR="004C20FF" w:rsidRPr="00F45A1F" w14:paraId="07166CE1" w14:textId="77777777" w:rsidTr="000442A6">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CD8863"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Partes</w:t>
            </w:r>
          </w:p>
        </w:tc>
        <w:tc>
          <w:tcPr>
            <w:tcW w:w="10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F60478"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Maria Raimunda Viana de Oliveira e outros (Autores) x Eletrobras Eletronuclear (Reclamada) e Outros</w:t>
            </w:r>
          </w:p>
        </w:tc>
      </w:tr>
      <w:tr w:rsidR="004C20FF" w:rsidRPr="00F45A1F" w14:paraId="357892AE" w14:textId="77777777" w:rsidTr="000442A6">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5B9BD4"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Valores, bens ou direitos envolvidos</w:t>
            </w:r>
          </w:p>
        </w:tc>
        <w:tc>
          <w:tcPr>
            <w:tcW w:w="10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75CE50" w14:textId="11AE6C42" w:rsidR="004C20FF" w:rsidRPr="00F45A1F" w:rsidRDefault="004C20FF" w:rsidP="00577F51">
            <w:pPr>
              <w:jc w:val="both"/>
              <w:rPr>
                <w:rFonts w:ascii="Arial" w:hAnsi="Arial" w:cs="Arial"/>
                <w:sz w:val="20"/>
                <w:szCs w:val="20"/>
              </w:rPr>
            </w:pPr>
            <w:r w:rsidRPr="00F45A1F">
              <w:rPr>
                <w:rFonts w:ascii="Arial" w:hAnsi="Arial" w:cs="Arial"/>
                <w:sz w:val="20"/>
                <w:szCs w:val="20"/>
              </w:rPr>
              <w:t>Valor atualizado: R$ 41.31</w:t>
            </w:r>
            <w:r w:rsidR="00577F51">
              <w:rPr>
                <w:rFonts w:ascii="Arial" w:hAnsi="Arial" w:cs="Arial"/>
                <w:sz w:val="20"/>
                <w:szCs w:val="20"/>
              </w:rPr>
              <w:t>5</w:t>
            </w:r>
          </w:p>
        </w:tc>
      </w:tr>
      <w:tr w:rsidR="004C20FF" w:rsidRPr="00F45A1F" w14:paraId="3B1D69BA" w14:textId="77777777" w:rsidTr="000442A6">
        <w:trPr>
          <w:trHeight w:val="229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9FEFDB" w14:textId="77777777" w:rsidR="004C20FF" w:rsidRPr="00F45A1F" w:rsidRDefault="004C20FF" w:rsidP="004A379C">
            <w:pPr>
              <w:rPr>
                <w:rFonts w:ascii="Arial" w:hAnsi="Arial" w:cs="Arial"/>
                <w:b/>
                <w:bCs/>
                <w:sz w:val="20"/>
                <w:szCs w:val="20"/>
              </w:rPr>
            </w:pPr>
            <w:r w:rsidRPr="00F45A1F">
              <w:rPr>
                <w:rFonts w:ascii="Arial" w:hAnsi="Arial" w:cs="Arial"/>
                <w:b/>
                <w:bCs/>
                <w:sz w:val="20"/>
                <w:szCs w:val="20"/>
              </w:rPr>
              <w:t>Objeto:</w:t>
            </w:r>
          </w:p>
        </w:tc>
        <w:tc>
          <w:tcPr>
            <w:tcW w:w="10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C18BD0"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 xml:space="preserve">Trata-se de demanda ajuizada por </w:t>
            </w:r>
            <w:proofErr w:type="spellStart"/>
            <w:r w:rsidRPr="00F45A1F">
              <w:rPr>
                <w:rFonts w:ascii="Arial" w:hAnsi="Arial" w:cs="Arial"/>
                <w:sz w:val="20"/>
                <w:szCs w:val="20"/>
              </w:rPr>
              <w:t>ex-empregados</w:t>
            </w:r>
            <w:proofErr w:type="spellEnd"/>
            <w:r w:rsidRPr="00F45A1F">
              <w:rPr>
                <w:rFonts w:ascii="Arial" w:hAnsi="Arial" w:cs="Arial"/>
                <w:sz w:val="20"/>
                <w:szCs w:val="20"/>
              </w:rPr>
              <w:t xml:space="preserve"> da Companhia Bauxita Brasileira, que foi subcontratada, sem a autorização da Eletronuclear, pela empresa </w:t>
            </w:r>
            <w:proofErr w:type="spellStart"/>
            <w:r w:rsidRPr="00F45A1F">
              <w:rPr>
                <w:rFonts w:ascii="Arial" w:hAnsi="Arial" w:cs="Arial"/>
                <w:sz w:val="20"/>
                <w:szCs w:val="20"/>
              </w:rPr>
              <w:t>Interamerican</w:t>
            </w:r>
            <w:proofErr w:type="spellEnd"/>
            <w:r w:rsidRPr="00F45A1F">
              <w:rPr>
                <w:rFonts w:ascii="Arial" w:hAnsi="Arial" w:cs="Arial"/>
                <w:sz w:val="20"/>
                <w:szCs w:val="20"/>
              </w:rPr>
              <w:t xml:space="preserve"> </w:t>
            </w:r>
            <w:proofErr w:type="spellStart"/>
            <w:r w:rsidRPr="00F45A1F">
              <w:rPr>
                <w:rFonts w:ascii="Arial" w:hAnsi="Arial" w:cs="Arial"/>
                <w:sz w:val="20"/>
                <w:szCs w:val="20"/>
              </w:rPr>
              <w:t>Ltda</w:t>
            </w:r>
            <w:proofErr w:type="spellEnd"/>
            <w:r w:rsidRPr="00F45A1F">
              <w:rPr>
                <w:rFonts w:ascii="Arial" w:hAnsi="Arial" w:cs="Arial"/>
                <w:sz w:val="20"/>
                <w:szCs w:val="20"/>
              </w:rPr>
              <w:t xml:space="preserve"> para a realização dos serviços de destinação final de aproximadamente 10.000 Kg (dez mil quilogramas) de resíduos Industriais provenientes de sobra da construção da Usina de Angra 2, no município de Angra dos Reis- RJ, o que gerou pedido dos Reclamantes para ressarcimento de danos materiais/morais decorrentes do exercício de atividade laboral sem o uso de equipamentos adequados.  Há aproximadamente setenta e cinco reclamadas. Além do exposto acima, há alegação de prescrição quanto ao direito dos reclamantes. O processo encontra-se em 1º Grau, sem prolação de sentença, aguardando a produção de prova pericial, contudo os reclamantes não compareceram à data agendada para a realização dos exames clínicos pelo perito. A empresa se manifestou pela perda da prova pericial.  Audiência de encerramento de instrução designada para o dia 16/07/2020.</w:t>
            </w:r>
          </w:p>
        </w:tc>
      </w:tr>
      <w:tr w:rsidR="004C20FF" w:rsidRPr="00F45A1F" w14:paraId="6BF6C180" w14:textId="77777777" w:rsidTr="000442A6">
        <w:trPr>
          <w:trHeight w:val="55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6DE321"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Expectativa de Perda</w:t>
            </w:r>
          </w:p>
        </w:tc>
        <w:tc>
          <w:tcPr>
            <w:tcW w:w="10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AF4BAA"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Possível</w:t>
            </w:r>
          </w:p>
        </w:tc>
      </w:tr>
    </w:tbl>
    <w:p w14:paraId="746A385E" w14:textId="77777777" w:rsidR="004C20FF" w:rsidRPr="00F45A1F" w:rsidRDefault="004C20FF" w:rsidP="004C20FF">
      <w:pPr>
        <w:rPr>
          <w:rFonts w:ascii="Arial" w:eastAsiaTheme="minorHAnsi" w:hAnsi="Arial" w:cs="Arial"/>
          <w:sz w:val="22"/>
          <w:szCs w:val="22"/>
          <w:lang w:eastAsia="en-US"/>
        </w:rPr>
      </w:pPr>
    </w:p>
    <w:tbl>
      <w:tblPr>
        <w:tblW w:w="0" w:type="auto"/>
        <w:tblInd w:w="2" w:type="dxa"/>
        <w:tblCellMar>
          <w:left w:w="0" w:type="dxa"/>
          <w:right w:w="0" w:type="dxa"/>
        </w:tblCellMar>
        <w:tblLook w:val="04A0" w:firstRow="1" w:lastRow="0" w:firstColumn="1" w:lastColumn="0" w:noHBand="0" w:noVBand="1"/>
      </w:tblPr>
      <w:tblGrid>
        <w:gridCol w:w="1252"/>
        <w:gridCol w:w="8450"/>
      </w:tblGrid>
      <w:tr w:rsidR="004C20FF" w:rsidRPr="00F45A1F" w14:paraId="1386095C" w14:textId="77777777" w:rsidTr="000442A6">
        <w:trPr>
          <w:trHeight w:val="630"/>
        </w:trPr>
        <w:tc>
          <w:tcPr>
            <w:tcW w:w="13598" w:type="dxa"/>
            <w:gridSpan w:val="2"/>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2A016B81" w14:textId="77777777" w:rsidR="004C20FF" w:rsidRPr="00F45A1F" w:rsidRDefault="004C20FF" w:rsidP="004C20FF">
            <w:pPr>
              <w:ind w:firstLine="1004"/>
              <w:rPr>
                <w:rFonts w:ascii="Arial" w:hAnsi="Arial" w:cs="Arial"/>
                <w:b/>
                <w:bCs/>
                <w:sz w:val="20"/>
                <w:szCs w:val="20"/>
              </w:rPr>
            </w:pPr>
            <w:r w:rsidRPr="00F45A1F">
              <w:rPr>
                <w:rFonts w:ascii="Arial" w:hAnsi="Arial" w:cs="Arial"/>
                <w:b/>
                <w:bCs/>
                <w:sz w:val="20"/>
                <w:szCs w:val="20"/>
              </w:rPr>
              <w:t>d</w:t>
            </w:r>
            <w:proofErr w:type="gramStart"/>
            <w:r w:rsidRPr="00F45A1F">
              <w:rPr>
                <w:rFonts w:ascii="Arial" w:hAnsi="Arial" w:cs="Arial"/>
                <w:b/>
                <w:bCs/>
                <w:sz w:val="20"/>
                <w:szCs w:val="20"/>
              </w:rPr>
              <w:t xml:space="preserve"> </w:t>
            </w:r>
            <w:r w:rsidRPr="00F45A1F">
              <w:rPr>
                <w:rFonts w:ascii="Arial" w:hAnsi="Arial" w:cs="Arial"/>
                <w:b/>
                <w:bCs/>
              </w:rPr>
              <w:t> </w:t>
            </w:r>
            <w:proofErr w:type="gramEnd"/>
            <w:r w:rsidRPr="00F45A1F">
              <w:rPr>
                <w:rFonts w:ascii="Arial" w:hAnsi="Arial" w:cs="Arial"/>
                <w:b/>
                <w:bCs/>
              </w:rPr>
              <w:t>Ação Trabalhista n. 0010788-47.2015.5.08.0116</w:t>
            </w:r>
          </w:p>
        </w:tc>
      </w:tr>
      <w:tr w:rsidR="004C20FF" w:rsidRPr="00F45A1F" w14:paraId="6E91F45A" w14:textId="77777777" w:rsidTr="000442A6">
        <w:trPr>
          <w:trHeight w:val="31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21CB91"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Instância /Juízo</w:t>
            </w:r>
          </w:p>
        </w:tc>
        <w:tc>
          <w:tcPr>
            <w:tcW w:w="10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8B358B"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[1ª] Instância - 1ª Vara do Trabalho de Paragominas</w:t>
            </w:r>
          </w:p>
        </w:tc>
      </w:tr>
      <w:tr w:rsidR="004C20FF" w:rsidRPr="00F45A1F" w14:paraId="2ADFF5D0" w14:textId="77777777" w:rsidTr="000442A6">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581F3F"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Partes</w:t>
            </w:r>
          </w:p>
        </w:tc>
        <w:tc>
          <w:tcPr>
            <w:tcW w:w="10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B3AC25" w14:textId="77777777" w:rsidR="004C20FF" w:rsidRPr="00F45A1F" w:rsidRDefault="004C20FF" w:rsidP="000442A6">
            <w:pPr>
              <w:jc w:val="both"/>
              <w:rPr>
                <w:rFonts w:ascii="Arial" w:hAnsi="Arial" w:cs="Arial"/>
                <w:sz w:val="20"/>
                <w:szCs w:val="20"/>
              </w:rPr>
            </w:pPr>
            <w:proofErr w:type="spellStart"/>
            <w:r w:rsidRPr="00F45A1F">
              <w:rPr>
                <w:rFonts w:ascii="Arial" w:hAnsi="Arial" w:cs="Arial"/>
                <w:sz w:val="20"/>
                <w:szCs w:val="20"/>
              </w:rPr>
              <w:t>Vanderley</w:t>
            </w:r>
            <w:proofErr w:type="spellEnd"/>
            <w:r w:rsidRPr="00F45A1F">
              <w:rPr>
                <w:rFonts w:ascii="Arial" w:hAnsi="Arial" w:cs="Arial"/>
                <w:sz w:val="20"/>
                <w:szCs w:val="20"/>
              </w:rPr>
              <w:t xml:space="preserve"> Costa Oliveira e outros x Eletrobras Eletronuclear (Reclamada) e Outros</w:t>
            </w:r>
          </w:p>
        </w:tc>
      </w:tr>
      <w:tr w:rsidR="004C20FF" w:rsidRPr="00F45A1F" w14:paraId="18D92375" w14:textId="77777777" w:rsidTr="000442A6">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E5F577"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Valores, bens ou direitos envolvidos</w:t>
            </w:r>
          </w:p>
        </w:tc>
        <w:tc>
          <w:tcPr>
            <w:tcW w:w="10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06CC51" w14:textId="3027DD5D" w:rsidR="004C20FF" w:rsidRPr="00F45A1F" w:rsidRDefault="004C20FF" w:rsidP="00577F51">
            <w:pPr>
              <w:jc w:val="both"/>
              <w:rPr>
                <w:rFonts w:ascii="Arial" w:hAnsi="Arial" w:cs="Arial"/>
                <w:sz w:val="20"/>
                <w:szCs w:val="20"/>
              </w:rPr>
            </w:pPr>
            <w:r w:rsidRPr="00F45A1F">
              <w:rPr>
                <w:rFonts w:ascii="Arial" w:hAnsi="Arial" w:cs="Arial"/>
                <w:sz w:val="20"/>
                <w:szCs w:val="20"/>
              </w:rPr>
              <w:t>Valor atualizado: R$ 144.601</w:t>
            </w:r>
          </w:p>
        </w:tc>
      </w:tr>
      <w:tr w:rsidR="004C20FF" w:rsidRPr="00F45A1F" w14:paraId="31BE7581" w14:textId="77777777" w:rsidTr="000442A6">
        <w:trPr>
          <w:trHeight w:val="240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3205C9" w14:textId="77777777" w:rsidR="004C20FF" w:rsidRPr="00F45A1F" w:rsidRDefault="004C20FF" w:rsidP="004A379C">
            <w:pPr>
              <w:jc w:val="both"/>
              <w:rPr>
                <w:rFonts w:ascii="Arial" w:hAnsi="Arial" w:cs="Arial"/>
                <w:b/>
                <w:bCs/>
                <w:sz w:val="20"/>
                <w:szCs w:val="20"/>
              </w:rPr>
            </w:pPr>
            <w:r w:rsidRPr="00F45A1F">
              <w:rPr>
                <w:rFonts w:ascii="Arial" w:hAnsi="Arial" w:cs="Arial"/>
                <w:b/>
                <w:bCs/>
                <w:sz w:val="20"/>
                <w:szCs w:val="20"/>
              </w:rPr>
              <w:t>Objeto:</w:t>
            </w:r>
          </w:p>
        </w:tc>
        <w:tc>
          <w:tcPr>
            <w:tcW w:w="10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14D865"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 xml:space="preserve">Trata-se de demanda ajuizada por </w:t>
            </w:r>
            <w:proofErr w:type="spellStart"/>
            <w:r w:rsidRPr="00F45A1F">
              <w:rPr>
                <w:rFonts w:ascii="Arial" w:hAnsi="Arial" w:cs="Arial"/>
                <w:sz w:val="20"/>
                <w:szCs w:val="20"/>
              </w:rPr>
              <w:t>ex-empregados</w:t>
            </w:r>
            <w:proofErr w:type="spellEnd"/>
            <w:r w:rsidRPr="00F45A1F">
              <w:rPr>
                <w:rFonts w:ascii="Arial" w:hAnsi="Arial" w:cs="Arial"/>
                <w:sz w:val="20"/>
                <w:szCs w:val="20"/>
              </w:rPr>
              <w:t xml:space="preserve"> da Companhia Bauxita Brasileira, que foi subcontratada, sem a autorização da Eletronuclear, pela empresa </w:t>
            </w:r>
            <w:proofErr w:type="spellStart"/>
            <w:r w:rsidRPr="00F45A1F">
              <w:rPr>
                <w:rFonts w:ascii="Arial" w:hAnsi="Arial" w:cs="Arial"/>
                <w:sz w:val="20"/>
                <w:szCs w:val="20"/>
              </w:rPr>
              <w:t>Interamerican</w:t>
            </w:r>
            <w:proofErr w:type="spellEnd"/>
            <w:r w:rsidRPr="00F45A1F">
              <w:rPr>
                <w:rFonts w:ascii="Arial" w:hAnsi="Arial" w:cs="Arial"/>
                <w:sz w:val="20"/>
                <w:szCs w:val="20"/>
              </w:rPr>
              <w:t xml:space="preserve"> </w:t>
            </w:r>
            <w:proofErr w:type="spellStart"/>
            <w:r w:rsidRPr="00F45A1F">
              <w:rPr>
                <w:rFonts w:ascii="Arial" w:hAnsi="Arial" w:cs="Arial"/>
                <w:sz w:val="20"/>
                <w:szCs w:val="20"/>
              </w:rPr>
              <w:t>Ltda</w:t>
            </w:r>
            <w:proofErr w:type="spellEnd"/>
            <w:r w:rsidRPr="00F45A1F">
              <w:rPr>
                <w:rFonts w:ascii="Arial" w:hAnsi="Arial" w:cs="Arial"/>
                <w:sz w:val="20"/>
                <w:szCs w:val="20"/>
              </w:rPr>
              <w:t xml:space="preserve"> para a realização dos serviços de destinação final de aproximadamente 10.000 Kg (dez mil quilogramas) de resíduos Industriais provenientes de sobra da construção da Usina de Angra 2, no município de Angra dos Reis- RJ, o que gerou pedido dos Reclamantes para ressarcimento de danos materiais/morais decorrentes do exercício de atividade laboral sem o uso de equipamentos adequados.  Há aproximadamente setenta e cinco reclamadas. Além do exposto acima, há alegação de prescrição quanto ao direito dos reclamantes. O processo encontra-se em 1º Grau, sem prolação de sentença, aguardando a produção de prova pericial, contudo os reclamantes não compareceram à data agendada para a realização dos exames clínicos pelo perito. A empresa se manifestou pela perda da prova pericial.  Audiência de encerramento de instrução designada para o dia 16/07/2020.</w:t>
            </w:r>
          </w:p>
        </w:tc>
      </w:tr>
      <w:tr w:rsidR="004C20FF" w:rsidRPr="00F45A1F" w14:paraId="30E7D50B" w14:textId="77777777" w:rsidTr="000442A6">
        <w:trPr>
          <w:trHeight w:val="57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AEB565"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Expectativa de Perda</w:t>
            </w:r>
          </w:p>
        </w:tc>
        <w:tc>
          <w:tcPr>
            <w:tcW w:w="10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71D43C"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Possível</w:t>
            </w:r>
          </w:p>
        </w:tc>
      </w:tr>
    </w:tbl>
    <w:p w14:paraId="48E4D944" w14:textId="77777777" w:rsidR="004C20FF" w:rsidRPr="00F45A1F" w:rsidRDefault="004C20FF" w:rsidP="004C20FF">
      <w:pPr>
        <w:rPr>
          <w:rFonts w:ascii="Arial" w:eastAsiaTheme="minorHAnsi" w:hAnsi="Arial" w:cs="Arial"/>
          <w:sz w:val="22"/>
          <w:szCs w:val="22"/>
          <w:lang w:eastAsia="en-US"/>
        </w:rPr>
      </w:pPr>
    </w:p>
    <w:p w14:paraId="0E6FF07B" w14:textId="77777777" w:rsidR="004C20FF" w:rsidRPr="00F45A1F" w:rsidRDefault="004C20FF" w:rsidP="004C20FF">
      <w:pPr>
        <w:rPr>
          <w:rFonts w:ascii="Arial" w:hAnsi="Arial" w:cs="Arial"/>
        </w:rPr>
      </w:pPr>
    </w:p>
    <w:tbl>
      <w:tblPr>
        <w:tblW w:w="0" w:type="auto"/>
        <w:tblInd w:w="30" w:type="dxa"/>
        <w:tblCellMar>
          <w:left w:w="0" w:type="dxa"/>
          <w:right w:w="0" w:type="dxa"/>
        </w:tblCellMar>
        <w:tblLook w:val="04A0" w:firstRow="1" w:lastRow="0" w:firstColumn="1" w:lastColumn="0" w:noHBand="0" w:noVBand="1"/>
      </w:tblPr>
      <w:tblGrid>
        <w:gridCol w:w="1813"/>
        <w:gridCol w:w="7786"/>
      </w:tblGrid>
      <w:tr w:rsidR="004C20FF" w:rsidRPr="00F45A1F" w14:paraId="31F0FF37" w14:textId="77777777" w:rsidTr="000442A6">
        <w:trPr>
          <w:trHeight w:val="315"/>
        </w:trPr>
        <w:tc>
          <w:tcPr>
            <w:tcW w:w="1813" w:type="dxa"/>
            <w:noWrap/>
            <w:tcMar>
              <w:top w:w="0" w:type="dxa"/>
              <w:left w:w="70" w:type="dxa"/>
              <w:bottom w:w="0" w:type="dxa"/>
              <w:right w:w="70" w:type="dxa"/>
            </w:tcMar>
            <w:vAlign w:val="center"/>
            <w:hideMark/>
          </w:tcPr>
          <w:p w14:paraId="77694BF0" w14:textId="77777777" w:rsidR="004C20FF" w:rsidRPr="00F45A1F" w:rsidRDefault="004C20FF" w:rsidP="000442A6">
            <w:pPr>
              <w:rPr>
                <w:rFonts w:ascii="Arial" w:hAnsi="Arial" w:cs="Arial"/>
              </w:rPr>
            </w:pPr>
          </w:p>
        </w:tc>
        <w:tc>
          <w:tcPr>
            <w:tcW w:w="7786" w:type="dxa"/>
            <w:noWrap/>
            <w:tcMar>
              <w:top w:w="0" w:type="dxa"/>
              <w:left w:w="70" w:type="dxa"/>
              <w:bottom w:w="0" w:type="dxa"/>
              <w:right w:w="70" w:type="dxa"/>
            </w:tcMar>
            <w:vAlign w:val="bottom"/>
            <w:hideMark/>
          </w:tcPr>
          <w:p w14:paraId="1D932B4E" w14:textId="77777777" w:rsidR="004C20FF" w:rsidRPr="00F45A1F" w:rsidRDefault="004C20FF" w:rsidP="000442A6">
            <w:pPr>
              <w:rPr>
                <w:sz w:val="20"/>
                <w:szCs w:val="20"/>
              </w:rPr>
            </w:pPr>
          </w:p>
        </w:tc>
      </w:tr>
      <w:tr w:rsidR="004C20FF" w:rsidRPr="00F45A1F" w14:paraId="771F776E" w14:textId="77777777" w:rsidTr="000442A6">
        <w:trPr>
          <w:trHeight w:val="660"/>
        </w:trPr>
        <w:tc>
          <w:tcPr>
            <w:tcW w:w="9599"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57BBD72" w14:textId="77777777" w:rsidR="004C20FF" w:rsidRPr="00F45A1F" w:rsidRDefault="004C20FF" w:rsidP="004C20FF">
            <w:pPr>
              <w:ind w:firstLine="1004"/>
              <w:rPr>
                <w:rFonts w:ascii="Arial" w:eastAsiaTheme="minorHAnsi" w:hAnsi="Arial" w:cs="Arial"/>
                <w:b/>
                <w:bCs/>
                <w:sz w:val="20"/>
                <w:szCs w:val="20"/>
                <w:lang w:eastAsia="en-US"/>
              </w:rPr>
            </w:pPr>
            <w:r w:rsidRPr="00F45A1F">
              <w:rPr>
                <w:rFonts w:ascii="Arial" w:hAnsi="Arial" w:cs="Arial"/>
                <w:b/>
                <w:bCs/>
                <w:sz w:val="20"/>
                <w:szCs w:val="20"/>
              </w:rPr>
              <w:t>e)</w:t>
            </w:r>
            <w:r w:rsidRPr="00F45A1F">
              <w:rPr>
                <w:rFonts w:ascii="Arial" w:hAnsi="Arial" w:cs="Arial"/>
                <w:b/>
                <w:bCs/>
                <w:sz w:val="14"/>
                <w:szCs w:val="14"/>
              </w:rPr>
              <w:t xml:space="preserve">      </w:t>
            </w:r>
            <w:r w:rsidRPr="00F45A1F">
              <w:rPr>
                <w:rFonts w:ascii="Arial" w:hAnsi="Arial" w:cs="Arial"/>
                <w:b/>
                <w:bCs/>
              </w:rPr>
              <w:t>Ação Trabalhista n. 0010787-62.2015.5.08.0116</w:t>
            </w:r>
          </w:p>
        </w:tc>
      </w:tr>
      <w:tr w:rsidR="004C20FF" w:rsidRPr="00F45A1F" w14:paraId="3DBFC40F" w14:textId="77777777" w:rsidTr="000442A6">
        <w:trPr>
          <w:trHeight w:val="315"/>
        </w:trPr>
        <w:tc>
          <w:tcPr>
            <w:tcW w:w="18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35BFEF"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Instância /Juízo</w:t>
            </w:r>
          </w:p>
        </w:tc>
        <w:tc>
          <w:tcPr>
            <w:tcW w:w="7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10E8CC"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[1ª] Instância - 1ª Vara do Trabalho de Paragominas</w:t>
            </w:r>
          </w:p>
        </w:tc>
      </w:tr>
      <w:tr w:rsidR="004C20FF" w:rsidRPr="00F45A1F" w14:paraId="49E1F2F1" w14:textId="77777777" w:rsidTr="000442A6">
        <w:trPr>
          <w:trHeight w:val="525"/>
        </w:trPr>
        <w:tc>
          <w:tcPr>
            <w:tcW w:w="18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D14726"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Partes</w:t>
            </w:r>
          </w:p>
        </w:tc>
        <w:tc>
          <w:tcPr>
            <w:tcW w:w="7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A32C28" w14:textId="77777777" w:rsidR="004C20FF" w:rsidRPr="00F45A1F" w:rsidRDefault="004C20FF" w:rsidP="000442A6">
            <w:pPr>
              <w:jc w:val="both"/>
              <w:rPr>
                <w:rFonts w:ascii="Arial" w:hAnsi="Arial" w:cs="Arial"/>
                <w:sz w:val="20"/>
                <w:szCs w:val="20"/>
              </w:rPr>
            </w:pPr>
            <w:proofErr w:type="spellStart"/>
            <w:r w:rsidRPr="00F45A1F">
              <w:rPr>
                <w:rFonts w:ascii="Arial" w:hAnsi="Arial" w:cs="Arial"/>
                <w:sz w:val="20"/>
                <w:szCs w:val="20"/>
              </w:rPr>
              <w:t>Leilson</w:t>
            </w:r>
            <w:proofErr w:type="spellEnd"/>
            <w:r w:rsidRPr="00F45A1F">
              <w:rPr>
                <w:rFonts w:ascii="Arial" w:hAnsi="Arial" w:cs="Arial"/>
                <w:sz w:val="20"/>
                <w:szCs w:val="20"/>
              </w:rPr>
              <w:t xml:space="preserve"> Souza Lima e outros x Eletrobras Eletronuclear (Reclamada) e Outros</w:t>
            </w:r>
          </w:p>
        </w:tc>
      </w:tr>
      <w:tr w:rsidR="004C20FF" w:rsidRPr="00F45A1F" w14:paraId="3A0F893D" w14:textId="77777777" w:rsidTr="000442A6">
        <w:trPr>
          <w:trHeight w:val="525"/>
        </w:trPr>
        <w:tc>
          <w:tcPr>
            <w:tcW w:w="18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31E907"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Valores, bens ou direitos envolvidos</w:t>
            </w:r>
          </w:p>
        </w:tc>
        <w:tc>
          <w:tcPr>
            <w:tcW w:w="7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C5BDD0" w14:textId="3A35F868" w:rsidR="004C20FF" w:rsidRPr="00F45A1F" w:rsidRDefault="004C20FF" w:rsidP="00577F51">
            <w:pPr>
              <w:jc w:val="both"/>
              <w:rPr>
                <w:rFonts w:ascii="Arial" w:hAnsi="Arial" w:cs="Arial"/>
                <w:sz w:val="20"/>
                <w:szCs w:val="20"/>
              </w:rPr>
            </w:pPr>
            <w:r w:rsidRPr="00F45A1F">
              <w:rPr>
                <w:rFonts w:ascii="Arial" w:hAnsi="Arial" w:cs="Arial"/>
                <w:sz w:val="20"/>
                <w:szCs w:val="20"/>
              </w:rPr>
              <w:t>Valor atualizado: R$ 144.601</w:t>
            </w:r>
          </w:p>
        </w:tc>
      </w:tr>
      <w:tr w:rsidR="004C20FF" w:rsidRPr="00F45A1F" w14:paraId="67C5B70A" w14:textId="77777777" w:rsidTr="000442A6">
        <w:trPr>
          <w:trHeight w:val="2445"/>
        </w:trPr>
        <w:tc>
          <w:tcPr>
            <w:tcW w:w="18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10B73D"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Objeto:</w:t>
            </w:r>
          </w:p>
        </w:tc>
        <w:tc>
          <w:tcPr>
            <w:tcW w:w="7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525CF9" w14:textId="77777777" w:rsidR="004C20FF" w:rsidRPr="00F45A1F" w:rsidRDefault="004C20FF" w:rsidP="000442A6">
            <w:pPr>
              <w:jc w:val="both"/>
              <w:rPr>
                <w:rFonts w:ascii="Calibri" w:hAnsi="Calibri" w:cs="Calibri"/>
                <w:sz w:val="22"/>
                <w:szCs w:val="22"/>
              </w:rPr>
            </w:pPr>
            <w:r w:rsidRPr="00F45A1F">
              <w:rPr>
                <w:rFonts w:ascii="Arial" w:hAnsi="Arial" w:cs="Arial"/>
                <w:sz w:val="20"/>
                <w:szCs w:val="20"/>
              </w:rPr>
              <w:t xml:space="preserve">Trata-se de demanda ajuizada por </w:t>
            </w:r>
            <w:proofErr w:type="spellStart"/>
            <w:r w:rsidRPr="00F45A1F">
              <w:rPr>
                <w:rFonts w:ascii="Arial" w:hAnsi="Arial" w:cs="Arial"/>
                <w:sz w:val="20"/>
                <w:szCs w:val="20"/>
              </w:rPr>
              <w:t>ex-empregados</w:t>
            </w:r>
            <w:proofErr w:type="spellEnd"/>
            <w:r w:rsidRPr="00F45A1F">
              <w:rPr>
                <w:rFonts w:ascii="Arial" w:hAnsi="Arial" w:cs="Arial"/>
                <w:sz w:val="20"/>
                <w:szCs w:val="20"/>
              </w:rPr>
              <w:t xml:space="preserve"> da Companhia Bauxita Brasileira, que foi subcontratada, sem a autorização da Eletronuclear, pela empresa </w:t>
            </w:r>
            <w:proofErr w:type="spellStart"/>
            <w:r w:rsidRPr="00F45A1F">
              <w:rPr>
                <w:rFonts w:ascii="Arial" w:hAnsi="Arial" w:cs="Arial"/>
                <w:sz w:val="20"/>
                <w:szCs w:val="20"/>
              </w:rPr>
              <w:t>Interamerican</w:t>
            </w:r>
            <w:proofErr w:type="spellEnd"/>
            <w:r w:rsidRPr="00F45A1F">
              <w:rPr>
                <w:rFonts w:ascii="Arial" w:hAnsi="Arial" w:cs="Arial"/>
                <w:sz w:val="20"/>
                <w:szCs w:val="20"/>
              </w:rPr>
              <w:t xml:space="preserve"> </w:t>
            </w:r>
            <w:proofErr w:type="spellStart"/>
            <w:r w:rsidRPr="00F45A1F">
              <w:rPr>
                <w:rFonts w:ascii="Arial" w:hAnsi="Arial" w:cs="Arial"/>
                <w:sz w:val="20"/>
                <w:szCs w:val="20"/>
              </w:rPr>
              <w:t>Ltda</w:t>
            </w:r>
            <w:proofErr w:type="spellEnd"/>
            <w:r w:rsidRPr="00F45A1F">
              <w:rPr>
                <w:rFonts w:ascii="Arial" w:hAnsi="Arial" w:cs="Arial"/>
                <w:sz w:val="20"/>
                <w:szCs w:val="20"/>
              </w:rPr>
              <w:t xml:space="preserve"> para a realização dos serviços de destinação final de aproximadamente 10.000 Kg (dez mil quilogramas) de resíduos Industriais provenientes de sobra da construção da Usina de Angra 2, no município de Angra dos Reis- RJ, o que gerou pedido dos Reclamantes para ressarcimento de danos materiais/morais decorrentes do exercício de atividade laboral sem o uso de equipamentos adequados.  Há aproximadamente setenta e cinco reclamadas. Além do exposto acima, há alegação de prescrição quanto ao direito dos reclamantes. O processo encontra-se em 1º Grau, sem prolação de sentença, aguardando a produção de prova pericial, contudo os reclamantes não compareceram à data agendada para a realização dos exames clínicos pelo perito. A empresa se manifestou pela perda da prova pericial.  Audiência de encerramento de instrução designada para o dia 16/07/2020.</w:t>
            </w:r>
          </w:p>
        </w:tc>
      </w:tr>
      <w:tr w:rsidR="004C20FF" w:rsidRPr="00F45A1F" w14:paraId="22B926DC" w14:textId="77777777" w:rsidTr="000442A6">
        <w:trPr>
          <w:trHeight w:val="555"/>
        </w:trPr>
        <w:tc>
          <w:tcPr>
            <w:tcW w:w="18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0BE64E"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Expectativa de Perda</w:t>
            </w:r>
          </w:p>
        </w:tc>
        <w:tc>
          <w:tcPr>
            <w:tcW w:w="7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8F18DA"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Possível</w:t>
            </w:r>
          </w:p>
        </w:tc>
      </w:tr>
    </w:tbl>
    <w:p w14:paraId="34147A39" w14:textId="77777777" w:rsidR="004C20FF" w:rsidRPr="00F45A1F" w:rsidRDefault="004C20FF" w:rsidP="004C20FF">
      <w:pPr>
        <w:rPr>
          <w:rFonts w:ascii="Arial" w:eastAsiaTheme="minorHAnsi" w:hAnsi="Arial" w:cs="Arial"/>
          <w:sz w:val="22"/>
          <w:szCs w:val="22"/>
          <w:lang w:eastAsia="en-US"/>
        </w:rPr>
      </w:pPr>
    </w:p>
    <w:tbl>
      <w:tblPr>
        <w:tblW w:w="6327" w:type="pct"/>
        <w:tblCellMar>
          <w:left w:w="0" w:type="dxa"/>
          <w:right w:w="0" w:type="dxa"/>
        </w:tblCellMar>
        <w:tblLook w:val="04A0" w:firstRow="1" w:lastRow="0" w:firstColumn="1" w:lastColumn="0" w:noHBand="0" w:noVBand="1"/>
      </w:tblPr>
      <w:tblGrid>
        <w:gridCol w:w="2355"/>
        <w:gridCol w:w="7280"/>
        <w:gridCol w:w="20"/>
        <w:gridCol w:w="2536"/>
      </w:tblGrid>
      <w:tr w:rsidR="004C20FF" w:rsidRPr="00F45A1F" w14:paraId="54C4BCD2" w14:textId="77777777" w:rsidTr="000442A6">
        <w:trPr>
          <w:gridAfter w:val="1"/>
          <w:wAfter w:w="1040" w:type="pct"/>
          <w:trHeight w:val="495"/>
        </w:trPr>
        <w:tc>
          <w:tcPr>
            <w:tcW w:w="3952"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10A1AE4F" w14:textId="77777777" w:rsidR="004C20FF" w:rsidRPr="00F45A1F" w:rsidRDefault="004C20FF" w:rsidP="004C20FF">
            <w:pPr>
              <w:ind w:firstLine="1205"/>
              <w:rPr>
                <w:rFonts w:ascii="Arial" w:hAnsi="Arial" w:cs="Arial"/>
                <w:b/>
                <w:bCs/>
                <w:sz w:val="20"/>
                <w:szCs w:val="20"/>
              </w:rPr>
            </w:pPr>
            <w:r w:rsidRPr="00F45A1F">
              <w:rPr>
                <w:rFonts w:ascii="Arial" w:hAnsi="Arial" w:cs="Arial"/>
                <w:b/>
                <w:bCs/>
                <w:sz w:val="20"/>
                <w:szCs w:val="20"/>
              </w:rPr>
              <w:t xml:space="preserve">f)  </w:t>
            </w:r>
            <w:r w:rsidRPr="00F45A1F">
              <w:rPr>
                <w:rFonts w:ascii="Arial" w:hAnsi="Arial" w:cs="Arial"/>
                <w:b/>
                <w:bCs/>
              </w:rPr>
              <w:t>Ação Cível n. 1024684-59.2018.4.01.3400</w:t>
            </w:r>
          </w:p>
        </w:tc>
        <w:tc>
          <w:tcPr>
            <w:tcW w:w="8" w:type="pct"/>
            <w:vAlign w:val="center"/>
            <w:hideMark/>
          </w:tcPr>
          <w:p w14:paraId="25A8B8C2" w14:textId="77777777" w:rsidR="004C20FF" w:rsidRPr="00F45A1F" w:rsidRDefault="004C20FF" w:rsidP="000442A6">
            <w:pPr>
              <w:rPr>
                <w:rFonts w:ascii="Arial" w:hAnsi="Arial" w:cs="Arial"/>
                <w:b/>
                <w:bCs/>
                <w:sz w:val="20"/>
                <w:szCs w:val="20"/>
              </w:rPr>
            </w:pPr>
          </w:p>
        </w:tc>
      </w:tr>
      <w:tr w:rsidR="004C20FF" w:rsidRPr="00F45A1F" w14:paraId="0FCD0D5A" w14:textId="77777777" w:rsidTr="000442A6">
        <w:trPr>
          <w:trHeight w:val="315"/>
        </w:trPr>
        <w:tc>
          <w:tcPr>
            <w:tcW w:w="9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8CB608" w14:textId="77777777" w:rsidR="004C20FF" w:rsidRPr="00F45A1F" w:rsidRDefault="004C20FF" w:rsidP="000442A6">
            <w:pPr>
              <w:rPr>
                <w:rFonts w:ascii="Arial" w:eastAsiaTheme="minorHAnsi" w:hAnsi="Arial" w:cs="Arial"/>
                <w:b/>
                <w:bCs/>
                <w:sz w:val="20"/>
                <w:szCs w:val="20"/>
                <w:lang w:eastAsia="en-US"/>
              </w:rPr>
            </w:pPr>
            <w:r w:rsidRPr="00F45A1F">
              <w:rPr>
                <w:rFonts w:ascii="Arial" w:hAnsi="Arial" w:cs="Arial"/>
                <w:b/>
                <w:bCs/>
                <w:sz w:val="20"/>
                <w:szCs w:val="20"/>
              </w:rPr>
              <w:t>Instância /Juízo</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302068"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[1ª] Instância – [16ª] Vara Federal - SJDF</w:t>
            </w:r>
          </w:p>
        </w:tc>
        <w:tc>
          <w:tcPr>
            <w:tcW w:w="8" w:type="pct"/>
            <w:vAlign w:val="center"/>
            <w:hideMark/>
          </w:tcPr>
          <w:p w14:paraId="085804E9" w14:textId="77777777" w:rsidR="004C20FF" w:rsidRPr="00F45A1F" w:rsidRDefault="004C20FF" w:rsidP="000442A6">
            <w:pPr>
              <w:rPr>
                <w:rFonts w:ascii="Arial" w:hAnsi="Arial" w:cs="Arial"/>
                <w:sz w:val="20"/>
                <w:szCs w:val="20"/>
              </w:rPr>
            </w:pPr>
          </w:p>
        </w:tc>
        <w:tc>
          <w:tcPr>
            <w:tcW w:w="1040" w:type="pct"/>
            <w:vAlign w:val="center"/>
            <w:hideMark/>
          </w:tcPr>
          <w:p w14:paraId="33C10AEE"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0EB9EE73" w14:textId="77777777" w:rsidTr="000442A6">
        <w:trPr>
          <w:trHeight w:val="315"/>
        </w:trPr>
        <w:tc>
          <w:tcPr>
            <w:tcW w:w="9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85F4B6"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Partes</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09BABD"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RCS Tecnologia Ltda.</w:t>
            </w:r>
          </w:p>
        </w:tc>
        <w:tc>
          <w:tcPr>
            <w:tcW w:w="8" w:type="pct"/>
            <w:vAlign w:val="center"/>
            <w:hideMark/>
          </w:tcPr>
          <w:p w14:paraId="4E4DCF95" w14:textId="77777777" w:rsidR="004C20FF" w:rsidRPr="00F45A1F" w:rsidRDefault="004C20FF" w:rsidP="000442A6">
            <w:pPr>
              <w:rPr>
                <w:rFonts w:ascii="Arial" w:hAnsi="Arial" w:cs="Arial"/>
                <w:sz w:val="20"/>
                <w:szCs w:val="20"/>
              </w:rPr>
            </w:pPr>
          </w:p>
        </w:tc>
        <w:tc>
          <w:tcPr>
            <w:tcW w:w="1040" w:type="pct"/>
            <w:vAlign w:val="center"/>
            <w:hideMark/>
          </w:tcPr>
          <w:p w14:paraId="1A2168B0"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5E10505F" w14:textId="77777777" w:rsidTr="000442A6">
        <w:trPr>
          <w:trHeight w:val="525"/>
        </w:trPr>
        <w:tc>
          <w:tcPr>
            <w:tcW w:w="9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FD6256"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Valores, bens ou direitos envolvidos</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B22554" w14:textId="1E1FBE67" w:rsidR="004C20FF" w:rsidRPr="00F45A1F" w:rsidRDefault="004C20FF" w:rsidP="00577F51">
            <w:pPr>
              <w:jc w:val="both"/>
              <w:rPr>
                <w:rFonts w:ascii="Arial" w:hAnsi="Arial" w:cs="Arial"/>
                <w:sz w:val="20"/>
                <w:szCs w:val="20"/>
              </w:rPr>
            </w:pPr>
            <w:r w:rsidRPr="00F45A1F">
              <w:rPr>
                <w:rFonts w:ascii="Arial" w:hAnsi="Arial" w:cs="Arial"/>
                <w:sz w:val="20"/>
                <w:szCs w:val="20"/>
              </w:rPr>
              <w:t>Valor atualizado: R$ 88.802</w:t>
            </w:r>
          </w:p>
        </w:tc>
        <w:tc>
          <w:tcPr>
            <w:tcW w:w="8" w:type="pct"/>
            <w:vAlign w:val="center"/>
            <w:hideMark/>
          </w:tcPr>
          <w:p w14:paraId="694EE82C" w14:textId="77777777" w:rsidR="004C20FF" w:rsidRPr="00F45A1F" w:rsidRDefault="004C20FF" w:rsidP="000442A6">
            <w:pPr>
              <w:rPr>
                <w:rFonts w:ascii="Arial" w:hAnsi="Arial" w:cs="Arial"/>
                <w:sz w:val="20"/>
                <w:szCs w:val="20"/>
              </w:rPr>
            </w:pPr>
          </w:p>
        </w:tc>
        <w:tc>
          <w:tcPr>
            <w:tcW w:w="1040" w:type="pct"/>
            <w:vAlign w:val="center"/>
            <w:hideMark/>
          </w:tcPr>
          <w:p w14:paraId="132DC5F7"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440636E0" w14:textId="77777777" w:rsidTr="000442A6">
        <w:trPr>
          <w:trHeight w:val="1635"/>
        </w:trPr>
        <w:tc>
          <w:tcPr>
            <w:tcW w:w="966" w:type="pct"/>
            <w:tcBorders>
              <w:top w:val="nil"/>
              <w:left w:val="single" w:sz="8" w:space="0" w:color="auto"/>
              <w:bottom w:val="nil"/>
              <w:right w:val="single" w:sz="8" w:space="0" w:color="auto"/>
            </w:tcBorders>
            <w:tcMar>
              <w:top w:w="0" w:type="dxa"/>
              <w:left w:w="70" w:type="dxa"/>
              <w:bottom w:w="0" w:type="dxa"/>
              <w:right w:w="70" w:type="dxa"/>
            </w:tcMar>
            <w:vAlign w:val="center"/>
            <w:hideMark/>
          </w:tcPr>
          <w:p w14:paraId="32E83CD5" w14:textId="77777777" w:rsidR="004C20FF" w:rsidRPr="00F45A1F" w:rsidRDefault="004C20FF" w:rsidP="000442A6">
            <w:pPr>
              <w:ind w:firstLine="1004"/>
              <w:rPr>
                <w:rFonts w:ascii="Arial" w:hAnsi="Arial" w:cs="Arial"/>
                <w:b/>
                <w:bCs/>
                <w:sz w:val="20"/>
                <w:szCs w:val="20"/>
              </w:rPr>
            </w:pPr>
            <w:r w:rsidRPr="00F45A1F">
              <w:rPr>
                <w:rFonts w:ascii="Arial" w:hAnsi="Arial" w:cs="Arial"/>
                <w:b/>
                <w:bCs/>
                <w:sz w:val="20"/>
                <w:szCs w:val="20"/>
              </w:rPr>
              <w:t>Objeto:</w:t>
            </w:r>
          </w:p>
        </w:tc>
        <w:tc>
          <w:tcPr>
            <w:tcW w:w="2986" w:type="pct"/>
            <w:tcBorders>
              <w:top w:val="nil"/>
              <w:left w:val="nil"/>
              <w:bottom w:val="nil"/>
              <w:right w:val="single" w:sz="8" w:space="0" w:color="auto"/>
            </w:tcBorders>
            <w:tcMar>
              <w:top w:w="0" w:type="dxa"/>
              <w:left w:w="70" w:type="dxa"/>
              <w:bottom w:w="0" w:type="dxa"/>
              <w:right w:w="70" w:type="dxa"/>
            </w:tcMar>
            <w:vAlign w:val="center"/>
            <w:hideMark/>
          </w:tcPr>
          <w:p w14:paraId="12727593"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 xml:space="preserve">Mandado de Segurança, com pedido de provimento liminar, requerendo a anulação da decisão da autoridade coatora que desclassificou a impetrante da Licitação PE nº 369/2017. Pedido liminar indeferido. Houve apresentação de defesa pela ELETRONUCLEAR. Processo concluso para julgamento. Em 26.09.2019, o juiz proferiu despacho determinando que a empresa interessada IC </w:t>
            </w:r>
            <w:proofErr w:type="spellStart"/>
            <w:r w:rsidRPr="00F45A1F">
              <w:rPr>
                <w:rFonts w:ascii="Arial" w:hAnsi="Arial" w:cs="Arial"/>
                <w:sz w:val="20"/>
                <w:szCs w:val="20"/>
              </w:rPr>
              <w:t>Supply</w:t>
            </w:r>
            <w:proofErr w:type="spellEnd"/>
            <w:r w:rsidRPr="00F45A1F">
              <w:rPr>
                <w:rFonts w:ascii="Arial" w:hAnsi="Arial" w:cs="Arial"/>
                <w:sz w:val="20"/>
                <w:szCs w:val="20"/>
              </w:rPr>
              <w:t xml:space="preserve"> fosse intimada para, querendo, integrar o polo passivo da demanda e apresentar a sua contestação. Enviado o AR, para citação da IC </w:t>
            </w:r>
            <w:proofErr w:type="spellStart"/>
            <w:r w:rsidRPr="00F45A1F">
              <w:rPr>
                <w:rFonts w:ascii="Arial" w:hAnsi="Arial" w:cs="Arial"/>
                <w:sz w:val="20"/>
                <w:szCs w:val="20"/>
              </w:rPr>
              <w:t>Supply</w:t>
            </w:r>
            <w:proofErr w:type="spellEnd"/>
            <w:r w:rsidRPr="00F45A1F">
              <w:rPr>
                <w:rFonts w:ascii="Arial" w:hAnsi="Arial" w:cs="Arial"/>
                <w:sz w:val="20"/>
                <w:szCs w:val="20"/>
              </w:rPr>
              <w:t>.</w:t>
            </w:r>
          </w:p>
        </w:tc>
        <w:tc>
          <w:tcPr>
            <w:tcW w:w="8" w:type="pct"/>
            <w:vAlign w:val="center"/>
            <w:hideMark/>
          </w:tcPr>
          <w:p w14:paraId="4C1532BD" w14:textId="77777777" w:rsidR="004C20FF" w:rsidRPr="00F45A1F" w:rsidRDefault="004C20FF" w:rsidP="000442A6">
            <w:pPr>
              <w:rPr>
                <w:rFonts w:ascii="Arial" w:hAnsi="Arial" w:cs="Arial"/>
                <w:sz w:val="20"/>
                <w:szCs w:val="20"/>
              </w:rPr>
            </w:pPr>
          </w:p>
        </w:tc>
        <w:tc>
          <w:tcPr>
            <w:tcW w:w="1040" w:type="pct"/>
            <w:vAlign w:val="center"/>
            <w:hideMark/>
          </w:tcPr>
          <w:p w14:paraId="64484830"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59301D3E" w14:textId="77777777" w:rsidTr="000442A6">
        <w:trPr>
          <w:trHeight w:val="555"/>
        </w:trPr>
        <w:tc>
          <w:tcPr>
            <w:tcW w:w="96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73F642"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Expectativa de Perda</w:t>
            </w:r>
          </w:p>
        </w:tc>
        <w:tc>
          <w:tcPr>
            <w:tcW w:w="298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4BB1560"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Possível</w:t>
            </w:r>
          </w:p>
        </w:tc>
        <w:tc>
          <w:tcPr>
            <w:tcW w:w="8" w:type="pct"/>
            <w:vAlign w:val="center"/>
            <w:hideMark/>
          </w:tcPr>
          <w:p w14:paraId="382FBDB8" w14:textId="77777777" w:rsidR="004C20FF" w:rsidRPr="00F45A1F" w:rsidRDefault="004C20FF" w:rsidP="000442A6">
            <w:pPr>
              <w:rPr>
                <w:rFonts w:ascii="Arial" w:hAnsi="Arial" w:cs="Arial"/>
                <w:sz w:val="20"/>
                <w:szCs w:val="20"/>
              </w:rPr>
            </w:pPr>
          </w:p>
        </w:tc>
        <w:tc>
          <w:tcPr>
            <w:tcW w:w="1040" w:type="pct"/>
            <w:vAlign w:val="center"/>
            <w:hideMark/>
          </w:tcPr>
          <w:p w14:paraId="1A8E1E61"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32A64833" w14:textId="77777777" w:rsidTr="000442A6">
        <w:trPr>
          <w:trHeight w:val="315"/>
        </w:trPr>
        <w:tc>
          <w:tcPr>
            <w:tcW w:w="966" w:type="pct"/>
            <w:noWrap/>
            <w:tcMar>
              <w:top w:w="0" w:type="dxa"/>
              <w:left w:w="70" w:type="dxa"/>
              <w:bottom w:w="0" w:type="dxa"/>
              <w:right w:w="70" w:type="dxa"/>
            </w:tcMar>
            <w:vAlign w:val="center"/>
            <w:hideMark/>
          </w:tcPr>
          <w:p w14:paraId="25DEC198" w14:textId="77777777" w:rsidR="004C20FF" w:rsidRPr="00F45A1F" w:rsidRDefault="004C20FF" w:rsidP="000442A6"/>
        </w:tc>
        <w:tc>
          <w:tcPr>
            <w:tcW w:w="2986" w:type="pct"/>
            <w:noWrap/>
            <w:tcMar>
              <w:top w:w="0" w:type="dxa"/>
              <w:left w:w="70" w:type="dxa"/>
              <w:bottom w:w="0" w:type="dxa"/>
              <w:right w:w="70" w:type="dxa"/>
            </w:tcMar>
            <w:vAlign w:val="bottom"/>
            <w:hideMark/>
          </w:tcPr>
          <w:p w14:paraId="6DB5B789" w14:textId="77777777" w:rsidR="004C20FF" w:rsidRPr="00F45A1F" w:rsidRDefault="004C20FF" w:rsidP="000442A6">
            <w:pPr>
              <w:rPr>
                <w:sz w:val="20"/>
                <w:szCs w:val="20"/>
              </w:rPr>
            </w:pPr>
          </w:p>
        </w:tc>
        <w:tc>
          <w:tcPr>
            <w:tcW w:w="8" w:type="pct"/>
            <w:vAlign w:val="center"/>
            <w:hideMark/>
          </w:tcPr>
          <w:p w14:paraId="6F4F025F" w14:textId="77777777" w:rsidR="004C20FF" w:rsidRPr="00F45A1F" w:rsidRDefault="004C20FF" w:rsidP="000442A6">
            <w:pPr>
              <w:rPr>
                <w:sz w:val="20"/>
                <w:szCs w:val="20"/>
              </w:rPr>
            </w:pPr>
          </w:p>
        </w:tc>
        <w:tc>
          <w:tcPr>
            <w:tcW w:w="1040" w:type="pct"/>
            <w:vAlign w:val="center"/>
            <w:hideMark/>
          </w:tcPr>
          <w:p w14:paraId="451ADD3D"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74A9A1D7" w14:textId="77777777" w:rsidTr="000442A6">
        <w:trPr>
          <w:gridAfter w:val="1"/>
          <w:wAfter w:w="1040" w:type="pct"/>
          <w:trHeight w:val="510"/>
        </w:trPr>
        <w:tc>
          <w:tcPr>
            <w:tcW w:w="3952"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302C9A9B" w14:textId="77777777" w:rsidR="004C20FF" w:rsidRPr="00F45A1F" w:rsidRDefault="004C20FF" w:rsidP="004C20FF">
            <w:pPr>
              <w:ind w:firstLine="1205"/>
              <w:rPr>
                <w:rFonts w:ascii="Arial" w:hAnsi="Arial" w:cs="Arial"/>
                <w:b/>
                <w:bCs/>
              </w:rPr>
            </w:pPr>
            <w:r w:rsidRPr="00F45A1F">
              <w:rPr>
                <w:rFonts w:ascii="Arial" w:hAnsi="Arial" w:cs="Arial"/>
                <w:b/>
                <w:bCs/>
                <w:sz w:val="20"/>
                <w:szCs w:val="20"/>
              </w:rPr>
              <w:t>g)</w:t>
            </w:r>
            <w:r w:rsidRPr="00F45A1F">
              <w:rPr>
                <w:rFonts w:ascii="Arial" w:hAnsi="Arial" w:cs="Arial"/>
                <w:b/>
                <w:bCs/>
              </w:rPr>
              <w:t>   Ação Cível n. 5028541-56.2018.4.02.5101</w:t>
            </w:r>
          </w:p>
        </w:tc>
        <w:tc>
          <w:tcPr>
            <w:tcW w:w="8" w:type="pct"/>
            <w:vAlign w:val="center"/>
            <w:hideMark/>
          </w:tcPr>
          <w:p w14:paraId="3A33EA20" w14:textId="77777777" w:rsidR="004C20FF" w:rsidRPr="00F45A1F" w:rsidRDefault="004C20FF" w:rsidP="000442A6">
            <w:pPr>
              <w:rPr>
                <w:rFonts w:ascii="Arial" w:hAnsi="Arial" w:cs="Arial"/>
                <w:b/>
                <w:bCs/>
              </w:rPr>
            </w:pPr>
          </w:p>
        </w:tc>
      </w:tr>
      <w:tr w:rsidR="004C20FF" w:rsidRPr="00F45A1F" w14:paraId="4CA01864" w14:textId="77777777" w:rsidTr="000442A6">
        <w:trPr>
          <w:trHeight w:val="315"/>
        </w:trPr>
        <w:tc>
          <w:tcPr>
            <w:tcW w:w="9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B2BB9A" w14:textId="77777777" w:rsidR="004C20FF" w:rsidRPr="00F45A1F" w:rsidRDefault="004C20FF" w:rsidP="000442A6">
            <w:pPr>
              <w:rPr>
                <w:rFonts w:ascii="Arial" w:eastAsiaTheme="minorHAnsi" w:hAnsi="Arial" w:cs="Arial"/>
                <w:b/>
                <w:bCs/>
                <w:sz w:val="20"/>
                <w:szCs w:val="20"/>
                <w:lang w:eastAsia="en-US"/>
              </w:rPr>
            </w:pPr>
            <w:r w:rsidRPr="00F45A1F">
              <w:rPr>
                <w:rFonts w:ascii="Arial" w:hAnsi="Arial" w:cs="Arial"/>
                <w:b/>
                <w:bCs/>
                <w:sz w:val="20"/>
                <w:szCs w:val="20"/>
              </w:rPr>
              <w:t>Instância /Juízo</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D3DE96"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[1ª] Instância – [19ª] Vara Federal - RJ</w:t>
            </w:r>
          </w:p>
        </w:tc>
        <w:tc>
          <w:tcPr>
            <w:tcW w:w="8" w:type="pct"/>
            <w:vAlign w:val="center"/>
            <w:hideMark/>
          </w:tcPr>
          <w:p w14:paraId="4C0ED996" w14:textId="77777777" w:rsidR="004C20FF" w:rsidRPr="00F45A1F" w:rsidRDefault="004C20FF" w:rsidP="000442A6">
            <w:pPr>
              <w:rPr>
                <w:rFonts w:ascii="Arial" w:hAnsi="Arial" w:cs="Arial"/>
                <w:sz w:val="20"/>
                <w:szCs w:val="20"/>
              </w:rPr>
            </w:pPr>
          </w:p>
        </w:tc>
        <w:tc>
          <w:tcPr>
            <w:tcW w:w="1040" w:type="pct"/>
            <w:vAlign w:val="center"/>
            <w:hideMark/>
          </w:tcPr>
          <w:p w14:paraId="70BE3910"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5C28C1FB" w14:textId="77777777" w:rsidTr="000442A6">
        <w:trPr>
          <w:trHeight w:val="315"/>
        </w:trPr>
        <w:tc>
          <w:tcPr>
            <w:tcW w:w="9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D49EA7"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Partes</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D73CD7" w14:textId="77777777" w:rsidR="004C20FF" w:rsidRPr="00F45A1F" w:rsidRDefault="004C20FF" w:rsidP="000442A6">
            <w:pPr>
              <w:jc w:val="both"/>
              <w:rPr>
                <w:rFonts w:ascii="Arial" w:hAnsi="Arial" w:cs="Arial"/>
                <w:sz w:val="20"/>
                <w:szCs w:val="20"/>
              </w:rPr>
            </w:pPr>
            <w:proofErr w:type="spellStart"/>
            <w:r w:rsidRPr="00F45A1F">
              <w:rPr>
                <w:rFonts w:ascii="Arial" w:hAnsi="Arial" w:cs="Arial"/>
                <w:sz w:val="20"/>
                <w:szCs w:val="20"/>
              </w:rPr>
              <w:t>Tecnatom</w:t>
            </w:r>
            <w:proofErr w:type="spellEnd"/>
            <w:r w:rsidRPr="00F45A1F">
              <w:rPr>
                <w:rFonts w:ascii="Arial" w:hAnsi="Arial" w:cs="Arial"/>
                <w:sz w:val="20"/>
                <w:szCs w:val="20"/>
              </w:rPr>
              <w:t xml:space="preserve"> S/A.</w:t>
            </w:r>
          </w:p>
        </w:tc>
        <w:tc>
          <w:tcPr>
            <w:tcW w:w="8" w:type="pct"/>
            <w:vAlign w:val="center"/>
            <w:hideMark/>
          </w:tcPr>
          <w:p w14:paraId="6B45EB94" w14:textId="77777777" w:rsidR="004C20FF" w:rsidRPr="00F45A1F" w:rsidRDefault="004C20FF" w:rsidP="000442A6">
            <w:pPr>
              <w:rPr>
                <w:rFonts w:ascii="Arial" w:hAnsi="Arial" w:cs="Arial"/>
                <w:sz w:val="20"/>
                <w:szCs w:val="20"/>
              </w:rPr>
            </w:pPr>
          </w:p>
        </w:tc>
        <w:tc>
          <w:tcPr>
            <w:tcW w:w="1040" w:type="pct"/>
            <w:vAlign w:val="center"/>
            <w:hideMark/>
          </w:tcPr>
          <w:p w14:paraId="746B870C"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54F1B780" w14:textId="77777777" w:rsidTr="000442A6">
        <w:trPr>
          <w:trHeight w:val="525"/>
        </w:trPr>
        <w:tc>
          <w:tcPr>
            <w:tcW w:w="9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A6A64F"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Valores, bens ou direitos envolvidos</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46DC4B" w14:textId="548F5233" w:rsidR="004C20FF" w:rsidRPr="00F45A1F" w:rsidRDefault="004C20FF" w:rsidP="00577F51">
            <w:pPr>
              <w:jc w:val="both"/>
              <w:rPr>
                <w:rFonts w:ascii="Arial" w:hAnsi="Arial" w:cs="Arial"/>
                <w:sz w:val="20"/>
                <w:szCs w:val="20"/>
              </w:rPr>
            </w:pPr>
            <w:r w:rsidRPr="00F45A1F">
              <w:rPr>
                <w:rFonts w:ascii="Arial" w:hAnsi="Arial" w:cs="Arial"/>
                <w:sz w:val="20"/>
                <w:szCs w:val="20"/>
              </w:rPr>
              <w:t>Valor atualizado: R$ 69.558</w:t>
            </w:r>
          </w:p>
        </w:tc>
        <w:tc>
          <w:tcPr>
            <w:tcW w:w="8" w:type="pct"/>
            <w:vAlign w:val="center"/>
            <w:hideMark/>
          </w:tcPr>
          <w:p w14:paraId="2F7E20E8" w14:textId="77777777" w:rsidR="004C20FF" w:rsidRPr="00F45A1F" w:rsidRDefault="004C20FF" w:rsidP="000442A6">
            <w:pPr>
              <w:rPr>
                <w:rFonts w:ascii="Arial" w:hAnsi="Arial" w:cs="Arial"/>
                <w:sz w:val="20"/>
                <w:szCs w:val="20"/>
              </w:rPr>
            </w:pPr>
          </w:p>
        </w:tc>
        <w:tc>
          <w:tcPr>
            <w:tcW w:w="1040" w:type="pct"/>
            <w:vAlign w:val="center"/>
            <w:hideMark/>
          </w:tcPr>
          <w:p w14:paraId="14C14145"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070835CC" w14:textId="77777777" w:rsidTr="000442A6">
        <w:trPr>
          <w:trHeight w:val="1140"/>
        </w:trPr>
        <w:tc>
          <w:tcPr>
            <w:tcW w:w="966"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5819959F" w14:textId="77777777" w:rsidR="004C20FF" w:rsidRPr="00F45A1F" w:rsidRDefault="004C20FF" w:rsidP="000442A6">
            <w:pPr>
              <w:ind w:firstLine="1004"/>
              <w:rPr>
                <w:rFonts w:ascii="Arial" w:hAnsi="Arial" w:cs="Arial"/>
                <w:b/>
                <w:bCs/>
                <w:sz w:val="20"/>
                <w:szCs w:val="20"/>
              </w:rPr>
            </w:pPr>
            <w:r w:rsidRPr="00F45A1F">
              <w:rPr>
                <w:rFonts w:ascii="Arial" w:hAnsi="Arial" w:cs="Arial"/>
                <w:b/>
                <w:bCs/>
                <w:sz w:val="20"/>
                <w:szCs w:val="20"/>
              </w:rPr>
              <w:t>Objeto:</w:t>
            </w:r>
          </w:p>
        </w:tc>
        <w:tc>
          <w:tcPr>
            <w:tcW w:w="2986"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88DD2B8"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 xml:space="preserve">Mandado de segurança requerendo o cancelamento da Concorrência Internacional DAI.A/CI-004.18. Houve apresentação de defesa pela ELETROUCLEAR e decisão denegando a ordem. Há recurso de apelação da </w:t>
            </w:r>
            <w:proofErr w:type="spellStart"/>
            <w:r w:rsidRPr="00F45A1F">
              <w:rPr>
                <w:rFonts w:ascii="Arial" w:hAnsi="Arial" w:cs="Arial"/>
                <w:sz w:val="20"/>
                <w:szCs w:val="20"/>
              </w:rPr>
              <w:t>Tecnatom</w:t>
            </w:r>
            <w:proofErr w:type="spellEnd"/>
            <w:r w:rsidRPr="00F45A1F">
              <w:rPr>
                <w:rFonts w:ascii="Arial" w:hAnsi="Arial" w:cs="Arial"/>
                <w:sz w:val="20"/>
                <w:szCs w:val="20"/>
              </w:rPr>
              <w:t xml:space="preserve"> pendente de julgamento.</w:t>
            </w:r>
          </w:p>
          <w:p w14:paraId="23D9D482"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Exclusão da Eletrobras.</w:t>
            </w:r>
          </w:p>
        </w:tc>
        <w:tc>
          <w:tcPr>
            <w:tcW w:w="8" w:type="pct"/>
            <w:vAlign w:val="center"/>
            <w:hideMark/>
          </w:tcPr>
          <w:p w14:paraId="76BA35C5" w14:textId="77777777" w:rsidR="004C20FF" w:rsidRPr="00F45A1F" w:rsidRDefault="004C20FF" w:rsidP="000442A6">
            <w:pPr>
              <w:rPr>
                <w:rFonts w:ascii="Arial" w:hAnsi="Arial" w:cs="Arial"/>
                <w:sz w:val="20"/>
                <w:szCs w:val="20"/>
              </w:rPr>
            </w:pPr>
          </w:p>
        </w:tc>
        <w:tc>
          <w:tcPr>
            <w:tcW w:w="1040" w:type="pct"/>
            <w:vAlign w:val="center"/>
            <w:hideMark/>
          </w:tcPr>
          <w:p w14:paraId="60ADCFC2"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08C4D6EE" w14:textId="77777777" w:rsidTr="000442A6">
        <w:trPr>
          <w:trHeight w:val="230"/>
        </w:trPr>
        <w:tc>
          <w:tcPr>
            <w:tcW w:w="0" w:type="auto"/>
            <w:vMerge/>
            <w:tcBorders>
              <w:top w:val="nil"/>
              <w:left w:val="single" w:sz="8" w:space="0" w:color="auto"/>
              <w:bottom w:val="single" w:sz="8" w:space="0" w:color="000000"/>
              <w:right w:val="single" w:sz="8" w:space="0" w:color="auto"/>
            </w:tcBorders>
            <w:vAlign w:val="center"/>
            <w:hideMark/>
          </w:tcPr>
          <w:p w14:paraId="6104914C" w14:textId="77777777" w:rsidR="004C20FF" w:rsidRPr="00F45A1F" w:rsidRDefault="004C20FF" w:rsidP="000442A6">
            <w:pPr>
              <w:rPr>
                <w:rFonts w:ascii="Arial" w:eastAsiaTheme="minorHAnsi" w:hAnsi="Arial" w:cs="Arial"/>
                <w:b/>
                <w:bCs/>
                <w:sz w:val="20"/>
                <w:szCs w:val="20"/>
                <w:lang w:eastAsia="en-US"/>
              </w:rPr>
            </w:pPr>
          </w:p>
        </w:tc>
        <w:tc>
          <w:tcPr>
            <w:tcW w:w="2986" w:type="pct"/>
            <w:vMerge/>
            <w:tcBorders>
              <w:top w:val="nil"/>
              <w:left w:val="nil"/>
              <w:bottom w:val="single" w:sz="8" w:space="0" w:color="000000"/>
              <w:right w:val="single" w:sz="8" w:space="0" w:color="auto"/>
            </w:tcBorders>
            <w:vAlign w:val="center"/>
            <w:hideMark/>
          </w:tcPr>
          <w:p w14:paraId="074707AD" w14:textId="77777777" w:rsidR="004C20FF" w:rsidRPr="00F45A1F" w:rsidRDefault="004C20FF" w:rsidP="000442A6">
            <w:pPr>
              <w:rPr>
                <w:rFonts w:ascii="Arial" w:eastAsiaTheme="minorHAnsi" w:hAnsi="Arial" w:cs="Arial"/>
                <w:sz w:val="20"/>
                <w:szCs w:val="20"/>
                <w:lang w:eastAsia="en-US"/>
              </w:rPr>
            </w:pPr>
          </w:p>
        </w:tc>
        <w:tc>
          <w:tcPr>
            <w:tcW w:w="8" w:type="pct"/>
            <w:vAlign w:val="center"/>
            <w:hideMark/>
          </w:tcPr>
          <w:p w14:paraId="4AFE1D03" w14:textId="77777777" w:rsidR="004C20FF" w:rsidRPr="00F45A1F" w:rsidRDefault="004C20FF" w:rsidP="000442A6"/>
        </w:tc>
        <w:tc>
          <w:tcPr>
            <w:tcW w:w="1040" w:type="pct"/>
            <w:vAlign w:val="center"/>
            <w:hideMark/>
          </w:tcPr>
          <w:p w14:paraId="11ABD987"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67687042" w14:textId="77777777" w:rsidTr="000442A6">
        <w:trPr>
          <w:trHeight w:val="510"/>
        </w:trPr>
        <w:tc>
          <w:tcPr>
            <w:tcW w:w="9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76157F"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Expectativa de Perda</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2362FC"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Possível</w:t>
            </w:r>
          </w:p>
        </w:tc>
        <w:tc>
          <w:tcPr>
            <w:tcW w:w="8" w:type="pct"/>
            <w:vAlign w:val="center"/>
            <w:hideMark/>
          </w:tcPr>
          <w:p w14:paraId="739919B7" w14:textId="77777777" w:rsidR="004C20FF" w:rsidRPr="00F45A1F" w:rsidRDefault="004C20FF" w:rsidP="000442A6">
            <w:pPr>
              <w:rPr>
                <w:rFonts w:ascii="Arial" w:hAnsi="Arial" w:cs="Arial"/>
                <w:sz w:val="20"/>
                <w:szCs w:val="20"/>
              </w:rPr>
            </w:pPr>
          </w:p>
        </w:tc>
        <w:tc>
          <w:tcPr>
            <w:tcW w:w="1040" w:type="pct"/>
            <w:vAlign w:val="center"/>
            <w:hideMark/>
          </w:tcPr>
          <w:p w14:paraId="537C6CD8" w14:textId="77777777" w:rsidR="004C20FF" w:rsidRPr="00F45A1F" w:rsidRDefault="004C20FF" w:rsidP="000442A6">
            <w:pPr>
              <w:rPr>
                <w:rFonts w:ascii="Calibri" w:eastAsiaTheme="minorHAnsi" w:hAnsi="Calibri" w:cs="Calibri"/>
                <w:sz w:val="22"/>
                <w:szCs w:val="22"/>
                <w:lang w:eastAsia="en-US"/>
              </w:rPr>
            </w:pPr>
            <w:r w:rsidRPr="00F45A1F">
              <w:t> </w:t>
            </w:r>
          </w:p>
        </w:tc>
      </w:tr>
    </w:tbl>
    <w:p w14:paraId="2CA7935B" w14:textId="77777777" w:rsidR="004C20FF" w:rsidRPr="00F45A1F" w:rsidRDefault="004C20FF" w:rsidP="004C20FF">
      <w:pPr>
        <w:rPr>
          <w:rFonts w:ascii="Arial" w:eastAsiaTheme="minorHAnsi" w:hAnsi="Arial" w:cs="Arial"/>
          <w:sz w:val="22"/>
          <w:szCs w:val="22"/>
          <w:lang w:eastAsia="en-US"/>
        </w:rPr>
      </w:pPr>
    </w:p>
    <w:tbl>
      <w:tblPr>
        <w:tblW w:w="6313" w:type="pct"/>
        <w:tblInd w:w="20" w:type="dxa"/>
        <w:tblCellMar>
          <w:left w:w="0" w:type="dxa"/>
          <w:right w:w="0" w:type="dxa"/>
        </w:tblCellMar>
        <w:tblLook w:val="04A0" w:firstRow="1" w:lastRow="0" w:firstColumn="1" w:lastColumn="0" w:noHBand="0" w:noVBand="1"/>
      </w:tblPr>
      <w:tblGrid>
        <w:gridCol w:w="2348"/>
        <w:gridCol w:w="7267"/>
        <w:gridCol w:w="19"/>
        <w:gridCol w:w="2530"/>
      </w:tblGrid>
      <w:tr w:rsidR="004C20FF" w:rsidRPr="00F45A1F" w14:paraId="0E310BA0" w14:textId="77777777" w:rsidTr="000442A6">
        <w:trPr>
          <w:trHeight w:val="315"/>
        </w:trPr>
        <w:tc>
          <w:tcPr>
            <w:tcW w:w="965" w:type="pct"/>
            <w:noWrap/>
            <w:tcMar>
              <w:top w:w="0" w:type="dxa"/>
              <w:left w:w="70" w:type="dxa"/>
              <w:bottom w:w="0" w:type="dxa"/>
              <w:right w:w="70" w:type="dxa"/>
            </w:tcMar>
            <w:vAlign w:val="center"/>
            <w:hideMark/>
          </w:tcPr>
          <w:p w14:paraId="33CCDBCE" w14:textId="77777777" w:rsidR="004C20FF" w:rsidRPr="00F45A1F" w:rsidRDefault="004C20FF" w:rsidP="000442A6">
            <w:pPr>
              <w:rPr>
                <w:rFonts w:ascii="Arial" w:hAnsi="Arial" w:cs="Arial"/>
              </w:rPr>
            </w:pPr>
          </w:p>
        </w:tc>
        <w:tc>
          <w:tcPr>
            <w:tcW w:w="2986" w:type="pct"/>
            <w:noWrap/>
            <w:tcMar>
              <w:top w:w="0" w:type="dxa"/>
              <w:left w:w="70" w:type="dxa"/>
              <w:bottom w:w="0" w:type="dxa"/>
              <w:right w:w="70" w:type="dxa"/>
            </w:tcMar>
            <w:vAlign w:val="bottom"/>
            <w:hideMark/>
          </w:tcPr>
          <w:p w14:paraId="55194E31" w14:textId="77777777" w:rsidR="004C20FF" w:rsidRPr="00F45A1F" w:rsidRDefault="004C20FF" w:rsidP="000442A6">
            <w:pPr>
              <w:rPr>
                <w:sz w:val="20"/>
                <w:szCs w:val="20"/>
              </w:rPr>
            </w:pPr>
          </w:p>
        </w:tc>
        <w:tc>
          <w:tcPr>
            <w:tcW w:w="8" w:type="pct"/>
            <w:vAlign w:val="center"/>
            <w:hideMark/>
          </w:tcPr>
          <w:p w14:paraId="46D99E45" w14:textId="77777777" w:rsidR="004C20FF" w:rsidRPr="00F45A1F" w:rsidRDefault="004C20FF" w:rsidP="000442A6">
            <w:pPr>
              <w:rPr>
                <w:sz w:val="20"/>
                <w:szCs w:val="20"/>
              </w:rPr>
            </w:pPr>
          </w:p>
        </w:tc>
        <w:tc>
          <w:tcPr>
            <w:tcW w:w="1040" w:type="pct"/>
            <w:vAlign w:val="center"/>
            <w:hideMark/>
          </w:tcPr>
          <w:p w14:paraId="25998932"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7275E593" w14:textId="77777777" w:rsidTr="000442A6">
        <w:trPr>
          <w:gridAfter w:val="1"/>
          <w:wAfter w:w="1040" w:type="pct"/>
          <w:trHeight w:val="510"/>
        </w:trPr>
        <w:tc>
          <w:tcPr>
            <w:tcW w:w="3952"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A979F0B" w14:textId="77777777" w:rsidR="004C20FF" w:rsidRPr="00F45A1F" w:rsidRDefault="00F16680" w:rsidP="00F16680">
            <w:pPr>
              <w:ind w:firstLine="1205"/>
              <w:rPr>
                <w:rFonts w:ascii="Arial" w:hAnsi="Arial" w:cs="Arial"/>
                <w:b/>
                <w:bCs/>
              </w:rPr>
            </w:pPr>
            <w:r w:rsidRPr="00F45A1F">
              <w:rPr>
                <w:rFonts w:ascii="Arial" w:hAnsi="Arial" w:cs="Arial"/>
                <w:b/>
                <w:bCs/>
                <w:sz w:val="20"/>
                <w:szCs w:val="20"/>
              </w:rPr>
              <w:t>h</w:t>
            </w:r>
            <w:r w:rsidR="004C20FF" w:rsidRPr="00F45A1F">
              <w:rPr>
                <w:rFonts w:ascii="Arial" w:hAnsi="Arial" w:cs="Arial"/>
                <w:b/>
                <w:bCs/>
                <w:sz w:val="20"/>
                <w:szCs w:val="20"/>
              </w:rPr>
              <w:t>)</w:t>
            </w:r>
            <w:r w:rsidR="004C20FF" w:rsidRPr="00F45A1F">
              <w:rPr>
                <w:rFonts w:ascii="Arial" w:hAnsi="Arial" w:cs="Arial"/>
                <w:b/>
                <w:bCs/>
              </w:rPr>
              <w:t>   Ação Cível n. 0022780-32.2018.4.02.5101</w:t>
            </w:r>
          </w:p>
        </w:tc>
        <w:tc>
          <w:tcPr>
            <w:tcW w:w="8" w:type="pct"/>
            <w:vAlign w:val="center"/>
            <w:hideMark/>
          </w:tcPr>
          <w:p w14:paraId="75BD1906" w14:textId="77777777" w:rsidR="004C20FF" w:rsidRPr="00F45A1F" w:rsidRDefault="004C20FF" w:rsidP="000442A6">
            <w:pPr>
              <w:rPr>
                <w:rFonts w:ascii="Arial" w:hAnsi="Arial" w:cs="Arial"/>
                <w:b/>
                <w:bCs/>
              </w:rPr>
            </w:pPr>
          </w:p>
        </w:tc>
      </w:tr>
      <w:tr w:rsidR="004C20FF" w:rsidRPr="00F45A1F" w14:paraId="6EE1A8E6" w14:textId="77777777" w:rsidTr="000442A6">
        <w:trPr>
          <w:trHeight w:val="315"/>
        </w:trPr>
        <w:tc>
          <w:tcPr>
            <w:tcW w:w="9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F535E9" w14:textId="77777777" w:rsidR="004C20FF" w:rsidRPr="00F45A1F" w:rsidRDefault="004C20FF" w:rsidP="000442A6">
            <w:pPr>
              <w:rPr>
                <w:rFonts w:ascii="Arial" w:eastAsiaTheme="minorHAnsi" w:hAnsi="Arial" w:cs="Arial"/>
                <w:b/>
                <w:bCs/>
                <w:sz w:val="20"/>
                <w:szCs w:val="20"/>
                <w:lang w:eastAsia="en-US"/>
              </w:rPr>
            </w:pPr>
            <w:r w:rsidRPr="00F45A1F">
              <w:rPr>
                <w:rFonts w:ascii="Arial" w:hAnsi="Arial" w:cs="Arial"/>
                <w:b/>
                <w:bCs/>
                <w:sz w:val="20"/>
                <w:szCs w:val="20"/>
              </w:rPr>
              <w:t>Instância /Juízo</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21E8B5"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[1ª] Instância – [10ª] Vara Federal - RJ</w:t>
            </w:r>
          </w:p>
        </w:tc>
        <w:tc>
          <w:tcPr>
            <w:tcW w:w="8" w:type="pct"/>
            <w:vAlign w:val="center"/>
            <w:hideMark/>
          </w:tcPr>
          <w:p w14:paraId="48E96961" w14:textId="77777777" w:rsidR="004C20FF" w:rsidRPr="00F45A1F" w:rsidRDefault="004C20FF" w:rsidP="000442A6">
            <w:pPr>
              <w:rPr>
                <w:rFonts w:ascii="Arial" w:hAnsi="Arial" w:cs="Arial"/>
                <w:sz w:val="20"/>
                <w:szCs w:val="20"/>
              </w:rPr>
            </w:pPr>
          </w:p>
        </w:tc>
        <w:tc>
          <w:tcPr>
            <w:tcW w:w="1040" w:type="pct"/>
            <w:vAlign w:val="center"/>
            <w:hideMark/>
          </w:tcPr>
          <w:p w14:paraId="3D7C915E"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1F49F58E" w14:textId="77777777" w:rsidTr="000442A6">
        <w:trPr>
          <w:trHeight w:val="315"/>
        </w:trPr>
        <w:tc>
          <w:tcPr>
            <w:tcW w:w="9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197304"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Partes</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5E5D36"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Andrade Gutierrez S.A.</w:t>
            </w:r>
          </w:p>
        </w:tc>
        <w:tc>
          <w:tcPr>
            <w:tcW w:w="8" w:type="pct"/>
            <w:vAlign w:val="center"/>
            <w:hideMark/>
          </w:tcPr>
          <w:p w14:paraId="102AA4A8" w14:textId="77777777" w:rsidR="004C20FF" w:rsidRPr="00F45A1F" w:rsidRDefault="004C20FF" w:rsidP="000442A6">
            <w:pPr>
              <w:rPr>
                <w:rFonts w:ascii="Arial" w:hAnsi="Arial" w:cs="Arial"/>
                <w:sz w:val="20"/>
                <w:szCs w:val="20"/>
              </w:rPr>
            </w:pPr>
          </w:p>
        </w:tc>
        <w:tc>
          <w:tcPr>
            <w:tcW w:w="1040" w:type="pct"/>
            <w:vAlign w:val="center"/>
            <w:hideMark/>
          </w:tcPr>
          <w:p w14:paraId="4EFB71CF"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01ACE341" w14:textId="77777777" w:rsidTr="000442A6">
        <w:trPr>
          <w:trHeight w:val="525"/>
        </w:trPr>
        <w:tc>
          <w:tcPr>
            <w:tcW w:w="9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5E1CE1"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Valores, bens ou direitos envolvidos</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86CAD6" w14:textId="79C9BBD5" w:rsidR="004C20FF" w:rsidRPr="00F45A1F" w:rsidRDefault="004C20FF" w:rsidP="00577F51">
            <w:pPr>
              <w:jc w:val="both"/>
              <w:rPr>
                <w:rFonts w:ascii="Arial" w:hAnsi="Arial" w:cs="Arial"/>
                <w:sz w:val="20"/>
                <w:szCs w:val="20"/>
              </w:rPr>
            </w:pPr>
            <w:r w:rsidRPr="00F45A1F">
              <w:rPr>
                <w:rFonts w:ascii="Arial" w:hAnsi="Arial" w:cs="Arial"/>
                <w:sz w:val="20"/>
                <w:szCs w:val="20"/>
              </w:rPr>
              <w:t>Valor atualizado: R$ 162.561</w:t>
            </w:r>
          </w:p>
        </w:tc>
        <w:tc>
          <w:tcPr>
            <w:tcW w:w="8" w:type="pct"/>
            <w:vAlign w:val="center"/>
            <w:hideMark/>
          </w:tcPr>
          <w:p w14:paraId="5A20718C" w14:textId="77777777" w:rsidR="004C20FF" w:rsidRPr="00F45A1F" w:rsidRDefault="004C20FF" w:rsidP="000442A6">
            <w:pPr>
              <w:rPr>
                <w:rFonts w:ascii="Arial" w:hAnsi="Arial" w:cs="Arial"/>
                <w:sz w:val="20"/>
                <w:szCs w:val="20"/>
              </w:rPr>
            </w:pPr>
          </w:p>
        </w:tc>
        <w:tc>
          <w:tcPr>
            <w:tcW w:w="1040" w:type="pct"/>
            <w:vAlign w:val="center"/>
            <w:hideMark/>
          </w:tcPr>
          <w:p w14:paraId="29B0E0CD"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577A3EB5" w14:textId="77777777" w:rsidTr="000442A6">
        <w:trPr>
          <w:trHeight w:val="1140"/>
        </w:trPr>
        <w:tc>
          <w:tcPr>
            <w:tcW w:w="965"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6096F2BA" w14:textId="77777777" w:rsidR="004C20FF" w:rsidRPr="00F45A1F" w:rsidRDefault="004C20FF" w:rsidP="000442A6">
            <w:pPr>
              <w:ind w:firstLine="1004"/>
              <w:rPr>
                <w:rFonts w:ascii="Arial" w:hAnsi="Arial" w:cs="Arial"/>
                <w:b/>
                <w:bCs/>
                <w:sz w:val="20"/>
                <w:szCs w:val="20"/>
              </w:rPr>
            </w:pPr>
            <w:r w:rsidRPr="00F45A1F">
              <w:rPr>
                <w:rFonts w:ascii="Arial" w:hAnsi="Arial" w:cs="Arial"/>
                <w:b/>
                <w:bCs/>
                <w:sz w:val="20"/>
                <w:szCs w:val="20"/>
              </w:rPr>
              <w:t>Objeto:</w:t>
            </w:r>
          </w:p>
        </w:tc>
        <w:tc>
          <w:tcPr>
            <w:tcW w:w="2986"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9EAB9AB"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Trata-se de ação declaratória e condenatória, para (i) reestabelecimento do equilíbrio econômico-financeiro e recomposição de prejuízos, impedindo-se o enriquecimento ilícito da ETN; (</w:t>
            </w:r>
            <w:proofErr w:type="spellStart"/>
            <w:r w:rsidRPr="00F45A1F">
              <w:rPr>
                <w:rFonts w:ascii="Arial" w:hAnsi="Arial" w:cs="Arial"/>
                <w:sz w:val="20"/>
                <w:szCs w:val="20"/>
              </w:rPr>
              <w:t>ii</w:t>
            </w:r>
            <w:proofErr w:type="spellEnd"/>
            <w:r w:rsidRPr="00F45A1F">
              <w:rPr>
                <w:rFonts w:ascii="Arial" w:hAnsi="Arial" w:cs="Arial"/>
                <w:sz w:val="20"/>
                <w:szCs w:val="20"/>
              </w:rPr>
              <w:t>) revogação da decisão que declarou a nulidade do Contrato e seus aditamentos; (</w:t>
            </w:r>
            <w:proofErr w:type="spellStart"/>
            <w:r w:rsidRPr="00F45A1F">
              <w:rPr>
                <w:rFonts w:ascii="Arial" w:hAnsi="Arial" w:cs="Arial"/>
                <w:sz w:val="20"/>
                <w:szCs w:val="20"/>
              </w:rPr>
              <w:t>iii</w:t>
            </w:r>
            <w:proofErr w:type="spellEnd"/>
            <w:r w:rsidRPr="00F45A1F">
              <w:rPr>
                <w:rFonts w:ascii="Arial" w:hAnsi="Arial" w:cs="Arial"/>
                <w:sz w:val="20"/>
                <w:szCs w:val="20"/>
              </w:rPr>
              <w:t>) reconhecimento de rescisão contratual por inadimplemento da ETN; (</w:t>
            </w:r>
            <w:proofErr w:type="spellStart"/>
            <w:r w:rsidRPr="00F45A1F">
              <w:rPr>
                <w:rFonts w:ascii="Arial" w:hAnsi="Arial" w:cs="Arial"/>
                <w:sz w:val="20"/>
                <w:szCs w:val="20"/>
              </w:rPr>
              <w:t>iv</w:t>
            </w:r>
            <w:proofErr w:type="spellEnd"/>
            <w:r w:rsidRPr="00F45A1F">
              <w:rPr>
                <w:rFonts w:ascii="Arial" w:hAnsi="Arial" w:cs="Arial"/>
                <w:sz w:val="20"/>
                <w:szCs w:val="20"/>
              </w:rPr>
              <w:t>) cobrança dos serviços prestados pela AG e não pagos pela ETN.</w:t>
            </w:r>
          </w:p>
          <w:p w14:paraId="5CE19568"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Contestação apresentada pela ETN em 16.05.18. Réplica pela AG em 10.08.18.</w:t>
            </w:r>
          </w:p>
          <w:p w14:paraId="552DB123"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Despacho do juiz determinando às partes que especifiquem as provas a serem produzidas. Em 07.01.2020, o juiz proferiu despacho determinando a suspensão do processo até a decisão final da ação de ressarcimento proposta pela ETN em face da Andrade Gutierrez. Em 27.01.2020, a Andrade ofereceu embargos de declaração requerendo o acolhimento do seu recurso para que a ação movida pela ETN em face da AG seja suspensa alegando que a ação que move contra a ETN é prejudicial àquela.</w:t>
            </w:r>
          </w:p>
        </w:tc>
        <w:tc>
          <w:tcPr>
            <w:tcW w:w="8" w:type="pct"/>
            <w:vAlign w:val="center"/>
            <w:hideMark/>
          </w:tcPr>
          <w:p w14:paraId="54F17D4E" w14:textId="77777777" w:rsidR="004C20FF" w:rsidRPr="00F45A1F" w:rsidRDefault="004C20FF" w:rsidP="000442A6">
            <w:pPr>
              <w:rPr>
                <w:rFonts w:ascii="Arial" w:hAnsi="Arial" w:cs="Arial"/>
                <w:sz w:val="20"/>
                <w:szCs w:val="20"/>
              </w:rPr>
            </w:pPr>
          </w:p>
        </w:tc>
        <w:tc>
          <w:tcPr>
            <w:tcW w:w="1040" w:type="pct"/>
            <w:vAlign w:val="center"/>
            <w:hideMark/>
          </w:tcPr>
          <w:p w14:paraId="4F610143"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477D74AE" w14:textId="77777777" w:rsidTr="000442A6">
        <w:trPr>
          <w:trHeight w:val="230"/>
        </w:trPr>
        <w:tc>
          <w:tcPr>
            <w:tcW w:w="0" w:type="auto"/>
            <w:vMerge/>
            <w:tcBorders>
              <w:top w:val="nil"/>
              <w:left w:val="single" w:sz="8" w:space="0" w:color="auto"/>
              <w:bottom w:val="single" w:sz="8" w:space="0" w:color="000000"/>
              <w:right w:val="single" w:sz="8" w:space="0" w:color="auto"/>
            </w:tcBorders>
            <w:vAlign w:val="center"/>
            <w:hideMark/>
          </w:tcPr>
          <w:p w14:paraId="07C477A7" w14:textId="77777777" w:rsidR="004C20FF" w:rsidRPr="00F45A1F" w:rsidRDefault="004C20FF" w:rsidP="000442A6">
            <w:pPr>
              <w:rPr>
                <w:rFonts w:ascii="Arial" w:eastAsiaTheme="minorHAnsi" w:hAnsi="Arial" w:cs="Arial"/>
                <w:b/>
                <w:bCs/>
                <w:sz w:val="20"/>
                <w:szCs w:val="20"/>
                <w:lang w:eastAsia="en-US"/>
              </w:rPr>
            </w:pPr>
          </w:p>
        </w:tc>
        <w:tc>
          <w:tcPr>
            <w:tcW w:w="2986" w:type="pct"/>
            <w:vMerge/>
            <w:tcBorders>
              <w:top w:val="nil"/>
              <w:left w:val="nil"/>
              <w:bottom w:val="single" w:sz="8" w:space="0" w:color="000000"/>
              <w:right w:val="single" w:sz="8" w:space="0" w:color="auto"/>
            </w:tcBorders>
            <w:vAlign w:val="center"/>
            <w:hideMark/>
          </w:tcPr>
          <w:p w14:paraId="172F099A" w14:textId="77777777" w:rsidR="004C20FF" w:rsidRPr="00F45A1F" w:rsidRDefault="004C20FF" w:rsidP="000442A6">
            <w:pPr>
              <w:rPr>
                <w:rFonts w:ascii="Arial" w:eastAsiaTheme="minorHAnsi" w:hAnsi="Arial" w:cs="Arial"/>
                <w:sz w:val="20"/>
                <w:szCs w:val="20"/>
                <w:lang w:eastAsia="en-US"/>
              </w:rPr>
            </w:pPr>
          </w:p>
        </w:tc>
        <w:tc>
          <w:tcPr>
            <w:tcW w:w="8" w:type="pct"/>
            <w:vAlign w:val="center"/>
            <w:hideMark/>
          </w:tcPr>
          <w:p w14:paraId="02901AD0" w14:textId="77777777" w:rsidR="004C20FF" w:rsidRPr="00F45A1F" w:rsidRDefault="004C20FF" w:rsidP="000442A6"/>
        </w:tc>
        <w:tc>
          <w:tcPr>
            <w:tcW w:w="1040" w:type="pct"/>
            <w:vAlign w:val="center"/>
            <w:hideMark/>
          </w:tcPr>
          <w:p w14:paraId="6D614413" w14:textId="77777777" w:rsidR="004C20FF" w:rsidRPr="00F45A1F" w:rsidRDefault="004C20FF" w:rsidP="000442A6">
            <w:pPr>
              <w:rPr>
                <w:rFonts w:ascii="Calibri" w:eastAsiaTheme="minorHAnsi" w:hAnsi="Calibri" w:cs="Calibri"/>
                <w:sz w:val="22"/>
                <w:szCs w:val="22"/>
                <w:lang w:eastAsia="en-US"/>
              </w:rPr>
            </w:pPr>
            <w:r w:rsidRPr="00F45A1F">
              <w:t> </w:t>
            </w:r>
          </w:p>
        </w:tc>
      </w:tr>
      <w:tr w:rsidR="004C20FF" w:rsidRPr="00F45A1F" w14:paraId="443A7DC8" w14:textId="77777777" w:rsidTr="000442A6">
        <w:trPr>
          <w:trHeight w:val="510"/>
        </w:trPr>
        <w:tc>
          <w:tcPr>
            <w:tcW w:w="9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F217A5" w14:textId="77777777" w:rsidR="004C20FF" w:rsidRPr="00F45A1F" w:rsidRDefault="004C20FF" w:rsidP="000442A6">
            <w:pPr>
              <w:rPr>
                <w:rFonts w:ascii="Arial" w:hAnsi="Arial" w:cs="Arial"/>
                <w:b/>
                <w:bCs/>
                <w:sz w:val="20"/>
                <w:szCs w:val="20"/>
              </w:rPr>
            </w:pPr>
            <w:r w:rsidRPr="00F45A1F">
              <w:rPr>
                <w:rFonts w:ascii="Arial" w:hAnsi="Arial" w:cs="Arial"/>
                <w:b/>
                <w:bCs/>
                <w:sz w:val="20"/>
                <w:szCs w:val="20"/>
              </w:rPr>
              <w:t>Expectativa de Perda</w:t>
            </w:r>
          </w:p>
        </w:tc>
        <w:tc>
          <w:tcPr>
            <w:tcW w:w="298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81E604" w14:textId="77777777" w:rsidR="004C20FF" w:rsidRPr="00F45A1F" w:rsidRDefault="004C20FF" w:rsidP="000442A6">
            <w:pPr>
              <w:jc w:val="both"/>
              <w:rPr>
                <w:rFonts w:ascii="Arial" w:hAnsi="Arial" w:cs="Arial"/>
                <w:sz w:val="20"/>
                <w:szCs w:val="20"/>
              </w:rPr>
            </w:pPr>
            <w:r w:rsidRPr="00F45A1F">
              <w:rPr>
                <w:rFonts w:ascii="Arial" w:hAnsi="Arial" w:cs="Arial"/>
                <w:sz w:val="20"/>
                <w:szCs w:val="20"/>
              </w:rPr>
              <w:t>Possível</w:t>
            </w:r>
          </w:p>
        </w:tc>
        <w:tc>
          <w:tcPr>
            <w:tcW w:w="8" w:type="pct"/>
            <w:vAlign w:val="center"/>
            <w:hideMark/>
          </w:tcPr>
          <w:p w14:paraId="6E61EF75" w14:textId="77777777" w:rsidR="004C20FF" w:rsidRPr="00F45A1F" w:rsidRDefault="004C20FF" w:rsidP="000442A6">
            <w:pPr>
              <w:rPr>
                <w:rFonts w:ascii="Arial" w:hAnsi="Arial" w:cs="Arial"/>
                <w:sz w:val="20"/>
                <w:szCs w:val="20"/>
              </w:rPr>
            </w:pPr>
          </w:p>
        </w:tc>
        <w:tc>
          <w:tcPr>
            <w:tcW w:w="1040" w:type="pct"/>
            <w:vAlign w:val="center"/>
            <w:hideMark/>
          </w:tcPr>
          <w:p w14:paraId="3E2C4AB3" w14:textId="77777777" w:rsidR="004C20FF" w:rsidRPr="00F45A1F" w:rsidRDefault="004C20FF" w:rsidP="000442A6">
            <w:pPr>
              <w:rPr>
                <w:rFonts w:ascii="Calibri" w:eastAsiaTheme="minorHAnsi" w:hAnsi="Calibri" w:cs="Calibri"/>
                <w:sz w:val="22"/>
                <w:szCs w:val="22"/>
                <w:lang w:eastAsia="en-US"/>
              </w:rPr>
            </w:pPr>
            <w:r w:rsidRPr="00F45A1F">
              <w:t> </w:t>
            </w:r>
          </w:p>
        </w:tc>
      </w:tr>
    </w:tbl>
    <w:p w14:paraId="12F849CF" w14:textId="77777777" w:rsidR="004C20FF" w:rsidRPr="00F45A1F" w:rsidRDefault="004C20FF" w:rsidP="004C20FF">
      <w:pPr>
        <w:widowControl/>
        <w:spacing w:line="240" w:lineRule="auto"/>
        <w:jc w:val="both"/>
        <w:rPr>
          <w:rFonts w:ascii="Arial" w:hAnsi="Arial"/>
        </w:rPr>
      </w:pPr>
    </w:p>
    <w:p w14:paraId="5A34501B" w14:textId="294A12F9" w:rsidR="004C20FF" w:rsidRPr="00F45A1F" w:rsidRDefault="004C20FF" w:rsidP="004C20FF">
      <w:pPr>
        <w:widowControl/>
        <w:spacing w:line="240" w:lineRule="auto"/>
        <w:jc w:val="both"/>
        <w:rPr>
          <w:rFonts w:ascii="Arial" w:hAnsi="Arial"/>
        </w:rPr>
      </w:pPr>
      <w:r w:rsidRPr="00F45A1F">
        <w:rPr>
          <w:rFonts w:ascii="Arial" w:hAnsi="Arial"/>
        </w:rPr>
        <w:t xml:space="preserve">Os processos de contingência ativa com expectativa de ganho provável para retorno de caixa à ELETRONUCLEAR referentes a processos tributários federais e outros de natureza cível, e não reconhecidos nas demonstrações </w:t>
      </w:r>
      <w:r w:rsidRPr="00F45A1F">
        <w:rPr>
          <w:rFonts w:ascii="Arial" w:hAnsi="Arial" w:cs="Arial"/>
        </w:rPr>
        <w:t>financeiras</w:t>
      </w:r>
      <w:r w:rsidR="008B276D">
        <w:rPr>
          <w:rFonts w:ascii="Arial" w:hAnsi="Arial" w:cs="Arial"/>
        </w:rPr>
        <w:t xml:space="preserve"> intermediárias</w:t>
      </w:r>
      <w:r w:rsidRPr="00F45A1F">
        <w:rPr>
          <w:rFonts w:ascii="Arial" w:hAnsi="Arial"/>
        </w:rPr>
        <w:t xml:space="preserve">, apresentam o montante de R$ 1.156. </w:t>
      </w:r>
    </w:p>
    <w:p w14:paraId="23F207B5" w14:textId="77777777" w:rsidR="00A16C43" w:rsidRPr="00F45A1F" w:rsidRDefault="00A16C43" w:rsidP="005144E2">
      <w:pPr>
        <w:widowControl/>
        <w:jc w:val="both"/>
        <w:rPr>
          <w:rFonts w:ascii="Arial" w:hAnsi="Arial" w:cs="Arial"/>
        </w:rPr>
      </w:pPr>
    </w:p>
    <w:p w14:paraId="171E73D0" w14:textId="77777777" w:rsidR="00A16C43" w:rsidRPr="00F45A1F" w:rsidRDefault="00A16C43" w:rsidP="005144E2">
      <w:pPr>
        <w:widowControl/>
        <w:tabs>
          <w:tab w:val="center" w:pos="4419"/>
          <w:tab w:val="right" w:pos="8838"/>
        </w:tabs>
        <w:rPr>
          <w:rFonts w:ascii="Arial" w:hAnsi="Arial" w:cs="Arial"/>
          <w:b/>
        </w:rPr>
      </w:pPr>
      <w:r w:rsidRPr="00F45A1F">
        <w:rPr>
          <w:rFonts w:ascii="Arial" w:hAnsi="Arial" w:cs="Arial"/>
          <w:b/>
        </w:rPr>
        <w:t>b) Movimentação</w:t>
      </w:r>
    </w:p>
    <w:p w14:paraId="064DA9DD" w14:textId="77777777" w:rsidR="00A16C43" w:rsidRPr="00F45A1F" w:rsidRDefault="00A16C43" w:rsidP="005144E2">
      <w:pPr>
        <w:widowControl/>
        <w:tabs>
          <w:tab w:val="center" w:pos="4419"/>
          <w:tab w:val="right" w:pos="8838"/>
        </w:tabs>
        <w:rPr>
          <w:rFonts w:ascii="Arial" w:hAnsi="Arial" w:cs="Arial"/>
          <w:b/>
          <w:sz w:val="16"/>
          <w:szCs w:val="16"/>
        </w:rPr>
      </w:pPr>
    </w:p>
    <w:p w14:paraId="6C7A38B5" w14:textId="77777777" w:rsidR="00BA75A7" w:rsidRPr="00F45A1F" w:rsidRDefault="008241E0" w:rsidP="005144E2">
      <w:pPr>
        <w:widowControl/>
        <w:tabs>
          <w:tab w:val="center" w:pos="4419"/>
          <w:tab w:val="right" w:pos="8838"/>
        </w:tabs>
        <w:rPr>
          <w:rFonts w:ascii="Arial" w:hAnsi="Arial" w:cs="Arial"/>
          <w:b/>
        </w:rPr>
      </w:pPr>
      <w:r w:rsidRPr="00F45A1F">
        <w:rPr>
          <w:noProof/>
        </w:rPr>
        <w:drawing>
          <wp:inline distT="0" distB="0" distL="0" distR="0" wp14:anchorId="1B6B42AC" wp14:editId="7CE98D6F">
            <wp:extent cx="6073140" cy="1522109"/>
            <wp:effectExtent l="0" t="0" r="3810" b="190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73140" cy="1522109"/>
                    </a:xfrm>
                    <a:prstGeom prst="rect">
                      <a:avLst/>
                    </a:prstGeom>
                    <a:noFill/>
                    <a:ln>
                      <a:noFill/>
                    </a:ln>
                  </pic:spPr>
                </pic:pic>
              </a:graphicData>
            </a:graphic>
          </wp:inline>
        </w:drawing>
      </w:r>
    </w:p>
    <w:p w14:paraId="27DE6527" w14:textId="77777777" w:rsidR="001B6E08" w:rsidRPr="00F45A1F" w:rsidRDefault="001B6E08" w:rsidP="005144E2">
      <w:pPr>
        <w:widowControl/>
        <w:tabs>
          <w:tab w:val="center" w:pos="4419"/>
          <w:tab w:val="right" w:pos="8838"/>
        </w:tabs>
        <w:rPr>
          <w:rFonts w:ascii="Arial" w:hAnsi="Arial" w:cs="Arial"/>
          <w:b/>
        </w:rPr>
      </w:pPr>
    </w:p>
    <w:p w14:paraId="19DB4424" w14:textId="77777777" w:rsidR="001933B3" w:rsidRPr="00F45A1F" w:rsidRDefault="001933B3" w:rsidP="005144E2">
      <w:pPr>
        <w:widowControl/>
        <w:tabs>
          <w:tab w:val="center" w:pos="4419"/>
          <w:tab w:val="right" w:pos="8838"/>
        </w:tabs>
        <w:rPr>
          <w:rFonts w:ascii="Arial" w:hAnsi="Arial" w:cs="Arial"/>
        </w:rPr>
      </w:pPr>
    </w:p>
    <w:p w14:paraId="0BD1CAAF" w14:textId="77777777" w:rsidR="001933B3" w:rsidRPr="00F45A1F" w:rsidRDefault="001933B3" w:rsidP="005144E2">
      <w:pPr>
        <w:widowControl/>
        <w:tabs>
          <w:tab w:val="center" w:pos="4419"/>
          <w:tab w:val="right" w:pos="8838"/>
        </w:tabs>
        <w:rPr>
          <w:rFonts w:ascii="Arial" w:hAnsi="Arial" w:cs="Arial"/>
        </w:rPr>
      </w:pPr>
    </w:p>
    <w:p w14:paraId="0A59587F" w14:textId="77777777" w:rsidR="004A379C" w:rsidRPr="00F45A1F" w:rsidRDefault="004A379C" w:rsidP="005144E2">
      <w:pPr>
        <w:widowControl/>
        <w:tabs>
          <w:tab w:val="center" w:pos="4419"/>
          <w:tab w:val="right" w:pos="8838"/>
        </w:tabs>
        <w:rPr>
          <w:rFonts w:ascii="Arial" w:hAnsi="Arial" w:cs="Arial"/>
        </w:rPr>
      </w:pPr>
    </w:p>
    <w:p w14:paraId="20A4A71A" w14:textId="77777777" w:rsidR="004A379C" w:rsidRPr="00F45A1F" w:rsidRDefault="004A379C" w:rsidP="005144E2">
      <w:pPr>
        <w:widowControl/>
        <w:tabs>
          <w:tab w:val="center" w:pos="4419"/>
          <w:tab w:val="right" w:pos="8838"/>
        </w:tabs>
        <w:rPr>
          <w:rFonts w:ascii="Arial" w:hAnsi="Arial" w:cs="Arial"/>
        </w:rPr>
      </w:pPr>
    </w:p>
    <w:p w14:paraId="67AB554D" w14:textId="77777777" w:rsidR="008241E0" w:rsidRPr="00F45A1F" w:rsidRDefault="008241E0" w:rsidP="005144E2">
      <w:pPr>
        <w:widowControl/>
        <w:tabs>
          <w:tab w:val="center" w:pos="4419"/>
          <w:tab w:val="right" w:pos="8838"/>
        </w:tabs>
        <w:rPr>
          <w:rFonts w:ascii="Arial" w:hAnsi="Arial" w:cs="Arial"/>
        </w:rPr>
      </w:pPr>
    </w:p>
    <w:p w14:paraId="32F46867" w14:textId="77777777" w:rsidR="008241E0" w:rsidRPr="00F45A1F" w:rsidRDefault="008241E0" w:rsidP="005144E2">
      <w:pPr>
        <w:widowControl/>
        <w:tabs>
          <w:tab w:val="center" w:pos="4419"/>
          <w:tab w:val="right" w:pos="8838"/>
        </w:tabs>
        <w:rPr>
          <w:rFonts w:ascii="Arial" w:hAnsi="Arial" w:cs="Arial"/>
        </w:rPr>
      </w:pPr>
    </w:p>
    <w:p w14:paraId="655613CD" w14:textId="77777777" w:rsidR="003F4719" w:rsidRPr="00F45A1F" w:rsidRDefault="003F4719" w:rsidP="005144E2">
      <w:pPr>
        <w:widowControl/>
        <w:tabs>
          <w:tab w:val="center" w:pos="4419"/>
          <w:tab w:val="right" w:pos="8838"/>
        </w:tabs>
        <w:rPr>
          <w:rFonts w:ascii="Arial" w:hAnsi="Arial" w:cs="Arial"/>
          <w:b/>
          <w:sz w:val="26"/>
          <w:szCs w:val="26"/>
        </w:rPr>
      </w:pPr>
      <w:r w:rsidRPr="00F45A1F">
        <w:rPr>
          <w:rFonts w:ascii="Arial" w:hAnsi="Arial" w:cs="Arial"/>
          <w:b/>
          <w:sz w:val="26"/>
          <w:szCs w:val="26"/>
        </w:rPr>
        <w:t>NOTA 2</w:t>
      </w:r>
      <w:r w:rsidR="0002361E" w:rsidRPr="00F45A1F">
        <w:rPr>
          <w:rFonts w:ascii="Arial" w:hAnsi="Arial" w:cs="Arial"/>
          <w:b/>
          <w:sz w:val="26"/>
          <w:szCs w:val="26"/>
        </w:rPr>
        <w:t>4</w:t>
      </w:r>
      <w:r w:rsidRPr="00F45A1F">
        <w:rPr>
          <w:rFonts w:ascii="Arial" w:hAnsi="Arial" w:cs="Arial"/>
          <w:b/>
          <w:sz w:val="26"/>
          <w:szCs w:val="26"/>
        </w:rPr>
        <w:t xml:space="preserve"> – OBRIGAÇÃO PARA DESMOBILIZAÇÃO DE ATIVOS</w:t>
      </w:r>
    </w:p>
    <w:p w14:paraId="32429E41" w14:textId="77777777" w:rsidR="001B6E08" w:rsidRPr="00F45A1F" w:rsidRDefault="001B6E08" w:rsidP="005144E2">
      <w:pPr>
        <w:widowControl/>
        <w:tabs>
          <w:tab w:val="center" w:pos="4419"/>
          <w:tab w:val="right" w:pos="8838"/>
        </w:tabs>
        <w:rPr>
          <w:rFonts w:ascii="Arial" w:hAnsi="Arial" w:cs="Arial"/>
          <w:b/>
        </w:rPr>
      </w:pPr>
    </w:p>
    <w:p w14:paraId="40BDE3FA" w14:textId="77777777" w:rsidR="003E40A9" w:rsidRPr="00F45A1F" w:rsidRDefault="003E40A9" w:rsidP="005144E2">
      <w:pPr>
        <w:widowControl/>
        <w:tabs>
          <w:tab w:val="center" w:pos="4419"/>
          <w:tab w:val="right" w:pos="8838"/>
        </w:tabs>
        <w:rPr>
          <w:rFonts w:ascii="Arial" w:hAnsi="Arial" w:cs="Arial"/>
          <w:b/>
        </w:rPr>
      </w:pPr>
    </w:p>
    <w:p w14:paraId="4FDFC8C8" w14:textId="77777777" w:rsidR="003F4719" w:rsidRPr="00F45A1F" w:rsidRDefault="003F4719" w:rsidP="005144E2">
      <w:pPr>
        <w:widowControl/>
        <w:tabs>
          <w:tab w:val="center" w:pos="4419"/>
          <w:tab w:val="right" w:pos="8838"/>
        </w:tabs>
        <w:rPr>
          <w:rFonts w:ascii="Arial" w:hAnsi="Arial" w:cs="Arial"/>
          <w:b/>
        </w:rPr>
      </w:pPr>
      <w:r w:rsidRPr="00F45A1F">
        <w:rPr>
          <w:rFonts w:ascii="Arial" w:hAnsi="Arial" w:cs="Arial"/>
          <w:b/>
        </w:rPr>
        <w:t xml:space="preserve">a) </w:t>
      </w:r>
      <w:proofErr w:type="spellStart"/>
      <w:r w:rsidRPr="00F45A1F">
        <w:rPr>
          <w:rFonts w:ascii="Arial" w:hAnsi="Arial" w:cs="Arial"/>
          <w:b/>
        </w:rPr>
        <w:t>Descomissionamento</w:t>
      </w:r>
      <w:proofErr w:type="spellEnd"/>
    </w:p>
    <w:p w14:paraId="57268E20" w14:textId="77777777" w:rsidR="003F4719" w:rsidRPr="00F45A1F" w:rsidRDefault="003F4719" w:rsidP="005144E2">
      <w:pPr>
        <w:widowControl/>
        <w:tabs>
          <w:tab w:val="center" w:pos="4419"/>
          <w:tab w:val="right" w:pos="8838"/>
        </w:tabs>
        <w:jc w:val="both"/>
        <w:rPr>
          <w:rFonts w:ascii="Arial" w:hAnsi="Arial" w:cs="Arial"/>
          <w:b/>
        </w:rPr>
      </w:pPr>
    </w:p>
    <w:p w14:paraId="7D2749EC" w14:textId="77777777" w:rsidR="003F4719" w:rsidRPr="00F45A1F" w:rsidRDefault="003F4719" w:rsidP="005144E2">
      <w:pPr>
        <w:widowControl/>
        <w:tabs>
          <w:tab w:val="center" w:pos="4419"/>
          <w:tab w:val="right" w:pos="8838"/>
        </w:tabs>
        <w:jc w:val="both"/>
        <w:rPr>
          <w:rFonts w:ascii="Arial" w:hAnsi="Arial" w:cs="Arial"/>
        </w:rPr>
      </w:pPr>
      <w:r w:rsidRPr="00F45A1F">
        <w:rPr>
          <w:rFonts w:ascii="Arial" w:hAnsi="Arial" w:cs="Arial"/>
        </w:rPr>
        <w:t xml:space="preserve">O </w:t>
      </w:r>
      <w:proofErr w:type="spellStart"/>
      <w:r w:rsidRPr="00F45A1F">
        <w:rPr>
          <w:rFonts w:ascii="Arial" w:hAnsi="Arial" w:cs="Arial"/>
        </w:rPr>
        <w:t>descomissionamento</w:t>
      </w:r>
      <w:proofErr w:type="spellEnd"/>
      <w:r w:rsidRPr="00F45A1F">
        <w:rPr>
          <w:rFonts w:ascii="Arial" w:hAnsi="Arial" w:cs="Arial"/>
        </w:rPr>
        <w:t xml:space="preserve"> pode ser entendido como um conjunto de medidas tomadas para retirar de serviço, com segurança, uma instalação nuclear, reduzindo a radioatividade residual a níveis que permitam liberar o local para uso restrito ou irrestrito.</w:t>
      </w:r>
    </w:p>
    <w:p w14:paraId="674BDCF1" w14:textId="77777777" w:rsidR="00180A5B" w:rsidRPr="00F45A1F" w:rsidRDefault="00180A5B" w:rsidP="005144E2">
      <w:pPr>
        <w:widowControl/>
        <w:tabs>
          <w:tab w:val="center" w:pos="4419"/>
          <w:tab w:val="right" w:pos="8838"/>
        </w:tabs>
        <w:jc w:val="both"/>
        <w:rPr>
          <w:rFonts w:ascii="Arial" w:hAnsi="Arial" w:cs="Arial"/>
        </w:rPr>
      </w:pPr>
    </w:p>
    <w:p w14:paraId="6467ED47" w14:textId="77777777" w:rsidR="003E40A9" w:rsidRPr="00F45A1F" w:rsidRDefault="003E40A9" w:rsidP="005144E2">
      <w:pPr>
        <w:widowControl/>
        <w:tabs>
          <w:tab w:val="center" w:pos="4419"/>
          <w:tab w:val="right" w:pos="8838"/>
        </w:tabs>
        <w:jc w:val="both"/>
        <w:rPr>
          <w:rFonts w:ascii="Arial" w:hAnsi="Arial" w:cs="Arial"/>
          <w:sz w:val="16"/>
          <w:szCs w:val="16"/>
        </w:rPr>
      </w:pPr>
    </w:p>
    <w:p w14:paraId="0206B3EF" w14:textId="77777777" w:rsidR="0068309E" w:rsidRPr="00F45A1F" w:rsidRDefault="0068309E" w:rsidP="005144E2">
      <w:pPr>
        <w:widowControl/>
        <w:tabs>
          <w:tab w:val="center" w:pos="4419"/>
          <w:tab w:val="right" w:pos="8838"/>
        </w:tabs>
        <w:jc w:val="both"/>
        <w:rPr>
          <w:rFonts w:ascii="Arial" w:hAnsi="Arial" w:cs="Arial"/>
          <w:b/>
        </w:rPr>
      </w:pPr>
      <w:r w:rsidRPr="00F45A1F">
        <w:rPr>
          <w:rFonts w:ascii="Arial" w:hAnsi="Arial" w:cs="Arial"/>
          <w:b/>
        </w:rPr>
        <w:t xml:space="preserve">a.1) Constituição do Passivo para </w:t>
      </w:r>
      <w:proofErr w:type="spellStart"/>
      <w:r w:rsidRPr="00F45A1F">
        <w:rPr>
          <w:rFonts w:ascii="Arial" w:hAnsi="Arial" w:cs="Arial"/>
          <w:b/>
        </w:rPr>
        <w:t>descomissionamento</w:t>
      </w:r>
      <w:proofErr w:type="spellEnd"/>
    </w:p>
    <w:p w14:paraId="563183F5" w14:textId="77777777" w:rsidR="0068309E" w:rsidRPr="00F45A1F" w:rsidRDefault="0068309E" w:rsidP="005144E2">
      <w:pPr>
        <w:widowControl/>
        <w:tabs>
          <w:tab w:val="center" w:pos="4419"/>
          <w:tab w:val="right" w:pos="8838"/>
        </w:tabs>
        <w:jc w:val="both"/>
        <w:rPr>
          <w:rFonts w:ascii="Arial" w:hAnsi="Arial" w:cs="Arial"/>
        </w:rPr>
      </w:pPr>
    </w:p>
    <w:p w14:paraId="44A02752" w14:textId="77777777" w:rsidR="0068309E" w:rsidRPr="00F45A1F" w:rsidRDefault="0068309E" w:rsidP="005144E2">
      <w:pPr>
        <w:widowControl/>
        <w:tabs>
          <w:tab w:val="center" w:pos="4419"/>
          <w:tab w:val="right" w:pos="8838"/>
        </w:tabs>
        <w:jc w:val="both"/>
        <w:rPr>
          <w:rFonts w:ascii="Arial" w:hAnsi="Arial" w:cs="Arial"/>
        </w:rPr>
      </w:pPr>
      <w:r w:rsidRPr="00F45A1F">
        <w:rPr>
          <w:rFonts w:ascii="Arial" w:hAnsi="Arial" w:cs="Arial"/>
        </w:rPr>
        <w:t xml:space="preserve">O </w:t>
      </w:r>
      <w:proofErr w:type="spellStart"/>
      <w:r w:rsidRPr="00F45A1F">
        <w:rPr>
          <w:rFonts w:ascii="Arial" w:hAnsi="Arial" w:cs="Arial"/>
        </w:rPr>
        <w:t>descomissionamento</w:t>
      </w:r>
      <w:proofErr w:type="spellEnd"/>
      <w:r w:rsidRPr="00F45A1F">
        <w:rPr>
          <w:rFonts w:ascii="Arial" w:hAnsi="Arial" w:cs="Arial"/>
        </w:rPr>
        <w:t xml:space="preserve"> de usinas nucleares refere-se à obrigação para desmobilização dos ativos dessas usinas para fazer face aos custos a serem incorridos ao final da vida útil econômica das mesmas. </w:t>
      </w:r>
    </w:p>
    <w:p w14:paraId="4F11530C" w14:textId="77777777" w:rsidR="0068309E" w:rsidRPr="00F45A1F" w:rsidRDefault="0068309E" w:rsidP="005144E2">
      <w:pPr>
        <w:widowControl/>
        <w:tabs>
          <w:tab w:val="center" w:pos="4419"/>
          <w:tab w:val="right" w:pos="8838"/>
        </w:tabs>
        <w:jc w:val="both"/>
        <w:rPr>
          <w:rFonts w:ascii="Arial" w:hAnsi="Arial" w:cs="Arial"/>
        </w:rPr>
      </w:pPr>
    </w:p>
    <w:p w14:paraId="66ABE087" w14:textId="77777777" w:rsidR="003F4719" w:rsidRPr="00F45A1F" w:rsidRDefault="003F4719" w:rsidP="005144E2">
      <w:pPr>
        <w:widowControl/>
        <w:tabs>
          <w:tab w:val="center" w:pos="4419"/>
          <w:tab w:val="right" w:pos="8838"/>
        </w:tabs>
        <w:jc w:val="both"/>
        <w:rPr>
          <w:rFonts w:ascii="Arial" w:hAnsi="Arial" w:cs="Arial"/>
        </w:rPr>
      </w:pPr>
      <w:r w:rsidRPr="00F45A1F">
        <w:rPr>
          <w:rFonts w:ascii="Arial" w:hAnsi="Arial" w:cs="Arial"/>
        </w:rPr>
        <w:t xml:space="preserve">É premissa fundamental para a formação desse passivo para o </w:t>
      </w:r>
      <w:proofErr w:type="spellStart"/>
      <w:r w:rsidRPr="00F45A1F">
        <w:rPr>
          <w:rFonts w:ascii="Arial" w:hAnsi="Arial" w:cs="Arial"/>
        </w:rPr>
        <w:t>descomissionamento</w:t>
      </w:r>
      <w:proofErr w:type="spellEnd"/>
      <w:r w:rsidRPr="00F45A1F">
        <w:rPr>
          <w:rFonts w:ascii="Arial" w:hAnsi="Arial" w:cs="Arial"/>
        </w:rPr>
        <w:t xml:space="preserve"> que o valor estimado para a sua realização deva ser atualizado ao longo da vida útil econômica das usinas, considerando os avanços tecnológicos, com o objetivo de alocar ao respectivo período de competência da operação, os custos a serem incorridos com a desativação técnico-operacional das usinas. </w:t>
      </w:r>
    </w:p>
    <w:p w14:paraId="6AD18DD5" w14:textId="77777777" w:rsidR="00F359DE" w:rsidRPr="00F45A1F" w:rsidRDefault="00F359DE" w:rsidP="00CD2DE9">
      <w:pPr>
        <w:widowControl/>
        <w:tabs>
          <w:tab w:val="center" w:pos="4419"/>
          <w:tab w:val="right" w:pos="8838"/>
        </w:tabs>
        <w:jc w:val="both"/>
        <w:rPr>
          <w:rFonts w:ascii="Arial" w:hAnsi="Arial" w:cs="Arial"/>
        </w:rPr>
      </w:pPr>
    </w:p>
    <w:p w14:paraId="043B08B6" w14:textId="242D32A0" w:rsidR="003F4719" w:rsidRPr="00F45A1F" w:rsidRDefault="003F4719" w:rsidP="00CD2DE9">
      <w:pPr>
        <w:widowControl/>
        <w:tabs>
          <w:tab w:val="center" w:pos="4419"/>
          <w:tab w:val="right" w:pos="8838"/>
        </w:tabs>
        <w:jc w:val="both"/>
        <w:rPr>
          <w:rFonts w:ascii="Arial" w:hAnsi="Arial" w:cs="Arial"/>
        </w:rPr>
      </w:pPr>
      <w:r w:rsidRPr="00F45A1F">
        <w:rPr>
          <w:rFonts w:ascii="Arial" w:hAnsi="Arial" w:cs="Arial"/>
        </w:rPr>
        <w:t>No exercício de 201</w:t>
      </w:r>
      <w:r w:rsidR="00D61FBE" w:rsidRPr="00F45A1F">
        <w:rPr>
          <w:rFonts w:ascii="Arial" w:hAnsi="Arial" w:cs="Arial"/>
        </w:rPr>
        <w:t>7</w:t>
      </w:r>
      <w:r w:rsidRPr="00F45A1F">
        <w:rPr>
          <w:rFonts w:ascii="Arial" w:hAnsi="Arial" w:cs="Arial"/>
        </w:rPr>
        <w:t xml:space="preserve">, foi realizado um estudo para atualização da estimativa de custos necessária para execução das atividades de </w:t>
      </w:r>
      <w:proofErr w:type="spellStart"/>
      <w:r w:rsidRPr="00F45A1F">
        <w:rPr>
          <w:rFonts w:ascii="Arial" w:hAnsi="Arial" w:cs="Arial"/>
        </w:rPr>
        <w:t>descomissionamento</w:t>
      </w:r>
      <w:proofErr w:type="spellEnd"/>
      <w:r w:rsidRPr="00F45A1F">
        <w:rPr>
          <w:rFonts w:ascii="Arial" w:hAnsi="Arial" w:cs="Arial"/>
        </w:rPr>
        <w:t xml:space="preserve"> das Usinas Angra 1 e Angra 2. O estudo concluiu por aumentar a mencionada estimativa para R$ </w:t>
      </w:r>
      <w:r w:rsidR="00D61FBE" w:rsidRPr="00F45A1F">
        <w:rPr>
          <w:rFonts w:ascii="Arial" w:hAnsi="Arial" w:cs="Arial"/>
        </w:rPr>
        <w:t>4.190.415</w:t>
      </w:r>
      <w:r w:rsidRPr="00F45A1F">
        <w:rPr>
          <w:rFonts w:ascii="Arial" w:hAnsi="Arial" w:cs="Arial"/>
        </w:rPr>
        <w:t xml:space="preserve">, sendo R$ </w:t>
      </w:r>
      <w:r w:rsidR="00D61FBE" w:rsidRPr="00F45A1F">
        <w:rPr>
          <w:rFonts w:ascii="Arial" w:hAnsi="Arial" w:cs="Arial"/>
        </w:rPr>
        <w:t xml:space="preserve">1.923.878 </w:t>
      </w:r>
      <w:r w:rsidRPr="00F45A1F">
        <w:rPr>
          <w:rFonts w:ascii="Arial" w:hAnsi="Arial" w:cs="Arial"/>
        </w:rPr>
        <w:t xml:space="preserve">para a Usina Angra 1 e R$ </w:t>
      </w:r>
      <w:r w:rsidR="00D61FBE" w:rsidRPr="00F45A1F">
        <w:rPr>
          <w:rFonts w:ascii="Arial" w:hAnsi="Arial" w:cs="Arial"/>
        </w:rPr>
        <w:t xml:space="preserve">2.266.537 </w:t>
      </w:r>
      <w:r w:rsidRPr="00F45A1F">
        <w:rPr>
          <w:rFonts w:ascii="Arial" w:hAnsi="Arial" w:cs="Arial"/>
        </w:rPr>
        <w:t>para a Usina Angra 2. O valor presente, correspondente, registrado no passivo</w:t>
      </w:r>
      <w:r w:rsidR="006E0B3A" w:rsidRPr="00F45A1F">
        <w:rPr>
          <w:rFonts w:ascii="Arial" w:hAnsi="Arial" w:cs="Arial"/>
        </w:rPr>
        <w:t xml:space="preserve"> foi</w:t>
      </w:r>
      <w:r w:rsidRPr="00F45A1F">
        <w:rPr>
          <w:rFonts w:ascii="Arial" w:hAnsi="Arial" w:cs="Arial"/>
        </w:rPr>
        <w:t xml:space="preserve"> de R$ </w:t>
      </w:r>
      <w:r w:rsidR="007A2938" w:rsidRPr="00F45A1F">
        <w:rPr>
          <w:rFonts w:ascii="Arial" w:hAnsi="Arial" w:cs="Arial"/>
        </w:rPr>
        <w:t>1.937.904</w:t>
      </w:r>
      <w:r w:rsidRPr="00F45A1F">
        <w:rPr>
          <w:rFonts w:ascii="Arial" w:hAnsi="Arial" w:cs="Arial"/>
        </w:rPr>
        <w:t xml:space="preserve">. Tal estudo foi aprovado pela Diretoria Executiva conforme RDE </w:t>
      </w:r>
      <w:r w:rsidR="005257B7" w:rsidRPr="00F45A1F">
        <w:rPr>
          <w:rFonts w:ascii="Arial" w:hAnsi="Arial" w:cs="Arial"/>
        </w:rPr>
        <w:t>1378.003/17</w:t>
      </w:r>
      <w:r w:rsidR="002058B0" w:rsidRPr="00F45A1F">
        <w:rPr>
          <w:rFonts w:ascii="Arial" w:hAnsi="Arial" w:cs="Arial"/>
        </w:rPr>
        <w:t>,</w:t>
      </w:r>
      <w:r w:rsidRPr="00F45A1F">
        <w:rPr>
          <w:rFonts w:ascii="Arial" w:hAnsi="Arial" w:cs="Arial"/>
        </w:rPr>
        <w:t xml:space="preserve"> de </w:t>
      </w:r>
      <w:r w:rsidR="005257B7" w:rsidRPr="00F45A1F">
        <w:rPr>
          <w:rFonts w:ascii="Arial" w:hAnsi="Arial" w:cs="Arial"/>
        </w:rPr>
        <w:t>07</w:t>
      </w:r>
      <w:r w:rsidR="00D35534" w:rsidRPr="00F45A1F">
        <w:rPr>
          <w:rFonts w:ascii="Arial" w:hAnsi="Arial" w:cs="Arial"/>
        </w:rPr>
        <w:t xml:space="preserve"> de novembro de </w:t>
      </w:r>
      <w:r w:rsidR="005257B7" w:rsidRPr="00F45A1F">
        <w:rPr>
          <w:rFonts w:ascii="Arial" w:hAnsi="Arial" w:cs="Arial"/>
        </w:rPr>
        <w:t>2017</w:t>
      </w:r>
      <w:r w:rsidR="00D624B9">
        <w:rPr>
          <w:rFonts w:ascii="Arial" w:hAnsi="Arial" w:cs="Arial"/>
        </w:rPr>
        <w:t xml:space="preserve"> </w:t>
      </w:r>
      <w:r w:rsidRPr="00F45A1F">
        <w:rPr>
          <w:rFonts w:ascii="Arial" w:hAnsi="Arial" w:cs="Arial"/>
        </w:rPr>
        <w:t xml:space="preserve">e prevê atualização </w:t>
      </w:r>
      <w:r w:rsidR="006E0B3A" w:rsidRPr="00F45A1F">
        <w:rPr>
          <w:rFonts w:ascii="Arial" w:hAnsi="Arial" w:cs="Arial"/>
        </w:rPr>
        <w:t>a</w:t>
      </w:r>
      <w:r w:rsidRPr="00F45A1F">
        <w:rPr>
          <w:rFonts w:ascii="Arial" w:hAnsi="Arial" w:cs="Arial"/>
        </w:rPr>
        <w:t xml:space="preserve"> cada cinco anos</w:t>
      </w:r>
      <w:r w:rsidR="00A74E70" w:rsidRPr="00F45A1F">
        <w:rPr>
          <w:rFonts w:ascii="Arial" w:hAnsi="Arial" w:cs="Arial"/>
        </w:rPr>
        <w:t>. A Companhia não identificou alterações nas premissas utilizadas em 2017 que pudessem requerer a realização de um novo cálculo para</w:t>
      </w:r>
      <w:r w:rsidR="004A379C" w:rsidRPr="00F45A1F">
        <w:rPr>
          <w:rFonts w:ascii="Arial" w:hAnsi="Arial" w:cs="Arial"/>
        </w:rPr>
        <w:t xml:space="preserve"> o primeiro trimestre de 2020</w:t>
      </w:r>
      <w:r w:rsidRPr="00F45A1F">
        <w:rPr>
          <w:rFonts w:ascii="Arial" w:hAnsi="Arial" w:cs="Arial"/>
        </w:rPr>
        <w:t>.</w:t>
      </w:r>
      <w:r w:rsidR="000879A5" w:rsidRPr="00F45A1F">
        <w:rPr>
          <w:rFonts w:ascii="Arial" w:hAnsi="Arial" w:cs="Arial"/>
          <w:b/>
          <w:color w:val="FF0000"/>
        </w:rPr>
        <w:t xml:space="preserve"> </w:t>
      </w:r>
    </w:p>
    <w:p w14:paraId="67C9E9FC" w14:textId="77777777" w:rsidR="00F81517" w:rsidRPr="00F45A1F" w:rsidRDefault="00F81517" w:rsidP="00CD2DE9">
      <w:pPr>
        <w:widowControl/>
        <w:tabs>
          <w:tab w:val="center" w:pos="4419"/>
          <w:tab w:val="right" w:pos="8838"/>
        </w:tabs>
        <w:jc w:val="both"/>
        <w:rPr>
          <w:rFonts w:ascii="Arial" w:hAnsi="Arial" w:cs="Arial"/>
        </w:rPr>
      </w:pPr>
    </w:p>
    <w:p w14:paraId="48224768" w14:textId="77777777" w:rsidR="003F4719" w:rsidRPr="00F45A1F" w:rsidRDefault="003F4719" w:rsidP="00CD2DE9">
      <w:pPr>
        <w:widowControl/>
        <w:tabs>
          <w:tab w:val="center" w:pos="4419"/>
          <w:tab w:val="right" w:pos="8838"/>
        </w:tabs>
        <w:jc w:val="both"/>
        <w:rPr>
          <w:rFonts w:ascii="Arial" w:hAnsi="Arial" w:cs="Arial"/>
        </w:rPr>
      </w:pPr>
      <w:r w:rsidRPr="00F45A1F">
        <w:rPr>
          <w:rFonts w:ascii="Arial" w:hAnsi="Arial" w:cs="Arial"/>
        </w:rPr>
        <w:t xml:space="preserve">Conforme estabelecido no Pronunciamento Técnico CPC 25, a estimativa inicial dos custos de </w:t>
      </w:r>
      <w:proofErr w:type="spellStart"/>
      <w:r w:rsidRPr="00F45A1F">
        <w:rPr>
          <w:rFonts w:ascii="Arial" w:hAnsi="Arial" w:cs="Arial"/>
        </w:rPr>
        <w:t>descomissionamento</w:t>
      </w:r>
      <w:proofErr w:type="spellEnd"/>
      <w:r w:rsidRPr="00F45A1F">
        <w:rPr>
          <w:rFonts w:ascii="Arial" w:hAnsi="Arial" w:cs="Arial"/>
        </w:rPr>
        <w:t xml:space="preserve"> referentes à desmontagem e remoção do item e de restauração dos locais nos quais as instalações estão localizadas, deve ser contabilizada como custo do empreendimento.</w:t>
      </w:r>
    </w:p>
    <w:p w14:paraId="661A38F8" w14:textId="77777777" w:rsidR="00C93BD2" w:rsidRPr="00F45A1F" w:rsidRDefault="00C93BD2" w:rsidP="005144E2">
      <w:pPr>
        <w:widowControl/>
        <w:tabs>
          <w:tab w:val="center" w:pos="4419"/>
          <w:tab w:val="right" w:pos="8838"/>
        </w:tabs>
        <w:jc w:val="both"/>
        <w:rPr>
          <w:rFonts w:ascii="Arial" w:hAnsi="Arial" w:cs="Arial"/>
        </w:rPr>
      </w:pPr>
    </w:p>
    <w:p w14:paraId="17087A48" w14:textId="77777777" w:rsidR="00D36795" w:rsidRPr="00F45A1F" w:rsidRDefault="00D36795" w:rsidP="005144E2">
      <w:pPr>
        <w:widowControl/>
        <w:tabs>
          <w:tab w:val="center" w:pos="4419"/>
          <w:tab w:val="right" w:pos="8838"/>
        </w:tabs>
        <w:jc w:val="both"/>
        <w:rPr>
          <w:rFonts w:ascii="Arial" w:hAnsi="Arial" w:cs="Arial"/>
          <w:sz w:val="16"/>
          <w:szCs w:val="16"/>
        </w:rPr>
      </w:pPr>
    </w:p>
    <w:p w14:paraId="3B47DD1F" w14:textId="77777777" w:rsidR="003F4719" w:rsidRPr="00F45A1F" w:rsidRDefault="002E2709" w:rsidP="005144E2">
      <w:pPr>
        <w:widowControl/>
        <w:jc w:val="both"/>
        <w:rPr>
          <w:rFonts w:ascii="Arial" w:hAnsi="Arial" w:cs="Arial"/>
          <w:b/>
        </w:rPr>
      </w:pPr>
      <w:r w:rsidRPr="00F45A1F">
        <w:rPr>
          <w:rFonts w:ascii="Arial" w:hAnsi="Arial" w:cs="Arial"/>
          <w:b/>
          <w:bCs/>
        </w:rPr>
        <w:t>a.2</w:t>
      </w:r>
      <w:r w:rsidR="003F4719" w:rsidRPr="00F45A1F">
        <w:rPr>
          <w:rFonts w:ascii="Arial" w:hAnsi="Arial" w:cs="Arial"/>
          <w:b/>
          <w:bCs/>
        </w:rPr>
        <w:t xml:space="preserve">) </w:t>
      </w:r>
      <w:r w:rsidR="0068309E" w:rsidRPr="00F45A1F">
        <w:rPr>
          <w:rFonts w:ascii="Arial" w:hAnsi="Arial" w:cs="Arial"/>
          <w:b/>
          <w:bCs/>
        </w:rPr>
        <w:t xml:space="preserve">Constituição do Passivo para </w:t>
      </w:r>
      <w:r w:rsidR="003F4719" w:rsidRPr="00F45A1F">
        <w:rPr>
          <w:rFonts w:ascii="Arial" w:hAnsi="Arial" w:cs="Arial"/>
          <w:b/>
          <w:bCs/>
        </w:rPr>
        <w:t>R</w:t>
      </w:r>
      <w:r w:rsidR="003F4719" w:rsidRPr="00F45A1F">
        <w:rPr>
          <w:rFonts w:ascii="Arial" w:hAnsi="Arial" w:cs="Arial"/>
          <w:b/>
        </w:rPr>
        <w:t xml:space="preserve">ejeitos de Baixa e Média Atividade e Combustível Nuclear Usado </w:t>
      </w:r>
    </w:p>
    <w:p w14:paraId="4EFAB43F" w14:textId="77777777" w:rsidR="003F4719" w:rsidRPr="00F45A1F" w:rsidRDefault="003F4719" w:rsidP="005144E2">
      <w:pPr>
        <w:pStyle w:val="PargrafodaLista"/>
        <w:widowControl/>
        <w:tabs>
          <w:tab w:val="center" w:pos="4419"/>
          <w:tab w:val="right" w:pos="8838"/>
        </w:tabs>
        <w:ind w:left="284" w:hanging="284"/>
        <w:jc w:val="both"/>
        <w:rPr>
          <w:rFonts w:ascii="Arial" w:hAnsi="Arial" w:cs="Arial"/>
          <w:b/>
        </w:rPr>
      </w:pPr>
    </w:p>
    <w:p w14:paraId="02E1A164" w14:textId="30CACE9E" w:rsidR="003F4719" w:rsidRPr="00F45A1F" w:rsidRDefault="003F4719" w:rsidP="005144E2">
      <w:pPr>
        <w:pStyle w:val="PargrafodaLista"/>
        <w:widowControl/>
        <w:tabs>
          <w:tab w:val="center" w:pos="4419"/>
          <w:tab w:val="right" w:pos="8838"/>
        </w:tabs>
        <w:ind w:left="0"/>
        <w:jc w:val="both"/>
        <w:rPr>
          <w:rFonts w:ascii="Arial" w:hAnsi="Arial" w:cs="Arial"/>
          <w:bCs/>
        </w:rPr>
      </w:pPr>
      <w:r w:rsidRPr="00F45A1F">
        <w:rPr>
          <w:rFonts w:ascii="Arial" w:hAnsi="Arial" w:cs="Arial"/>
        </w:rPr>
        <w:t xml:space="preserve">A Diretoria </w:t>
      </w:r>
      <w:r w:rsidR="002636AE" w:rsidRPr="00F45A1F">
        <w:rPr>
          <w:rFonts w:ascii="Arial" w:hAnsi="Arial" w:cs="Arial"/>
        </w:rPr>
        <w:t>E</w:t>
      </w:r>
      <w:r w:rsidRPr="00F45A1F">
        <w:rPr>
          <w:rFonts w:ascii="Arial" w:hAnsi="Arial" w:cs="Arial"/>
        </w:rPr>
        <w:t xml:space="preserve">xecutiva da Companhia aprovou, através da </w:t>
      </w:r>
      <w:r w:rsidR="00555CDF" w:rsidRPr="00F45A1F">
        <w:rPr>
          <w:rFonts w:ascii="Arial" w:hAnsi="Arial" w:cs="Arial"/>
        </w:rPr>
        <w:t>R</w:t>
      </w:r>
      <w:r w:rsidRPr="00F45A1F">
        <w:rPr>
          <w:rFonts w:ascii="Arial" w:hAnsi="Arial" w:cs="Arial"/>
        </w:rPr>
        <w:t>esolução RDE nº 1247.003/15</w:t>
      </w:r>
      <w:r w:rsidR="004B138A" w:rsidRPr="00F45A1F">
        <w:rPr>
          <w:rFonts w:ascii="Arial" w:hAnsi="Arial" w:cs="Arial"/>
        </w:rPr>
        <w:t>,</w:t>
      </w:r>
      <w:r w:rsidRPr="00F45A1F">
        <w:rPr>
          <w:rFonts w:ascii="Arial" w:hAnsi="Arial" w:cs="Arial"/>
        </w:rPr>
        <w:t xml:space="preserve"> de 12</w:t>
      </w:r>
      <w:r w:rsidR="00D36795" w:rsidRPr="00F45A1F">
        <w:rPr>
          <w:rFonts w:ascii="Arial" w:hAnsi="Arial" w:cs="Arial"/>
        </w:rPr>
        <w:t xml:space="preserve"> de agosto de </w:t>
      </w:r>
      <w:r w:rsidRPr="00F45A1F">
        <w:rPr>
          <w:rFonts w:ascii="Arial" w:hAnsi="Arial" w:cs="Arial"/>
        </w:rPr>
        <w:t>2015</w:t>
      </w:r>
      <w:r w:rsidRPr="00F45A1F">
        <w:rPr>
          <w:rFonts w:ascii="Arial" w:hAnsi="Arial" w:cs="Arial"/>
          <w:bCs/>
        </w:rPr>
        <w:t>, o Relatório do Grupo de Trabalho instituído pela GCE 037/10</w:t>
      </w:r>
      <w:r w:rsidR="004B138A" w:rsidRPr="00F45A1F">
        <w:rPr>
          <w:rFonts w:ascii="Arial" w:hAnsi="Arial" w:cs="Arial"/>
          <w:bCs/>
        </w:rPr>
        <w:t>,</w:t>
      </w:r>
      <w:r w:rsidRPr="00F45A1F">
        <w:rPr>
          <w:rFonts w:ascii="Arial" w:hAnsi="Arial" w:cs="Arial"/>
          <w:bCs/>
        </w:rPr>
        <w:t xml:space="preserve"> de </w:t>
      </w:r>
      <w:r w:rsidR="008C0E48" w:rsidRPr="00F45A1F">
        <w:rPr>
          <w:rFonts w:ascii="Arial" w:hAnsi="Arial" w:cs="Arial"/>
          <w:bCs/>
        </w:rPr>
        <w:t>01 de junho de 2010</w:t>
      </w:r>
      <w:r w:rsidRPr="00F45A1F">
        <w:rPr>
          <w:rFonts w:ascii="Arial" w:hAnsi="Arial" w:cs="Arial"/>
          <w:bCs/>
        </w:rPr>
        <w:t xml:space="preserve">, </w:t>
      </w:r>
      <w:r w:rsidRPr="00F45A1F">
        <w:rPr>
          <w:rFonts w:ascii="Arial" w:hAnsi="Arial" w:cs="Arial"/>
        </w:rPr>
        <w:t>estendido para 2015, com a revisão d</w:t>
      </w:r>
      <w:r w:rsidRPr="00F45A1F">
        <w:rPr>
          <w:rFonts w:ascii="Arial" w:hAnsi="Arial" w:cs="Arial"/>
          <w:bCs/>
        </w:rPr>
        <w:t>as estimativas de Custos de Gerenciamento de Rejeitos Radioativos Operacionais e dos Elementos de Combustível Nuclear Usados ao Final da vida útil das Usinas Angra 1 e Angra 2,</w:t>
      </w:r>
      <w:r w:rsidRPr="00F45A1F">
        <w:rPr>
          <w:rFonts w:ascii="Arial" w:hAnsi="Arial" w:cs="Arial"/>
        </w:rPr>
        <w:t xml:space="preserve"> para a data base julho 2015. Essa atualização atende ao estabelecido pela Comissão Nacional de Energia Nuclear na Resolução CNEN nº 187</w:t>
      </w:r>
      <w:r w:rsidR="004B138A" w:rsidRPr="00F45A1F">
        <w:rPr>
          <w:rFonts w:ascii="Arial" w:hAnsi="Arial" w:cs="Arial"/>
        </w:rPr>
        <w:t>,</w:t>
      </w:r>
      <w:r w:rsidRPr="00F45A1F">
        <w:rPr>
          <w:rFonts w:ascii="Arial" w:hAnsi="Arial" w:cs="Arial"/>
        </w:rPr>
        <w:t xml:space="preserve"> de </w:t>
      </w:r>
      <w:r w:rsidR="00D36795" w:rsidRPr="00F45A1F">
        <w:rPr>
          <w:rFonts w:ascii="Arial" w:hAnsi="Arial" w:cs="Arial"/>
        </w:rPr>
        <w:t xml:space="preserve">15 de maio de </w:t>
      </w:r>
      <w:r w:rsidRPr="00F45A1F">
        <w:rPr>
          <w:rFonts w:ascii="Arial" w:hAnsi="Arial" w:cs="Arial"/>
        </w:rPr>
        <w:t>2015</w:t>
      </w:r>
      <w:r w:rsidRPr="00F45A1F">
        <w:rPr>
          <w:rFonts w:ascii="Arial" w:hAnsi="Arial" w:cs="Arial"/>
          <w:bCs/>
        </w:rPr>
        <w:t>.</w:t>
      </w:r>
      <w:r w:rsidR="008076A4">
        <w:rPr>
          <w:rFonts w:ascii="Arial" w:hAnsi="Arial" w:cs="Arial"/>
          <w:bCs/>
        </w:rPr>
        <w:t xml:space="preserve"> </w:t>
      </w:r>
      <w:r w:rsidR="00E51733" w:rsidRPr="00F45A1F">
        <w:rPr>
          <w:rFonts w:ascii="Arial" w:hAnsi="Arial" w:cs="Arial"/>
        </w:rPr>
        <w:t>A Companhia não identificou alterações nas premissas utilizadas em 2017 que pudessem requerer a realização de um novo cálculo para</w:t>
      </w:r>
      <w:r w:rsidR="008076A4">
        <w:rPr>
          <w:rFonts w:ascii="Arial" w:hAnsi="Arial" w:cs="Arial"/>
        </w:rPr>
        <w:t xml:space="preserve"> o primeiro trimestre de 2020</w:t>
      </w:r>
      <w:r w:rsidR="00C1257B">
        <w:rPr>
          <w:rFonts w:ascii="Arial" w:hAnsi="Arial" w:cs="Arial"/>
        </w:rPr>
        <w:t>.</w:t>
      </w:r>
      <w:r w:rsidR="000879A5" w:rsidRPr="00F45A1F">
        <w:rPr>
          <w:rFonts w:ascii="Arial" w:hAnsi="Arial" w:cs="Arial"/>
          <w:b/>
          <w:color w:val="FF0000"/>
        </w:rPr>
        <w:t xml:space="preserve"> </w:t>
      </w:r>
    </w:p>
    <w:p w14:paraId="24F93E44" w14:textId="77777777" w:rsidR="001751EB" w:rsidRPr="00F45A1F" w:rsidRDefault="001751EB" w:rsidP="005144E2">
      <w:pPr>
        <w:pStyle w:val="PargrafodaLista"/>
        <w:widowControl/>
        <w:tabs>
          <w:tab w:val="center" w:pos="4419"/>
          <w:tab w:val="right" w:pos="8838"/>
        </w:tabs>
        <w:ind w:left="0"/>
        <w:jc w:val="both"/>
        <w:rPr>
          <w:rFonts w:ascii="Arial" w:hAnsi="Arial" w:cs="Arial"/>
          <w:bCs/>
        </w:rPr>
      </w:pPr>
    </w:p>
    <w:p w14:paraId="08D66E62" w14:textId="77777777" w:rsidR="003F4719" w:rsidRPr="00F45A1F" w:rsidRDefault="003F4719" w:rsidP="005144E2">
      <w:pPr>
        <w:widowControl/>
        <w:jc w:val="both"/>
        <w:rPr>
          <w:rFonts w:ascii="Arial" w:hAnsi="Arial" w:cs="Arial"/>
        </w:rPr>
      </w:pPr>
      <w:r w:rsidRPr="00F45A1F">
        <w:rPr>
          <w:rFonts w:ascii="Arial" w:hAnsi="Arial" w:cs="Arial"/>
        </w:rPr>
        <w:t>As estimativas de custos para gerenciamento, em longo prazo, dos rejeitos operacionais de baixo e médio nível de atividade e dos elementos combustíveis usados foram as seguintes:</w:t>
      </w:r>
    </w:p>
    <w:p w14:paraId="25554825" w14:textId="77777777" w:rsidR="003F4719" w:rsidRPr="00F45A1F" w:rsidRDefault="003F4719" w:rsidP="005144E2">
      <w:pPr>
        <w:widowControl/>
        <w:jc w:val="both"/>
        <w:rPr>
          <w:rFonts w:ascii="Arial" w:hAnsi="Arial" w:cs="Arial"/>
        </w:rPr>
      </w:pPr>
    </w:p>
    <w:p w14:paraId="53BD832A" w14:textId="77777777" w:rsidR="003F4719" w:rsidRPr="00F45A1F" w:rsidRDefault="002E2709" w:rsidP="005144E2">
      <w:pPr>
        <w:widowControl/>
        <w:jc w:val="both"/>
        <w:rPr>
          <w:rFonts w:ascii="Arial" w:hAnsi="Arial" w:cs="Arial"/>
        </w:rPr>
      </w:pPr>
      <w:r w:rsidRPr="00F45A1F">
        <w:rPr>
          <w:rFonts w:ascii="Arial" w:hAnsi="Arial" w:cs="Arial"/>
          <w:b/>
        </w:rPr>
        <w:t>i</w:t>
      </w:r>
      <w:r w:rsidR="003F4719" w:rsidRPr="00F45A1F">
        <w:rPr>
          <w:rFonts w:ascii="Arial" w:hAnsi="Arial" w:cs="Arial"/>
          <w:b/>
        </w:rPr>
        <w:t>)</w:t>
      </w:r>
      <w:r w:rsidR="0064522E" w:rsidRPr="00F45A1F">
        <w:rPr>
          <w:rFonts w:ascii="Arial" w:hAnsi="Arial" w:cs="Arial"/>
          <w:b/>
        </w:rPr>
        <w:t xml:space="preserve"> </w:t>
      </w:r>
      <w:r w:rsidR="003F4719" w:rsidRPr="00F45A1F">
        <w:rPr>
          <w:rFonts w:ascii="Arial" w:hAnsi="Arial" w:cs="Arial"/>
        </w:rPr>
        <w:t xml:space="preserve">Para transporte e disposição final dos rejeitos operacionais de baixa e média atividade, relativos ao volume acumulado até 2020, quando se considera que será iniciada sua transferência para o Repositório Nacional de Rejeitos Radioativos de Baixo e Médio Nível de Atividade </w:t>
      </w:r>
      <w:r w:rsidR="00C133BB" w:rsidRPr="00F45A1F">
        <w:rPr>
          <w:rFonts w:ascii="Arial" w:hAnsi="Arial" w:cs="Arial"/>
        </w:rPr>
        <w:t xml:space="preserve">- </w:t>
      </w:r>
      <w:r w:rsidR="003F4719" w:rsidRPr="00F45A1F">
        <w:rPr>
          <w:rFonts w:ascii="Arial" w:hAnsi="Arial" w:cs="Arial"/>
        </w:rPr>
        <w:t xml:space="preserve">RBMN, a ser implantado pela CNEN, responsável legal pela guarda final desses rejeitos, </w:t>
      </w:r>
      <w:proofErr w:type="gramStart"/>
      <w:r w:rsidR="003F4719" w:rsidRPr="00F45A1F">
        <w:rPr>
          <w:rFonts w:ascii="Arial" w:hAnsi="Arial" w:cs="Arial"/>
        </w:rPr>
        <w:t>será</w:t>
      </w:r>
      <w:proofErr w:type="gramEnd"/>
      <w:r w:rsidR="003F4719" w:rsidRPr="00F45A1F">
        <w:rPr>
          <w:rFonts w:ascii="Arial" w:hAnsi="Arial" w:cs="Arial"/>
        </w:rPr>
        <w:t xml:space="preserve"> despendido o montante de </w:t>
      </w:r>
      <w:r w:rsidR="003F4719" w:rsidRPr="00F45A1F">
        <w:rPr>
          <w:rFonts w:ascii="Arial" w:hAnsi="Arial" w:cs="Arial"/>
          <w:bCs/>
        </w:rPr>
        <w:t xml:space="preserve">R$ </w:t>
      </w:r>
      <w:r w:rsidR="0027327E" w:rsidRPr="00F45A1F">
        <w:rPr>
          <w:rFonts w:ascii="Arial" w:hAnsi="Arial" w:cs="Arial"/>
          <w:bCs/>
        </w:rPr>
        <w:t>54.555</w:t>
      </w:r>
      <w:r w:rsidR="003F4719" w:rsidRPr="00F45A1F">
        <w:rPr>
          <w:rFonts w:ascii="Arial" w:hAnsi="Arial" w:cs="Arial"/>
          <w:bCs/>
        </w:rPr>
        <w:t xml:space="preserve"> (base </w:t>
      </w:r>
      <w:r w:rsidR="00D36795" w:rsidRPr="00F45A1F">
        <w:rPr>
          <w:rFonts w:ascii="Arial" w:hAnsi="Arial" w:cs="Arial"/>
          <w:bCs/>
        </w:rPr>
        <w:t>j</w:t>
      </w:r>
      <w:r w:rsidR="00F81517" w:rsidRPr="00F45A1F">
        <w:rPr>
          <w:rFonts w:ascii="Arial" w:hAnsi="Arial" w:cs="Arial"/>
          <w:bCs/>
        </w:rPr>
        <w:t xml:space="preserve">ulho de </w:t>
      </w:r>
      <w:r w:rsidR="003F4719" w:rsidRPr="00F45A1F">
        <w:rPr>
          <w:rFonts w:ascii="Arial" w:hAnsi="Arial" w:cs="Arial"/>
          <w:bCs/>
        </w:rPr>
        <w:t>2015)</w:t>
      </w:r>
      <w:r w:rsidR="003F4719" w:rsidRPr="00F45A1F">
        <w:rPr>
          <w:rFonts w:ascii="Arial" w:hAnsi="Arial" w:cs="Arial"/>
        </w:rPr>
        <w:t>.</w:t>
      </w:r>
    </w:p>
    <w:p w14:paraId="285DC64A" w14:textId="77777777" w:rsidR="001B5672" w:rsidRPr="00F45A1F" w:rsidRDefault="001B5672" w:rsidP="005144E2">
      <w:pPr>
        <w:widowControl/>
        <w:jc w:val="both"/>
        <w:rPr>
          <w:rFonts w:ascii="Arial" w:hAnsi="Arial" w:cs="Arial"/>
        </w:rPr>
      </w:pPr>
    </w:p>
    <w:p w14:paraId="308CCB2B" w14:textId="77777777" w:rsidR="003F4719" w:rsidRPr="00F45A1F" w:rsidRDefault="002E2709" w:rsidP="005144E2">
      <w:pPr>
        <w:widowControl/>
        <w:jc w:val="both"/>
        <w:rPr>
          <w:rFonts w:ascii="Arial" w:hAnsi="Arial" w:cs="Arial"/>
        </w:rPr>
      </w:pPr>
      <w:proofErr w:type="spellStart"/>
      <w:proofErr w:type="gramStart"/>
      <w:r w:rsidRPr="00F45A1F">
        <w:rPr>
          <w:rFonts w:ascii="Arial" w:hAnsi="Arial" w:cs="Arial"/>
          <w:b/>
        </w:rPr>
        <w:t>ii</w:t>
      </w:r>
      <w:proofErr w:type="spellEnd"/>
      <w:proofErr w:type="gramEnd"/>
      <w:r w:rsidR="003F4719" w:rsidRPr="00F45A1F">
        <w:rPr>
          <w:rFonts w:ascii="Arial" w:hAnsi="Arial" w:cs="Arial"/>
          <w:b/>
        </w:rPr>
        <w:t>)</w:t>
      </w:r>
      <w:r w:rsidR="0064522E" w:rsidRPr="00F45A1F">
        <w:rPr>
          <w:rFonts w:ascii="Arial" w:hAnsi="Arial" w:cs="Arial"/>
          <w:b/>
        </w:rPr>
        <w:t xml:space="preserve"> </w:t>
      </w:r>
      <w:r w:rsidR="003F4719" w:rsidRPr="00F45A1F">
        <w:rPr>
          <w:rFonts w:ascii="Arial" w:hAnsi="Arial" w:cs="Arial"/>
        </w:rPr>
        <w:t xml:space="preserve">Para armazenagem inicial dos elementos combustíveis, usados até o final da década de 2070, quando se estima ocorrer o término da vida útil de Angra 3 e, portanto, da própria CNAAA, a estimativa está representada pelo valor de </w:t>
      </w:r>
      <w:r w:rsidR="003F4719" w:rsidRPr="00F45A1F">
        <w:rPr>
          <w:rFonts w:ascii="Arial" w:hAnsi="Arial" w:cs="Arial"/>
          <w:bCs/>
        </w:rPr>
        <w:t>R$ 610</w:t>
      </w:r>
      <w:r w:rsidR="00F81517" w:rsidRPr="00F45A1F">
        <w:rPr>
          <w:rFonts w:ascii="Arial" w:hAnsi="Arial" w:cs="Arial"/>
          <w:bCs/>
        </w:rPr>
        <w:t>.</w:t>
      </w:r>
      <w:r w:rsidR="003F4719" w:rsidRPr="00F45A1F">
        <w:rPr>
          <w:rFonts w:ascii="Arial" w:hAnsi="Arial" w:cs="Arial"/>
          <w:bCs/>
        </w:rPr>
        <w:t>12</w:t>
      </w:r>
      <w:r w:rsidR="00286ACA" w:rsidRPr="00F45A1F">
        <w:rPr>
          <w:rFonts w:ascii="Arial" w:hAnsi="Arial" w:cs="Arial"/>
          <w:bCs/>
        </w:rPr>
        <w:t>7</w:t>
      </w:r>
      <w:r w:rsidR="003F4719" w:rsidRPr="00F45A1F">
        <w:rPr>
          <w:rFonts w:ascii="Arial" w:hAnsi="Arial" w:cs="Arial"/>
          <w:bCs/>
        </w:rPr>
        <w:t xml:space="preserve"> (base ju</w:t>
      </w:r>
      <w:r w:rsidR="00D36795" w:rsidRPr="00F45A1F">
        <w:rPr>
          <w:rFonts w:ascii="Arial" w:hAnsi="Arial" w:cs="Arial"/>
          <w:bCs/>
        </w:rPr>
        <w:t xml:space="preserve">lho de </w:t>
      </w:r>
      <w:r w:rsidR="003F4719" w:rsidRPr="00F45A1F">
        <w:rPr>
          <w:rFonts w:ascii="Arial" w:hAnsi="Arial" w:cs="Arial"/>
          <w:bCs/>
        </w:rPr>
        <w:t>2015)</w:t>
      </w:r>
      <w:r w:rsidR="009A0E26" w:rsidRPr="00F45A1F">
        <w:rPr>
          <w:rFonts w:ascii="Arial" w:hAnsi="Arial" w:cs="Arial"/>
        </w:rPr>
        <w:t>.</w:t>
      </w:r>
    </w:p>
    <w:p w14:paraId="245AF2A3" w14:textId="77777777" w:rsidR="003F4719" w:rsidRPr="00F45A1F" w:rsidRDefault="003F4719" w:rsidP="005144E2">
      <w:pPr>
        <w:widowControl/>
        <w:jc w:val="both"/>
        <w:rPr>
          <w:rFonts w:ascii="Arial" w:hAnsi="Arial" w:cs="Arial"/>
        </w:rPr>
      </w:pPr>
    </w:p>
    <w:p w14:paraId="501B0BAA" w14:textId="77777777" w:rsidR="003F4719" w:rsidRPr="00F45A1F" w:rsidRDefault="003F4719" w:rsidP="005144E2">
      <w:pPr>
        <w:widowControl/>
        <w:jc w:val="both"/>
        <w:rPr>
          <w:rFonts w:ascii="Arial" w:hAnsi="Arial" w:cs="Arial"/>
          <w:bCs/>
        </w:rPr>
      </w:pPr>
      <w:r w:rsidRPr="00F45A1F">
        <w:rPr>
          <w:rFonts w:ascii="Arial" w:hAnsi="Arial" w:cs="Arial"/>
          <w:bCs/>
        </w:rPr>
        <w:t xml:space="preserve">Nos termos do Pronunciamento Técnico 27 e ICPC 12, do Comitê de Pronunciamentos Contábeis, a ELETRONUCLEAR contabilizou no Ativo Imobilizado, em contrapartida ao Passivo Não Circulante, os valores das estimativas aprovadas. </w:t>
      </w:r>
    </w:p>
    <w:p w14:paraId="389B584B" w14:textId="77777777" w:rsidR="003F4719" w:rsidRPr="00F45A1F" w:rsidRDefault="003F4719" w:rsidP="005144E2">
      <w:pPr>
        <w:widowControl/>
        <w:tabs>
          <w:tab w:val="center" w:pos="4419"/>
          <w:tab w:val="right" w:pos="8838"/>
        </w:tabs>
        <w:jc w:val="both"/>
        <w:rPr>
          <w:rFonts w:ascii="Arial" w:hAnsi="Arial" w:cs="Arial"/>
          <w:b/>
        </w:rPr>
      </w:pPr>
    </w:p>
    <w:p w14:paraId="3A96FF6D" w14:textId="77777777" w:rsidR="00286ACA" w:rsidRPr="00F45A1F" w:rsidRDefault="00286ACA" w:rsidP="005144E2">
      <w:pPr>
        <w:widowControl/>
        <w:tabs>
          <w:tab w:val="center" w:pos="4419"/>
          <w:tab w:val="right" w:pos="8838"/>
        </w:tabs>
        <w:jc w:val="both"/>
        <w:rPr>
          <w:rFonts w:ascii="Arial" w:hAnsi="Arial" w:cs="Arial"/>
        </w:rPr>
      </w:pPr>
      <w:r w:rsidRPr="00F45A1F">
        <w:rPr>
          <w:rFonts w:ascii="Arial" w:hAnsi="Arial" w:cs="Arial"/>
        </w:rPr>
        <w:t xml:space="preserve">O custo total estimado é descontado a valor presente, com base em taxa que represente o custo de capital da Companhia e registrado no Imobilizado, em contrapartida a obrigação para desmobilização de ativos. </w:t>
      </w:r>
    </w:p>
    <w:p w14:paraId="4DD1CBB1" w14:textId="77777777" w:rsidR="00BE230A" w:rsidRPr="00F45A1F" w:rsidRDefault="00BE230A" w:rsidP="005144E2">
      <w:pPr>
        <w:widowControl/>
        <w:tabs>
          <w:tab w:val="center" w:pos="4419"/>
          <w:tab w:val="right" w:pos="8838"/>
        </w:tabs>
        <w:jc w:val="both"/>
        <w:rPr>
          <w:rFonts w:ascii="Arial" w:hAnsi="Arial" w:cs="Arial"/>
        </w:rPr>
      </w:pPr>
    </w:p>
    <w:p w14:paraId="04803001" w14:textId="77777777" w:rsidR="00BE230A" w:rsidRPr="00F45A1F" w:rsidRDefault="00BE230A" w:rsidP="005144E2">
      <w:pPr>
        <w:widowControl/>
        <w:tabs>
          <w:tab w:val="center" w:pos="4419"/>
          <w:tab w:val="right" w:pos="8838"/>
        </w:tabs>
        <w:jc w:val="both"/>
        <w:rPr>
          <w:rFonts w:ascii="Arial" w:hAnsi="Arial" w:cs="Arial"/>
        </w:rPr>
      </w:pPr>
    </w:p>
    <w:p w14:paraId="44BE3CA7" w14:textId="77777777" w:rsidR="00A31570" w:rsidRPr="00F45A1F" w:rsidRDefault="00E81871" w:rsidP="005144E2">
      <w:pPr>
        <w:widowControl/>
        <w:rPr>
          <w:rFonts w:ascii="Arial" w:hAnsi="Arial" w:cs="Arial"/>
          <w:b/>
        </w:rPr>
      </w:pPr>
      <w:r w:rsidRPr="00F45A1F">
        <w:rPr>
          <w:rFonts w:ascii="Arial" w:hAnsi="Arial" w:cs="Arial"/>
          <w:b/>
        </w:rPr>
        <w:t>b</w:t>
      </w:r>
      <w:r w:rsidR="00286ACA" w:rsidRPr="00F45A1F">
        <w:rPr>
          <w:rFonts w:ascii="Arial" w:hAnsi="Arial" w:cs="Arial"/>
          <w:b/>
        </w:rPr>
        <w:t xml:space="preserve">) Ajuste a valor presente do </w:t>
      </w:r>
      <w:proofErr w:type="spellStart"/>
      <w:r w:rsidR="00286ACA" w:rsidRPr="00F45A1F">
        <w:rPr>
          <w:rFonts w:ascii="Arial" w:hAnsi="Arial" w:cs="Arial"/>
          <w:b/>
        </w:rPr>
        <w:t>Descomissionamento</w:t>
      </w:r>
      <w:proofErr w:type="spellEnd"/>
      <w:r w:rsidR="00286ACA" w:rsidRPr="00F45A1F">
        <w:rPr>
          <w:rFonts w:ascii="Arial" w:hAnsi="Arial" w:cs="Arial"/>
          <w:b/>
        </w:rPr>
        <w:t xml:space="preserve">, </w:t>
      </w:r>
      <w:r w:rsidR="00F81517" w:rsidRPr="00F45A1F">
        <w:rPr>
          <w:rFonts w:ascii="Arial" w:hAnsi="Arial" w:cs="Arial"/>
          <w:b/>
        </w:rPr>
        <w:t xml:space="preserve">dos </w:t>
      </w:r>
      <w:r w:rsidR="00286ACA" w:rsidRPr="00F45A1F">
        <w:rPr>
          <w:rFonts w:ascii="Arial" w:hAnsi="Arial" w:cs="Arial"/>
          <w:b/>
        </w:rPr>
        <w:t>Rejeitos</w:t>
      </w:r>
      <w:r w:rsidR="009359C6" w:rsidRPr="00F45A1F">
        <w:rPr>
          <w:rFonts w:ascii="Arial" w:hAnsi="Arial" w:cs="Arial"/>
          <w:b/>
        </w:rPr>
        <w:t xml:space="preserve"> de Baixa e Média Atividade</w:t>
      </w:r>
      <w:r w:rsidR="00286ACA" w:rsidRPr="00F45A1F">
        <w:rPr>
          <w:rFonts w:ascii="Arial" w:hAnsi="Arial" w:cs="Arial"/>
          <w:b/>
        </w:rPr>
        <w:t xml:space="preserve"> e Combustível Nuclear Usado</w:t>
      </w:r>
    </w:p>
    <w:p w14:paraId="5129A58A" w14:textId="77777777" w:rsidR="00A31570" w:rsidRPr="00F45A1F" w:rsidRDefault="00A31570" w:rsidP="005144E2">
      <w:pPr>
        <w:widowControl/>
        <w:rPr>
          <w:rFonts w:ascii="Arial" w:hAnsi="Arial" w:cs="Arial"/>
          <w:b/>
        </w:rPr>
      </w:pPr>
    </w:p>
    <w:p w14:paraId="45C074ED" w14:textId="77777777" w:rsidR="00A31570" w:rsidRPr="00F45A1F" w:rsidRDefault="00A31570" w:rsidP="005144E2">
      <w:pPr>
        <w:widowControl/>
        <w:jc w:val="both"/>
        <w:rPr>
          <w:rFonts w:ascii="Arial" w:hAnsi="Arial" w:cs="Arial"/>
          <w:bCs/>
        </w:rPr>
      </w:pPr>
      <w:r w:rsidRPr="00F45A1F">
        <w:rPr>
          <w:rFonts w:ascii="Arial" w:hAnsi="Arial" w:cs="Arial"/>
          <w:bCs/>
        </w:rPr>
        <w:t xml:space="preserve">No cálculo do ajuste a valor presente do passivo para </w:t>
      </w:r>
      <w:proofErr w:type="spellStart"/>
      <w:r w:rsidRPr="00F45A1F">
        <w:rPr>
          <w:rFonts w:ascii="Arial" w:hAnsi="Arial" w:cs="Arial"/>
          <w:bCs/>
        </w:rPr>
        <w:t>descomissionamento</w:t>
      </w:r>
      <w:proofErr w:type="spellEnd"/>
      <w:r w:rsidRPr="00F45A1F">
        <w:rPr>
          <w:rFonts w:ascii="Arial" w:hAnsi="Arial" w:cs="Arial"/>
          <w:bCs/>
        </w:rPr>
        <w:t xml:space="preserve"> é considerado o custo total estimado para o </w:t>
      </w:r>
      <w:proofErr w:type="spellStart"/>
      <w:r w:rsidRPr="00F45A1F">
        <w:rPr>
          <w:rFonts w:ascii="Arial" w:hAnsi="Arial" w:cs="Arial"/>
          <w:bCs/>
        </w:rPr>
        <w:t>descomissionamento</w:t>
      </w:r>
      <w:proofErr w:type="spellEnd"/>
      <w:r w:rsidRPr="00F45A1F">
        <w:rPr>
          <w:rFonts w:ascii="Arial" w:hAnsi="Arial" w:cs="Arial"/>
          <w:bCs/>
        </w:rPr>
        <w:t xml:space="preserve">, descontado a uma taxa que represente o custo de capital da Companhia, desde o final da vida útil econômica de cada usina até a data do balanço. </w:t>
      </w:r>
    </w:p>
    <w:p w14:paraId="0352811E" w14:textId="77777777" w:rsidR="00B2080D" w:rsidRPr="00F45A1F" w:rsidRDefault="00B2080D" w:rsidP="005144E2">
      <w:pPr>
        <w:widowControl/>
        <w:jc w:val="both"/>
        <w:rPr>
          <w:rFonts w:ascii="Arial" w:hAnsi="Arial" w:cs="Arial"/>
          <w:bCs/>
        </w:rPr>
      </w:pPr>
    </w:p>
    <w:p w14:paraId="0F300749" w14:textId="77777777" w:rsidR="00A31570" w:rsidRPr="00F45A1F" w:rsidRDefault="00A31570" w:rsidP="005144E2">
      <w:pPr>
        <w:widowControl/>
        <w:jc w:val="both"/>
        <w:rPr>
          <w:rFonts w:ascii="Arial" w:hAnsi="Arial" w:cs="Arial"/>
          <w:bCs/>
        </w:rPr>
      </w:pPr>
      <w:r w:rsidRPr="00F45A1F">
        <w:rPr>
          <w:rFonts w:ascii="Arial" w:hAnsi="Arial" w:cs="Arial"/>
          <w:bCs/>
        </w:rPr>
        <w:t xml:space="preserve">O mesmo procedimento é efetuado para os rejeitos de baixa e média atividade e </w:t>
      </w:r>
      <w:r w:rsidR="00F81517" w:rsidRPr="00F45A1F">
        <w:rPr>
          <w:rFonts w:ascii="Arial" w:hAnsi="Arial" w:cs="Arial"/>
          <w:bCs/>
        </w:rPr>
        <w:t xml:space="preserve">para o </w:t>
      </w:r>
      <w:r w:rsidRPr="00F45A1F">
        <w:rPr>
          <w:rFonts w:ascii="Arial" w:hAnsi="Arial" w:cs="Arial"/>
          <w:bCs/>
        </w:rPr>
        <w:t>combustível nuclear usado, mas o período para o ajuste a valor presente é o início do comissionamento até a data do balanço.</w:t>
      </w:r>
    </w:p>
    <w:p w14:paraId="40943584" w14:textId="77777777" w:rsidR="00A31570" w:rsidRPr="00F45A1F" w:rsidRDefault="00A31570" w:rsidP="005144E2">
      <w:pPr>
        <w:widowControl/>
        <w:rPr>
          <w:rFonts w:ascii="Arial" w:hAnsi="Arial" w:cs="Arial"/>
          <w:b/>
        </w:rPr>
      </w:pPr>
    </w:p>
    <w:p w14:paraId="10D5EA10" w14:textId="77777777" w:rsidR="00A31570" w:rsidRPr="00F45A1F" w:rsidRDefault="00A31570" w:rsidP="005144E2">
      <w:pPr>
        <w:widowControl/>
        <w:jc w:val="both"/>
        <w:rPr>
          <w:rFonts w:ascii="Arial" w:hAnsi="Arial" w:cs="Arial"/>
          <w:bCs/>
        </w:rPr>
      </w:pPr>
      <w:r w:rsidRPr="00F45A1F">
        <w:rPr>
          <w:rFonts w:ascii="Arial" w:hAnsi="Arial" w:cs="Arial"/>
          <w:bCs/>
        </w:rPr>
        <w:t xml:space="preserve">A taxa de desconto atual aprovada para o sistema Eletrobras é de </w:t>
      </w:r>
      <w:r w:rsidR="003479F4" w:rsidRPr="00F45A1F">
        <w:rPr>
          <w:rFonts w:ascii="Arial" w:hAnsi="Arial" w:cs="Arial"/>
          <w:bCs/>
        </w:rPr>
        <w:t>4</w:t>
      </w:r>
      <w:r w:rsidR="00A0388A" w:rsidRPr="00F45A1F">
        <w:rPr>
          <w:rFonts w:ascii="Arial" w:hAnsi="Arial" w:cs="Arial"/>
          <w:bCs/>
        </w:rPr>
        <w:t>,3</w:t>
      </w:r>
      <w:r w:rsidR="007122C7" w:rsidRPr="00F45A1F">
        <w:rPr>
          <w:rFonts w:ascii="Arial" w:hAnsi="Arial" w:cs="Arial"/>
          <w:bCs/>
        </w:rPr>
        <w:t>6</w:t>
      </w:r>
      <w:r w:rsidR="000E41C8" w:rsidRPr="00F45A1F">
        <w:rPr>
          <w:rFonts w:ascii="Arial" w:hAnsi="Arial" w:cs="Arial"/>
          <w:bCs/>
        </w:rPr>
        <w:t>%</w:t>
      </w:r>
      <w:r w:rsidRPr="00F45A1F">
        <w:rPr>
          <w:rFonts w:ascii="Arial" w:hAnsi="Arial" w:cs="Arial"/>
          <w:bCs/>
        </w:rPr>
        <w:t xml:space="preserve"> ao ano</w:t>
      </w:r>
      <w:r w:rsidR="00CD2DE9" w:rsidRPr="00F45A1F">
        <w:rPr>
          <w:rFonts w:ascii="Arial" w:hAnsi="Arial" w:cs="Arial"/>
          <w:bCs/>
        </w:rPr>
        <w:t>.</w:t>
      </w:r>
      <w:r w:rsidR="00810670" w:rsidRPr="00F45A1F">
        <w:rPr>
          <w:rFonts w:ascii="Arial" w:hAnsi="Arial" w:cs="Arial"/>
          <w:bCs/>
        </w:rPr>
        <w:t xml:space="preserve"> </w:t>
      </w:r>
    </w:p>
    <w:p w14:paraId="79812ADF" w14:textId="77777777" w:rsidR="00603BF9" w:rsidRPr="00F45A1F" w:rsidRDefault="00603BF9" w:rsidP="005144E2">
      <w:pPr>
        <w:widowControl/>
        <w:jc w:val="both"/>
        <w:rPr>
          <w:rFonts w:ascii="Arial" w:hAnsi="Arial" w:cs="Arial"/>
          <w:bCs/>
        </w:rPr>
      </w:pPr>
    </w:p>
    <w:p w14:paraId="6B569CA7" w14:textId="77777777" w:rsidR="00FD0BDC" w:rsidRPr="00F45A1F" w:rsidRDefault="00603BF9" w:rsidP="005144E2">
      <w:pPr>
        <w:widowControl/>
        <w:jc w:val="both"/>
        <w:rPr>
          <w:rFonts w:ascii="Arial" w:hAnsi="Arial" w:cs="Arial"/>
          <w:bCs/>
        </w:rPr>
      </w:pPr>
      <w:r w:rsidRPr="00F45A1F">
        <w:rPr>
          <w:rFonts w:ascii="Arial" w:hAnsi="Arial" w:cs="Arial"/>
          <w:bCs/>
        </w:rPr>
        <w:t xml:space="preserve">O valor do ajuste a valor presente do </w:t>
      </w:r>
      <w:proofErr w:type="spellStart"/>
      <w:r w:rsidRPr="00F45A1F">
        <w:rPr>
          <w:rFonts w:ascii="Arial" w:hAnsi="Arial" w:cs="Arial"/>
        </w:rPr>
        <w:t>descomissionamento</w:t>
      </w:r>
      <w:proofErr w:type="spellEnd"/>
      <w:r w:rsidRPr="00F45A1F">
        <w:rPr>
          <w:rFonts w:ascii="Arial" w:hAnsi="Arial" w:cs="Arial"/>
        </w:rPr>
        <w:t xml:space="preserve">, </w:t>
      </w:r>
      <w:r w:rsidR="00F81517" w:rsidRPr="00F45A1F">
        <w:rPr>
          <w:rFonts w:ascii="Arial" w:hAnsi="Arial" w:cs="Arial"/>
        </w:rPr>
        <w:t xml:space="preserve">dos </w:t>
      </w:r>
      <w:r w:rsidRPr="00F45A1F">
        <w:rPr>
          <w:rFonts w:ascii="Arial" w:hAnsi="Arial" w:cs="Arial"/>
        </w:rPr>
        <w:t>rejeitos</w:t>
      </w:r>
      <w:r w:rsidR="002A0168" w:rsidRPr="00F45A1F">
        <w:rPr>
          <w:rFonts w:ascii="Arial" w:hAnsi="Arial" w:cs="Arial"/>
        </w:rPr>
        <w:t xml:space="preserve"> de baixa e média atividade</w:t>
      </w:r>
      <w:r w:rsidRPr="00F45A1F">
        <w:rPr>
          <w:rFonts w:ascii="Arial" w:hAnsi="Arial" w:cs="Arial"/>
        </w:rPr>
        <w:t xml:space="preserve"> e combustível nuclear usado</w:t>
      </w:r>
      <w:r w:rsidR="00AE040B" w:rsidRPr="00F45A1F">
        <w:rPr>
          <w:rFonts w:ascii="Arial" w:hAnsi="Arial" w:cs="Arial"/>
        </w:rPr>
        <w:t>,</w:t>
      </w:r>
      <w:r w:rsidRPr="00F45A1F">
        <w:rPr>
          <w:rFonts w:ascii="Arial" w:hAnsi="Arial" w:cs="Arial"/>
          <w:bCs/>
        </w:rPr>
        <w:t xml:space="preserve"> reconhecido no</w:t>
      </w:r>
      <w:r w:rsidR="00DC33B8" w:rsidRPr="00F45A1F">
        <w:rPr>
          <w:rFonts w:ascii="Arial" w:hAnsi="Arial" w:cs="Arial"/>
          <w:bCs/>
        </w:rPr>
        <w:t xml:space="preserve"> </w:t>
      </w:r>
      <w:r w:rsidR="004476E0" w:rsidRPr="00F45A1F">
        <w:rPr>
          <w:rFonts w:ascii="Arial" w:hAnsi="Arial" w:cs="Arial"/>
          <w:bCs/>
        </w:rPr>
        <w:t>resultado</w:t>
      </w:r>
      <w:r w:rsidR="00DC33B8" w:rsidRPr="00F45A1F">
        <w:rPr>
          <w:rFonts w:ascii="Arial" w:hAnsi="Arial" w:cs="Arial"/>
          <w:bCs/>
        </w:rPr>
        <w:t xml:space="preserve"> </w:t>
      </w:r>
      <w:r w:rsidR="00AE040B" w:rsidRPr="00F45A1F">
        <w:rPr>
          <w:rFonts w:ascii="Arial" w:hAnsi="Arial" w:cs="Arial"/>
          <w:bCs/>
        </w:rPr>
        <w:t>em 31 de</w:t>
      </w:r>
      <w:r w:rsidR="00DC33B8" w:rsidRPr="00F45A1F">
        <w:rPr>
          <w:rFonts w:ascii="Arial" w:hAnsi="Arial" w:cs="Arial"/>
          <w:bCs/>
        </w:rPr>
        <w:t xml:space="preserve"> março </w:t>
      </w:r>
      <w:r w:rsidR="00AE040B" w:rsidRPr="00F45A1F">
        <w:rPr>
          <w:rFonts w:ascii="Arial" w:hAnsi="Arial" w:cs="Arial"/>
          <w:bCs/>
        </w:rPr>
        <w:t>de</w:t>
      </w:r>
      <w:r w:rsidR="00F33957" w:rsidRPr="00F45A1F">
        <w:rPr>
          <w:rFonts w:ascii="Arial" w:hAnsi="Arial" w:cs="Arial"/>
          <w:bCs/>
        </w:rPr>
        <w:t xml:space="preserve"> 20</w:t>
      </w:r>
      <w:r w:rsidR="00DC33B8" w:rsidRPr="00F45A1F">
        <w:rPr>
          <w:rFonts w:ascii="Arial" w:hAnsi="Arial" w:cs="Arial"/>
          <w:bCs/>
        </w:rPr>
        <w:t>20</w:t>
      </w:r>
      <w:r w:rsidR="004B138A" w:rsidRPr="00F45A1F">
        <w:rPr>
          <w:rFonts w:ascii="Arial" w:hAnsi="Arial" w:cs="Arial"/>
          <w:bCs/>
        </w:rPr>
        <w:t>,</w:t>
      </w:r>
      <w:r w:rsidRPr="00F45A1F">
        <w:rPr>
          <w:rFonts w:ascii="Arial" w:hAnsi="Arial" w:cs="Arial"/>
          <w:bCs/>
        </w:rPr>
        <w:t xml:space="preserve"> é de R$ </w:t>
      </w:r>
      <w:r w:rsidR="00CD2DE9" w:rsidRPr="00F45A1F">
        <w:rPr>
          <w:rFonts w:ascii="Arial" w:hAnsi="Arial" w:cs="Arial"/>
          <w:bCs/>
        </w:rPr>
        <w:t>33.566</w:t>
      </w:r>
      <w:r w:rsidR="00DC33B8" w:rsidRPr="00F45A1F">
        <w:rPr>
          <w:rFonts w:ascii="Arial" w:hAnsi="Arial" w:cs="Arial"/>
          <w:bCs/>
        </w:rPr>
        <w:t xml:space="preserve"> </w:t>
      </w:r>
      <w:r w:rsidRPr="00F45A1F">
        <w:rPr>
          <w:rFonts w:ascii="Arial" w:hAnsi="Arial" w:cs="Arial"/>
          <w:bCs/>
        </w:rPr>
        <w:t>(</w:t>
      </w:r>
      <w:r w:rsidR="00911EBA" w:rsidRPr="00F45A1F">
        <w:rPr>
          <w:rFonts w:ascii="Arial" w:hAnsi="Arial" w:cs="Arial"/>
          <w:bCs/>
        </w:rPr>
        <w:t xml:space="preserve">R$ </w:t>
      </w:r>
      <w:r w:rsidR="00CD2DE9" w:rsidRPr="00F45A1F">
        <w:rPr>
          <w:rFonts w:ascii="Arial" w:hAnsi="Arial" w:cs="Arial"/>
          <w:bCs/>
        </w:rPr>
        <w:t>37.569</w:t>
      </w:r>
      <w:r w:rsidR="007A636A" w:rsidRPr="00F45A1F">
        <w:rPr>
          <w:rFonts w:ascii="Arial" w:hAnsi="Arial" w:cs="Arial"/>
          <w:bCs/>
        </w:rPr>
        <w:t xml:space="preserve"> </w:t>
      </w:r>
      <w:r w:rsidRPr="00F45A1F">
        <w:rPr>
          <w:rFonts w:ascii="Arial" w:hAnsi="Arial" w:cs="Arial"/>
          <w:bCs/>
        </w:rPr>
        <w:t xml:space="preserve">em </w:t>
      </w:r>
      <w:r w:rsidR="00B04D4E" w:rsidRPr="00F45A1F">
        <w:rPr>
          <w:rFonts w:ascii="Arial" w:hAnsi="Arial" w:cs="Arial"/>
          <w:bCs/>
        </w:rPr>
        <w:t xml:space="preserve">31 de </w:t>
      </w:r>
      <w:r w:rsidR="00CD2DE9" w:rsidRPr="00F45A1F">
        <w:rPr>
          <w:rFonts w:ascii="Arial" w:hAnsi="Arial" w:cs="Arial"/>
          <w:bCs/>
        </w:rPr>
        <w:t>março</w:t>
      </w:r>
      <w:r w:rsidR="00B04D4E" w:rsidRPr="00F45A1F">
        <w:rPr>
          <w:rFonts w:ascii="Arial" w:hAnsi="Arial" w:cs="Arial"/>
          <w:bCs/>
        </w:rPr>
        <w:t xml:space="preserve"> de </w:t>
      </w:r>
      <w:r w:rsidRPr="00F45A1F">
        <w:rPr>
          <w:rFonts w:ascii="Arial" w:hAnsi="Arial" w:cs="Arial"/>
          <w:bCs/>
        </w:rPr>
        <w:t>201</w:t>
      </w:r>
      <w:r w:rsidR="007A636A" w:rsidRPr="00F45A1F">
        <w:rPr>
          <w:rFonts w:ascii="Arial" w:hAnsi="Arial" w:cs="Arial"/>
          <w:bCs/>
        </w:rPr>
        <w:t>9</w:t>
      </w:r>
      <w:r w:rsidRPr="00F45A1F">
        <w:rPr>
          <w:rFonts w:ascii="Arial" w:hAnsi="Arial" w:cs="Arial"/>
          <w:bCs/>
        </w:rPr>
        <w:t>).</w:t>
      </w:r>
    </w:p>
    <w:p w14:paraId="74C4A561" w14:textId="77777777" w:rsidR="00021DF2" w:rsidRPr="00F45A1F" w:rsidRDefault="00021DF2" w:rsidP="005144E2">
      <w:pPr>
        <w:widowControl/>
        <w:jc w:val="both"/>
        <w:rPr>
          <w:rFonts w:ascii="Arial" w:hAnsi="Arial" w:cs="Arial"/>
          <w:bCs/>
        </w:rPr>
      </w:pPr>
    </w:p>
    <w:p w14:paraId="37097E0A" w14:textId="77777777" w:rsidR="00021DF2" w:rsidRPr="00F45A1F" w:rsidRDefault="00021DF2" w:rsidP="005144E2">
      <w:pPr>
        <w:widowControl/>
        <w:jc w:val="both"/>
        <w:rPr>
          <w:rFonts w:ascii="Arial" w:hAnsi="Arial" w:cs="Arial"/>
          <w:bCs/>
          <w:sz w:val="16"/>
          <w:szCs w:val="16"/>
        </w:rPr>
      </w:pPr>
    </w:p>
    <w:p w14:paraId="02350C98" w14:textId="77777777" w:rsidR="00BA75A7" w:rsidRPr="00F45A1F" w:rsidRDefault="00414059" w:rsidP="005144E2">
      <w:pPr>
        <w:widowControl/>
        <w:tabs>
          <w:tab w:val="center" w:pos="426"/>
          <w:tab w:val="right" w:pos="8838"/>
        </w:tabs>
        <w:jc w:val="both"/>
        <w:rPr>
          <w:rFonts w:ascii="Arial" w:hAnsi="Arial" w:cs="Arial"/>
          <w:b/>
        </w:rPr>
      </w:pPr>
      <w:r w:rsidRPr="00F45A1F">
        <w:rPr>
          <w:rFonts w:ascii="Arial" w:hAnsi="Arial" w:cs="Arial"/>
          <w:b/>
        </w:rPr>
        <w:t xml:space="preserve">c) </w:t>
      </w:r>
      <w:r w:rsidR="003F4719" w:rsidRPr="00F45A1F">
        <w:rPr>
          <w:rFonts w:ascii="Arial" w:hAnsi="Arial" w:cs="Arial"/>
          <w:b/>
        </w:rPr>
        <w:t>O quadro abaixo resume a posição dos valores correspondentes ao passivo total de desmobilização de ativos:</w:t>
      </w:r>
    </w:p>
    <w:p w14:paraId="4830D738" w14:textId="77777777" w:rsidR="000738C8" w:rsidRPr="00F45A1F" w:rsidRDefault="000738C8" w:rsidP="005144E2">
      <w:pPr>
        <w:pStyle w:val="PargrafodaLista"/>
        <w:widowControl/>
        <w:tabs>
          <w:tab w:val="center" w:pos="426"/>
          <w:tab w:val="right" w:pos="8838"/>
        </w:tabs>
        <w:ind w:left="0"/>
        <w:jc w:val="both"/>
        <w:rPr>
          <w:rFonts w:ascii="Arial" w:hAnsi="Arial" w:cs="Arial"/>
          <w:b/>
          <w:sz w:val="16"/>
          <w:szCs w:val="16"/>
        </w:rPr>
      </w:pPr>
    </w:p>
    <w:p w14:paraId="14BD5B70" w14:textId="77777777" w:rsidR="00BA75A7" w:rsidRPr="00F45A1F" w:rsidRDefault="004B05F9" w:rsidP="005144E2">
      <w:pPr>
        <w:pStyle w:val="PargrafodaLista"/>
        <w:widowControl/>
        <w:tabs>
          <w:tab w:val="center" w:pos="426"/>
          <w:tab w:val="right" w:pos="8838"/>
        </w:tabs>
        <w:ind w:left="0"/>
        <w:jc w:val="both"/>
        <w:rPr>
          <w:rFonts w:ascii="Arial" w:hAnsi="Arial" w:cs="Arial"/>
          <w:b/>
        </w:rPr>
      </w:pPr>
      <w:r w:rsidRPr="00F45A1F">
        <w:rPr>
          <w:noProof/>
        </w:rPr>
        <w:drawing>
          <wp:inline distT="0" distB="0" distL="0" distR="0" wp14:anchorId="26E3CA12" wp14:editId="0BCBDA00">
            <wp:extent cx="5724525" cy="5419725"/>
            <wp:effectExtent l="0" t="0" r="9525" b="9525"/>
            <wp:docPr id="114" name="Image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24525" cy="5419725"/>
                    </a:xfrm>
                    <a:prstGeom prst="rect">
                      <a:avLst/>
                    </a:prstGeom>
                    <a:noFill/>
                    <a:ln>
                      <a:noFill/>
                    </a:ln>
                  </pic:spPr>
                </pic:pic>
              </a:graphicData>
            </a:graphic>
          </wp:inline>
        </w:drawing>
      </w:r>
    </w:p>
    <w:p w14:paraId="3F6984DF" w14:textId="77777777" w:rsidR="00E74C1B" w:rsidRPr="00F45A1F" w:rsidRDefault="00E74C1B" w:rsidP="005144E2">
      <w:pPr>
        <w:pStyle w:val="PargrafodaLista"/>
        <w:widowControl/>
        <w:tabs>
          <w:tab w:val="center" w:pos="426"/>
          <w:tab w:val="right" w:pos="8838"/>
        </w:tabs>
        <w:ind w:left="0"/>
        <w:jc w:val="both"/>
        <w:rPr>
          <w:rFonts w:ascii="Arial" w:hAnsi="Arial" w:cs="Arial"/>
          <w:b/>
        </w:rPr>
      </w:pPr>
    </w:p>
    <w:p w14:paraId="4E1B26CB" w14:textId="77777777" w:rsidR="00C93BD2" w:rsidRPr="00F45A1F" w:rsidRDefault="00C93BD2" w:rsidP="005144E2">
      <w:pPr>
        <w:pStyle w:val="PargrafodaLista"/>
        <w:widowControl/>
        <w:tabs>
          <w:tab w:val="center" w:pos="426"/>
          <w:tab w:val="right" w:pos="8838"/>
        </w:tabs>
        <w:ind w:left="0"/>
        <w:jc w:val="both"/>
        <w:rPr>
          <w:rFonts w:ascii="Arial" w:hAnsi="Arial" w:cs="Arial"/>
          <w:b/>
        </w:rPr>
      </w:pPr>
    </w:p>
    <w:p w14:paraId="02AC140A" w14:textId="77777777" w:rsidR="001A1541" w:rsidRPr="00F45A1F" w:rsidRDefault="001A1541" w:rsidP="005144E2">
      <w:pPr>
        <w:pStyle w:val="PargrafodaLista"/>
        <w:widowControl/>
        <w:tabs>
          <w:tab w:val="center" w:pos="426"/>
          <w:tab w:val="right" w:pos="8838"/>
        </w:tabs>
        <w:ind w:left="0"/>
        <w:jc w:val="both"/>
        <w:rPr>
          <w:rFonts w:ascii="Arial" w:hAnsi="Arial" w:cs="Arial"/>
          <w:b/>
        </w:rPr>
      </w:pPr>
    </w:p>
    <w:p w14:paraId="1E897264" w14:textId="77777777" w:rsidR="00F16680" w:rsidRPr="00F45A1F" w:rsidRDefault="00F16680" w:rsidP="005144E2">
      <w:pPr>
        <w:pStyle w:val="PargrafodaLista"/>
        <w:widowControl/>
        <w:tabs>
          <w:tab w:val="center" w:pos="426"/>
          <w:tab w:val="right" w:pos="8838"/>
        </w:tabs>
        <w:ind w:left="0"/>
        <w:jc w:val="both"/>
        <w:rPr>
          <w:rFonts w:ascii="Arial" w:hAnsi="Arial" w:cs="Arial"/>
          <w:b/>
        </w:rPr>
      </w:pPr>
    </w:p>
    <w:p w14:paraId="19F626FF" w14:textId="77777777" w:rsidR="00F16680" w:rsidRPr="00F45A1F" w:rsidRDefault="00F16680" w:rsidP="005144E2">
      <w:pPr>
        <w:pStyle w:val="PargrafodaLista"/>
        <w:widowControl/>
        <w:tabs>
          <w:tab w:val="center" w:pos="426"/>
          <w:tab w:val="right" w:pos="8838"/>
        </w:tabs>
        <w:ind w:left="0"/>
        <w:jc w:val="both"/>
        <w:rPr>
          <w:rFonts w:ascii="Arial" w:hAnsi="Arial" w:cs="Arial"/>
          <w:b/>
        </w:rPr>
      </w:pPr>
    </w:p>
    <w:p w14:paraId="1342C5C1" w14:textId="77777777" w:rsidR="00F16680" w:rsidRPr="00F45A1F" w:rsidRDefault="00F16680" w:rsidP="005144E2">
      <w:pPr>
        <w:pStyle w:val="PargrafodaLista"/>
        <w:widowControl/>
        <w:tabs>
          <w:tab w:val="center" w:pos="426"/>
          <w:tab w:val="right" w:pos="8838"/>
        </w:tabs>
        <w:ind w:left="0"/>
        <w:jc w:val="both"/>
        <w:rPr>
          <w:rFonts w:ascii="Arial" w:hAnsi="Arial" w:cs="Arial"/>
          <w:b/>
        </w:rPr>
      </w:pPr>
    </w:p>
    <w:p w14:paraId="03A92AAC" w14:textId="77777777" w:rsidR="00F16680" w:rsidRPr="00F45A1F" w:rsidRDefault="00F16680" w:rsidP="005144E2">
      <w:pPr>
        <w:pStyle w:val="PargrafodaLista"/>
        <w:widowControl/>
        <w:tabs>
          <w:tab w:val="center" w:pos="426"/>
          <w:tab w:val="right" w:pos="8838"/>
        </w:tabs>
        <w:ind w:left="0"/>
        <w:jc w:val="both"/>
        <w:rPr>
          <w:rFonts w:ascii="Arial" w:hAnsi="Arial" w:cs="Arial"/>
          <w:b/>
        </w:rPr>
      </w:pPr>
    </w:p>
    <w:p w14:paraId="0BD6CCBF" w14:textId="77777777" w:rsidR="00F16680" w:rsidRPr="00F45A1F" w:rsidRDefault="00F16680" w:rsidP="005144E2">
      <w:pPr>
        <w:pStyle w:val="PargrafodaLista"/>
        <w:widowControl/>
        <w:tabs>
          <w:tab w:val="center" w:pos="426"/>
          <w:tab w:val="right" w:pos="8838"/>
        </w:tabs>
        <w:ind w:left="0"/>
        <w:jc w:val="both"/>
        <w:rPr>
          <w:rFonts w:ascii="Arial" w:hAnsi="Arial" w:cs="Arial"/>
          <w:b/>
        </w:rPr>
      </w:pPr>
    </w:p>
    <w:p w14:paraId="4A798112" w14:textId="77777777" w:rsidR="00EA757E" w:rsidRPr="00F45A1F" w:rsidRDefault="00EA757E" w:rsidP="005144E2">
      <w:pPr>
        <w:widowControl/>
        <w:jc w:val="both"/>
        <w:rPr>
          <w:rFonts w:ascii="Arial" w:hAnsi="Arial" w:cs="Arial"/>
          <w:b/>
          <w:sz w:val="26"/>
          <w:szCs w:val="26"/>
        </w:rPr>
      </w:pPr>
      <w:r w:rsidRPr="00F45A1F">
        <w:rPr>
          <w:rFonts w:ascii="Arial" w:hAnsi="Arial" w:cs="Arial"/>
          <w:b/>
          <w:sz w:val="26"/>
          <w:szCs w:val="26"/>
        </w:rPr>
        <w:t>NOTA 25 – ADIANTAMENTO PARA FUTURO AUMENTO DE CAPITAL - AFAC</w:t>
      </w:r>
    </w:p>
    <w:p w14:paraId="32596688" w14:textId="77777777" w:rsidR="00EA757E" w:rsidRPr="00F45A1F" w:rsidRDefault="00EA757E" w:rsidP="005144E2">
      <w:pPr>
        <w:widowControl/>
        <w:tabs>
          <w:tab w:val="num" w:pos="360"/>
        </w:tabs>
        <w:jc w:val="both"/>
        <w:rPr>
          <w:rFonts w:ascii="Arial" w:hAnsi="Arial" w:cs="Arial"/>
          <w:b/>
        </w:rPr>
      </w:pPr>
    </w:p>
    <w:p w14:paraId="2ABF44D3" w14:textId="77777777" w:rsidR="001A1541" w:rsidRPr="00F45A1F" w:rsidRDefault="001A1541" w:rsidP="005144E2">
      <w:pPr>
        <w:widowControl/>
        <w:tabs>
          <w:tab w:val="num" w:pos="360"/>
        </w:tabs>
        <w:jc w:val="both"/>
        <w:rPr>
          <w:rFonts w:ascii="Arial" w:hAnsi="Arial" w:cs="Arial"/>
          <w:b/>
        </w:rPr>
      </w:pPr>
    </w:p>
    <w:p w14:paraId="06C02F31" w14:textId="77777777" w:rsidR="009203FA" w:rsidRPr="00F45A1F" w:rsidRDefault="009203FA" w:rsidP="005144E2">
      <w:pPr>
        <w:widowControl/>
        <w:tabs>
          <w:tab w:val="num" w:pos="360"/>
        </w:tabs>
        <w:jc w:val="both"/>
        <w:rPr>
          <w:rFonts w:ascii="Arial" w:hAnsi="Arial" w:cs="Arial"/>
        </w:rPr>
      </w:pPr>
      <w:r w:rsidRPr="00F45A1F">
        <w:rPr>
          <w:rFonts w:ascii="Arial" w:hAnsi="Arial" w:cs="Arial"/>
        </w:rPr>
        <w:t xml:space="preserve">Em </w:t>
      </w:r>
      <w:r w:rsidR="001A1541" w:rsidRPr="00F45A1F">
        <w:rPr>
          <w:rFonts w:ascii="Arial" w:hAnsi="Arial" w:cs="Arial"/>
        </w:rPr>
        <w:t xml:space="preserve">17 de junho de </w:t>
      </w:r>
      <w:r w:rsidRPr="00F45A1F">
        <w:rPr>
          <w:rFonts w:ascii="Arial" w:hAnsi="Arial" w:cs="Arial"/>
        </w:rPr>
        <w:t xml:space="preserve">2019, a Eletrobras aprovou, por meio da Resolução nº RES-412/2019 de sua Diretoria Executiva, e pela Deliberação nº DEL-135/2019, em </w:t>
      </w:r>
      <w:r w:rsidR="001A1541" w:rsidRPr="00F45A1F">
        <w:rPr>
          <w:rFonts w:ascii="Arial" w:hAnsi="Arial" w:cs="Arial"/>
        </w:rPr>
        <w:t xml:space="preserve">27 de junho de </w:t>
      </w:r>
      <w:r w:rsidRPr="00F45A1F">
        <w:rPr>
          <w:rFonts w:ascii="Arial" w:hAnsi="Arial" w:cs="Arial"/>
        </w:rPr>
        <w:t xml:space="preserve">2019, de seu Conselho de Administração, a concessão de recursos à ELETRONUCLEAR sob a forma de Adiantamento para Futuro Aumento de Capital – AFAC no valor de até R$ 500.000, com recursos destinados ao ressarcimento dos gastos já incluídos e para gerenciamento de obrigações referentes ao Empreendimento de Angra 3. </w:t>
      </w:r>
    </w:p>
    <w:p w14:paraId="15DF2ACB" w14:textId="77777777" w:rsidR="00F16680" w:rsidRPr="00F45A1F" w:rsidRDefault="00F16680" w:rsidP="005144E2">
      <w:pPr>
        <w:widowControl/>
        <w:tabs>
          <w:tab w:val="num" w:pos="360"/>
        </w:tabs>
        <w:jc w:val="both"/>
        <w:rPr>
          <w:rFonts w:ascii="Arial" w:hAnsi="Arial" w:cs="Arial"/>
        </w:rPr>
      </w:pPr>
    </w:p>
    <w:p w14:paraId="2D7965DE" w14:textId="77777777" w:rsidR="009203FA" w:rsidRPr="00F45A1F" w:rsidRDefault="009203FA" w:rsidP="005144E2">
      <w:pPr>
        <w:widowControl/>
        <w:tabs>
          <w:tab w:val="num" w:pos="360"/>
        </w:tabs>
        <w:jc w:val="both"/>
        <w:rPr>
          <w:rFonts w:ascii="Arial" w:hAnsi="Arial" w:cs="Arial"/>
        </w:rPr>
      </w:pPr>
      <w:r w:rsidRPr="00F45A1F">
        <w:rPr>
          <w:rFonts w:ascii="Arial" w:hAnsi="Arial" w:cs="Arial"/>
        </w:rPr>
        <w:t xml:space="preserve">O valor do </w:t>
      </w:r>
      <w:r w:rsidR="00C133BB" w:rsidRPr="00F45A1F">
        <w:rPr>
          <w:rFonts w:ascii="Arial" w:hAnsi="Arial" w:cs="Arial"/>
        </w:rPr>
        <w:t>Adiantamento para Futuro Aumento de Capital -</w:t>
      </w:r>
      <w:r w:rsidRPr="00F45A1F">
        <w:rPr>
          <w:rFonts w:ascii="Arial" w:hAnsi="Arial" w:cs="Arial"/>
        </w:rPr>
        <w:t>AFAC será capitalizado, por meio de aumento de capital, após a ELETRONUCLEAR ter cumprido todas as disposições necessárias para a formalização do instrumento. Cabe à ELETRONUCLEAR submeter à Eletrobras, prévia e tempestivamente à Assembleia Geral Extraordinária a ser convocada com a finalidade de aprovar a operação, as condições para o aumento de capital e a concordância da mesma. A ELETRONUCLEAR também deverá obter a manifestação prévia e favorável da Secretaria de Coordenação e Governança das Empresas Estatais</w:t>
      </w:r>
      <w:r w:rsidR="00C133BB" w:rsidRPr="00F45A1F">
        <w:rPr>
          <w:rFonts w:ascii="Arial" w:hAnsi="Arial" w:cs="Arial"/>
        </w:rPr>
        <w:t xml:space="preserve"> -</w:t>
      </w:r>
      <w:r w:rsidRPr="00F45A1F">
        <w:rPr>
          <w:rFonts w:ascii="Arial" w:hAnsi="Arial" w:cs="Arial"/>
        </w:rPr>
        <w:t xml:space="preserve">SEST, da Procuradoria Geral da Fazenda Nacional </w:t>
      </w:r>
      <w:r w:rsidR="00C133BB" w:rsidRPr="00F45A1F">
        <w:rPr>
          <w:rFonts w:ascii="Arial" w:hAnsi="Arial" w:cs="Arial"/>
        </w:rPr>
        <w:t xml:space="preserve">- </w:t>
      </w:r>
      <w:r w:rsidRPr="00F45A1F">
        <w:rPr>
          <w:rFonts w:ascii="Arial" w:hAnsi="Arial" w:cs="Arial"/>
        </w:rPr>
        <w:t>PGFN e do Ministério da Economia, para realização da Assembleia Geral para aprovação do aumento de capital.</w:t>
      </w:r>
      <w:r w:rsidR="008D450B" w:rsidRPr="00F45A1F">
        <w:rPr>
          <w:rFonts w:ascii="Arial" w:hAnsi="Arial" w:cs="Arial"/>
        </w:rPr>
        <w:t xml:space="preserve"> Caso o prazo para efetivação do aumento de capital, com a respectiva capitalização, seja superior ao prazo de um ano, haverá atualização do valor pela taxa SELIC.</w:t>
      </w:r>
    </w:p>
    <w:p w14:paraId="2545D15D" w14:textId="77777777" w:rsidR="009203FA" w:rsidRPr="00F45A1F" w:rsidRDefault="009203FA" w:rsidP="005144E2">
      <w:pPr>
        <w:widowControl/>
        <w:tabs>
          <w:tab w:val="num" w:pos="360"/>
        </w:tabs>
        <w:jc w:val="both"/>
        <w:rPr>
          <w:rFonts w:ascii="Arial" w:hAnsi="Arial" w:cs="Arial"/>
        </w:rPr>
      </w:pPr>
    </w:p>
    <w:p w14:paraId="027D9CDA" w14:textId="77777777" w:rsidR="009203FA" w:rsidRPr="00F45A1F" w:rsidRDefault="009203FA" w:rsidP="005144E2">
      <w:pPr>
        <w:widowControl/>
        <w:tabs>
          <w:tab w:val="num" w:pos="360"/>
        </w:tabs>
        <w:jc w:val="both"/>
        <w:rPr>
          <w:rFonts w:ascii="Arial" w:hAnsi="Arial" w:cs="Arial"/>
          <w:color w:val="000000" w:themeColor="text1"/>
        </w:rPr>
      </w:pPr>
      <w:r w:rsidRPr="00F45A1F">
        <w:rPr>
          <w:rFonts w:ascii="Arial" w:hAnsi="Arial" w:cs="Arial"/>
          <w:color w:val="000000" w:themeColor="text1"/>
        </w:rPr>
        <w:t xml:space="preserve">O AFAC foi formalizado por meio do Contrato nº ECF 3381/19, assinado pelas diretorias da ELETRONUCLEAR e da Eletrobras em </w:t>
      </w:r>
      <w:r w:rsidR="001A1541" w:rsidRPr="00F45A1F">
        <w:rPr>
          <w:rFonts w:ascii="Arial" w:hAnsi="Arial" w:cs="Arial"/>
          <w:color w:val="000000" w:themeColor="text1"/>
        </w:rPr>
        <w:t>31 de julho de 2019</w:t>
      </w:r>
      <w:r w:rsidRPr="00F45A1F">
        <w:rPr>
          <w:rFonts w:ascii="Arial" w:hAnsi="Arial" w:cs="Arial"/>
          <w:color w:val="000000" w:themeColor="text1"/>
        </w:rPr>
        <w:t>.</w:t>
      </w:r>
    </w:p>
    <w:p w14:paraId="27F71649" w14:textId="77777777" w:rsidR="009203FA" w:rsidRPr="00F45A1F" w:rsidRDefault="009203FA" w:rsidP="005144E2">
      <w:pPr>
        <w:widowControl/>
        <w:tabs>
          <w:tab w:val="num" w:pos="360"/>
        </w:tabs>
        <w:jc w:val="both"/>
        <w:rPr>
          <w:rFonts w:ascii="Arial" w:hAnsi="Arial" w:cs="Arial"/>
          <w:color w:val="000000" w:themeColor="text1"/>
        </w:rPr>
      </w:pPr>
    </w:p>
    <w:p w14:paraId="4D1EC61D" w14:textId="77777777" w:rsidR="009203FA" w:rsidRPr="00F45A1F" w:rsidRDefault="009203FA" w:rsidP="005144E2">
      <w:pPr>
        <w:widowControl/>
        <w:tabs>
          <w:tab w:val="num" w:pos="360"/>
        </w:tabs>
        <w:jc w:val="both"/>
        <w:rPr>
          <w:rFonts w:ascii="Arial" w:hAnsi="Arial" w:cs="Arial"/>
          <w:color w:val="000000" w:themeColor="text1"/>
        </w:rPr>
      </w:pPr>
      <w:r w:rsidRPr="00F45A1F">
        <w:rPr>
          <w:rFonts w:ascii="Arial" w:hAnsi="Arial" w:cs="Arial"/>
          <w:color w:val="000000" w:themeColor="text1"/>
        </w:rPr>
        <w:t xml:space="preserve">Em </w:t>
      </w:r>
      <w:r w:rsidR="001A1541" w:rsidRPr="00F45A1F">
        <w:rPr>
          <w:rFonts w:ascii="Arial" w:hAnsi="Arial" w:cs="Arial"/>
          <w:color w:val="000000" w:themeColor="text1"/>
        </w:rPr>
        <w:t xml:space="preserve">01 de Agosto de </w:t>
      </w:r>
      <w:r w:rsidRPr="00F45A1F">
        <w:rPr>
          <w:rFonts w:ascii="Arial" w:hAnsi="Arial" w:cs="Arial"/>
          <w:color w:val="000000" w:themeColor="text1"/>
        </w:rPr>
        <w:t>2019, a Eletrobras efetuou a liberação da primeira parcela, no valor de R$ 250.116, do Contrato nº ECF 3381/19, mediante solicitação de desembolso enviada pela ELETRONUCLEAR.</w:t>
      </w:r>
    </w:p>
    <w:p w14:paraId="30A31DFA" w14:textId="77777777" w:rsidR="009203FA" w:rsidRPr="00F45A1F" w:rsidRDefault="009203FA" w:rsidP="005144E2">
      <w:pPr>
        <w:pStyle w:val="PargrafodaLista"/>
        <w:widowControl/>
        <w:tabs>
          <w:tab w:val="center" w:pos="426"/>
          <w:tab w:val="right" w:pos="8838"/>
        </w:tabs>
        <w:ind w:left="0"/>
        <w:jc w:val="both"/>
        <w:rPr>
          <w:rFonts w:ascii="Arial" w:hAnsi="Arial" w:cs="Arial"/>
          <w:b/>
        </w:rPr>
      </w:pPr>
    </w:p>
    <w:p w14:paraId="7CC1D8AF" w14:textId="77777777" w:rsidR="009203FA" w:rsidRPr="00F45A1F" w:rsidRDefault="009203FA" w:rsidP="005144E2">
      <w:pPr>
        <w:jc w:val="both"/>
        <w:rPr>
          <w:rFonts w:ascii="Arial" w:hAnsi="Arial" w:cs="Arial"/>
          <w:color w:val="000000" w:themeColor="text1"/>
        </w:rPr>
      </w:pPr>
      <w:r w:rsidRPr="00F45A1F">
        <w:rPr>
          <w:rFonts w:ascii="Arial" w:hAnsi="Arial" w:cs="Arial"/>
          <w:color w:val="000000" w:themeColor="text1"/>
        </w:rPr>
        <w:t>Em 29</w:t>
      </w:r>
      <w:r w:rsidR="001A1541" w:rsidRPr="00F45A1F">
        <w:rPr>
          <w:rFonts w:ascii="Arial" w:hAnsi="Arial" w:cs="Arial"/>
          <w:color w:val="000000" w:themeColor="text1"/>
        </w:rPr>
        <w:t xml:space="preserve"> de setembro de </w:t>
      </w:r>
      <w:r w:rsidRPr="00F45A1F">
        <w:rPr>
          <w:rFonts w:ascii="Arial" w:hAnsi="Arial" w:cs="Arial"/>
          <w:color w:val="000000" w:themeColor="text1"/>
        </w:rPr>
        <w:t>2019, a Eletrobras aprovou, por meio da Deliberação nº DEL-207/2019, de seu Conselho de Administração, consubstanciado pela Resolução nº RES-412/2019, de 17</w:t>
      </w:r>
      <w:r w:rsidR="001A1541" w:rsidRPr="00F45A1F">
        <w:rPr>
          <w:rFonts w:ascii="Arial" w:hAnsi="Arial" w:cs="Arial"/>
          <w:color w:val="000000" w:themeColor="text1"/>
        </w:rPr>
        <w:t xml:space="preserve"> de junho de </w:t>
      </w:r>
      <w:r w:rsidRPr="00F45A1F">
        <w:rPr>
          <w:rFonts w:ascii="Arial" w:hAnsi="Arial" w:cs="Arial"/>
          <w:color w:val="000000" w:themeColor="text1"/>
        </w:rPr>
        <w:t>2019, e pela Deliberação nº DEL-135/2019, de 27</w:t>
      </w:r>
      <w:r w:rsidR="001A1541" w:rsidRPr="00F45A1F">
        <w:rPr>
          <w:rFonts w:ascii="Arial" w:hAnsi="Arial" w:cs="Arial"/>
          <w:color w:val="000000" w:themeColor="text1"/>
        </w:rPr>
        <w:t xml:space="preserve"> de junho de </w:t>
      </w:r>
      <w:r w:rsidRPr="00F45A1F">
        <w:rPr>
          <w:rFonts w:ascii="Arial" w:hAnsi="Arial" w:cs="Arial"/>
          <w:color w:val="000000" w:themeColor="text1"/>
        </w:rPr>
        <w:t>2019, a concessão de recursos à ELETRONUCLEAR sob a forma de Adiantamento para Futuro Aumento de Capital – AFAC no valor de até R$ 350.000, com recursos destinados ao ressarcimento dos gastos já incluídos e para gerenciamento de obrigações referentes ao Empreendimento de Angra 3. O valor atualizado do AFAC será capitalizado, por meio de aumento de capital, após a ELETRONUCLEAR ter cumprido todas as disposições necessárias para a formalização do instrumento. A formalizado deste AFAC ocorreu por meio do Contrato nº ECF 3384/19, assinado pelas diretorias da ELETRONUCLEAR e da Eletrobras em 05</w:t>
      </w:r>
      <w:r w:rsidR="001A1541" w:rsidRPr="00F45A1F">
        <w:rPr>
          <w:rFonts w:ascii="Arial" w:hAnsi="Arial" w:cs="Arial"/>
          <w:color w:val="000000" w:themeColor="text1"/>
        </w:rPr>
        <w:t xml:space="preserve"> de dezembro de </w:t>
      </w:r>
      <w:r w:rsidRPr="00F45A1F">
        <w:rPr>
          <w:rFonts w:ascii="Arial" w:hAnsi="Arial" w:cs="Arial"/>
          <w:color w:val="000000" w:themeColor="text1"/>
        </w:rPr>
        <w:t>2019.</w:t>
      </w:r>
    </w:p>
    <w:p w14:paraId="33A29BC0" w14:textId="77777777" w:rsidR="009203FA" w:rsidRPr="00F45A1F" w:rsidRDefault="009203FA" w:rsidP="005144E2">
      <w:pPr>
        <w:widowControl/>
        <w:tabs>
          <w:tab w:val="num" w:pos="360"/>
        </w:tabs>
        <w:jc w:val="both"/>
        <w:rPr>
          <w:rFonts w:ascii="Arial" w:hAnsi="Arial" w:cs="Arial"/>
          <w:color w:val="000000" w:themeColor="text1"/>
        </w:rPr>
      </w:pPr>
    </w:p>
    <w:p w14:paraId="003DD711" w14:textId="77777777" w:rsidR="009203FA" w:rsidRPr="00F45A1F" w:rsidRDefault="009203FA" w:rsidP="005144E2">
      <w:pPr>
        <w:widowControl/>
        <w:tabs>
          <w:tab w:val="num" w:pos="360"/>
        </w:tabs>
        <w:jc w:val="both"/>
        <w:rPr>
          <w:rFonts w:ascii="Arial" w:hAnsi="Arial" w:cs="Arial"/>
        </w:rPr>
      </w:pPr>
      <w:r w:rsidRPr="00F45A1F">
        <w:rPr>
          <w:rFonts w:ascii="Arial" w:hAnsi="Arial" w:cs="Arial"/>
        </w:rPr>
        <w:t>Em 11</w:t>
      </w:r>
      <w:r w:rsidR="001A1541" w:rsidRPr="00F45A1F">
        <w:rPr>
          <w:rFonts w:ascii="Arial" w:hAnsi="Arial" w:cs="Arial"/>
        </w:rPr>
        <w:t xml:space="preserve"> de outubro de </w:t>
      </w:r>
      <w:r w:rsidRPr="00F45A1F">
        <w:rPr>
          <w:rFonts w:ascii="Arial" w:hAnsi="Arial" w:cs="Arial"/>
        </w:rPr>
        <w:t>2019, a Eletrobras efetuou a liberação da segunda parcela, no valor de R$ 180.392, do Contrato nº ECF 3381/19, mediante solicitação de desembolso enviada pela ELETRONUCLEAR.</w:t>
      </w:r>
    </w:p>
    <w:p w14:paraId="5F705122" w14:textId="77777777" w:rsidR="009203FA" w:rsidRPr="00F45A1F" w:rsidRDefault="009203FA" w:rsidP="005144E2">
      <w:pPr>
        <w:widowControl/>
        <w:tabs>
          <w:tab w:val="num" w:pos="360"/>
        </w:tabs>
        <w:jc w:val="both"/>
        <w:rPr>
          <w:rFonts w:ascii="Arial" w:hAnsi="Arial" w:cs="Arial"/>
        </w:rPr>
      </w:pPr>
    </w:p>
    <w:p w14:paraId="72E57AC3" w14:textId="77777777" w:rsidR="009203FA" w:rsidRPr="00F45A1F" w:rsidRDefault="009203FA" w:rsidP="005144E2">
      <w:pPr>
        <w:widowControl/>
        <w:tabs>
          <w:tab w:val="num" w:pos="360"/>
        </w:tabs>
        <w:jc w:val="both"/>
        <w:rPr>
          <w:rFonts w:ascii="Arial" w:hAnsi="Arial" w:cs="Arial"/>
        </w:rPr>
      </w:pPr>
      <w:r w:rsidRPr="00F45A1F">
        <w:rPr>
          <w:rFonts w:ascii="Arial" w:hAnsi="Arial" w:cs="Arial"/>
        </w:rPr>
        <w:t>Em 21</w:t>
      </w:r>
      <w:r w:rsidR="001A1541" w:rsidRPr="00F45A1F">
        <w:rPr>
          <w:rFonts w:ascii="Arial" w:hAnsi="Arial" w:cs="Arial"/>
        </w:rPr>
        <w:t xml:space="preserve"> de novembro de </w:t>
      </w:r>
      <w:r w:rsidRPr="00F45A1F">
        <w:rPr>
          <w:rFonts w:ascii="Arial" w:hAnsi="Arial" w:cs="Arial"/>
        </w:rPr>
        <w:t>2019, a Eletrobras efetuou a liberação da terceira e última parcela, no valor de R$ 69.492, do Contrato nº ECF 3381/19.</w:t>
      </w:r>
    </w:p>
    <w:p w14:paraId="68A38B44" w14:textId="77777777" w:rsidR="009203FA" w:rsidRPr="00F45A1F" w:rsidRDefault="009203FA" w:rsidP="005144E2">
      <w:pPr>
        <w:widowControl/>
        <w:tabs>
          <w:tab w:val="num" w:pos="360"/>
        </w:tabs>
        <w:jc w:val="both"/>
        <w:rPr>
          <w:rFonts w:ascii="Arial" w:hAnsi="Arial" w:cs="Arial"/>
        </w:rPr>
      </w:pPr>
    </w:p>
    <w:p w14:paraId="6522966E" w14:textId="77777777" w:rsidR="009203FA" w:rsidRPr="00F45A1F" w:rsidRDefault="009203FA" w:rsidP="005144E2">
      <w:pPr>
        <w:widowControl/>
        <w:tabs>
          <w:tab w:val="num" w:pos="360"/>
        </w:tabs>
        <w:jc w:val="both"/>
        <w:rPr>
          <w:rFonts w:ascii="Arial" w:hAnsi="Arial" w:cs="Arial"/>
        </w:rPr>
      </w:pPr>
      <w:r w:rsidRPr="00F45A1F">
        <w:rPr>
          <w:rFonts w:ascii="Arial" w:hAnsi="Arial" w:cs="Arial"/>
        </w:rPr>
        <w:t>Em 09</w:t>
      </w:r>
      <w:r w:rsidR="001A1541" w:rsidRPr="00F45A1F">
        <w:rPr>
          <w:rFonts w:ascii="Arial" w:hAnsi="Arial" w:cs="Arial"/>
        </w:rPr>
        <w:t xml:space="preserve"> de dezembro de </w:t>
      </w:r>
      <w:r w:rsidRPr="00F45A1F">
        <w:rPr>
          <w:rFonts w:ascii="Arial" w:hAnsi="Arial" w:cs="Arial"/>
        </w:rPr>
        <w:t>2019, a Eletrobras efetuou a liberação da primeira parcela, no valor de R$ 200.000, do Contrato nº ECF 3384/19, mediante solicitação de desembolso enviada pela ELETRONUCLEAR.</w:t>
      </w:r>
    </w:p>
    <w:p w14:paraId="7AF1D4EC" w14:textId="77777777" w:rsidR="009203FA" w:rsidRPr="00F45A1F" w:rsidRDefault="009203FA" w:rsidP="005144E2">
      <w:pPr>
        <w:pStyle w:val="PargrafodaLista"/>
        <w:widowControl/>
        <w:tabs>
          <w:tab w:val="center" w:pos="426"/>
          <w:tab w:val="right" w:pos="8838"/>
        </w:tabs>
        <w:ind w:left="0"/>
        <w:jc w:val="both"/>
        <w:rPr>
          <w:rFonts w:ascii="Arial" w:hAnsi="Arial" w:cs="Arial"/>
          <w:b/>
        </w:rPr>
      </w:pPr>
    </w:p>
    <w:p w14:paraId="35CCBC7D" w14:textId="77777777" w:rsidR="00070260" w:rsidRPr="00F45A1F" w:rsidRDefault="00070260" w:rsidP="00070260">
      <w:pPr>
        <w:widowControl/>
        <w:tabs>
          <w:tab w:val="num" w:pos="360"/>
        </w:tabs>
        <w:jc w:val="both"/>
        <w:rPr>
          <w:rFonts w:ascii="Arial" w:hAnsi="Arial" w:cs="Arial"/>
          <w:color w:val="000000" w:themeColor="text1"/>
        </w:rPr>
      </w:pPr>
      <w:r w:rsidRPr="00F45A1F">
        <w:rPr>
          <w:rFonts w:ascii="Arial" w:hAnsi="Arial" w:cs="Arial"/>
          <w:color w:val="000000" w:themeColor="text1"/>
        </w:rPr>
        <w:t>Em 07 de fevereiro de 2020, a Eletrobras efetuou a liberação da segunda parcela, no valor de R$ 88.716, do Contrato nº ECF 3384/19, mediante solicitação de desembolso enviada pela ELETRONUCLEAR.</w:t>
      </w:r>
    </w:p>
    <w:p w14:paraId="0A67D198" w14:textId="77777777" w:rsidR="00070260" w:rsidRPr="00F45A1F" w:rsidRDefault="00070260" w:rsidP="00070260">
      <w:pPr>
        <w:rPr>
          <w:color w:val="000000" w:themeColor="text1"/>
        </w:rPr>
      </w:pPr>
    </w:p>
    <w:p w14:paraId="4BE060F3" w14:textId="77777777" w:rsidR="00070260" w:rsidRPr="00F45A1F" w:rsidRDefault="00070260" w:rsidP="00070260">
      <w:pPr>
        <w:widowControl/>
        <w:tabs>
          <w:tab w:val="num" w:pos="360"/>
        </w:tabs>
        <w:jc w:val="both"/>
        <w:rPr>
          <w:rFonts w:ascii="Arial" w:hAnsi="Arial" w:cs="Arial"/>
          <w:color w:val="000000" w:themeColor="text1"/>
        </w:rPr>
      </w:pPr>
      <w:r w:rsidRPr="00F45A1F">
        <w:rPr>
          <w:rFonts w:ascii="Arial" w:hAnsi="Arial" w:cs="Arial"/>
          <w:color w:val="000000" w:themeColor="text1"/>
        </w:rPr>
        <w:t>Em 18 de março de 2020, a Eletrobras efetuou a liberação da terceira parcela, no valor de R$ 10.000, do Contrato nº ECF 3384/19, mediante solicitação de desembolso enviada pela ELETRONUCLEAR.</w:t>
      </w:r>
    </w:p>
    <w:p w14:paraId="79F434F9" w14:textId="77777777" w:rsidR="00070260" w:rsidRPr="00F45A1F" w:rsidRDefault="00070260" w:rsidP="00070260">
      <w:pPr>
        <w:widowControl/>
        <w:tabs>
          <w:tab w:val="num" w:pos="360"/>
        </w:tabs>
        <w:jc w:val="both"/>
        <w:rPr>
          <w:rFonts w:ascii="Arial" w:hAnsi="Arial" w:cs="Arial"/>
          <w:color w:val="000000" w:themeColor="text1"/>
        </w:rPr>
      </w:pPr>
    </w:p>
    <w:p w14:paraId="28A12779" w14:textId="77777777" w:rsidR="00070260" w:rsidRPr="00F45A1F" w:rsidRDefault="00070260" w:rsidP="00070260">
      <w:pPr>
        <w:widowControl/>
        <w:tabs>
          <w:tab w:val="num" w:pos="360"/>
        </w:tabs>
        <w:jc w:val="both"/>
        <w:rPr>
          <w:rFonts w:ascii="Arial" w:hAnsi="Arial" w:cs="Arial"/>
          <w:color w:val="000000" w:themeColor="text1"/>
        </w:rPr>
      </w:pPr>
    </w:p>
    <w:p w14:paraId="49741FE7" w14:textId="77777777" w:rsidR="00070260" w:rsidRPr="00F45A1F" w:rsidRDefault="00070260" w:rsidP="00070260">
      <w:pPr>
        <w:widowControl/>
        <w:tabs>
          <w:tab w:val="num" w:pos="360"/>
        </w:tabs>
        <w:jc w:val="both"/>
        <w:rPr>
          <w:rFonts w:ascii="Arial" w:hAnsi="Arial" w:cs="Arial"/>
          <w:color w:val="000000" w:themeColor="text1"/>
        </w:rPr>
      </w:pPr>
    </w:p>
    <w:p w14:paraId="06F8BDAF" w14:textId="77777777" w:rsidR="00F57768" w:rsidRPr="00F45A1F" w:rsidRDefault="00F57768" w:rsidP="00070260">
      <w:pPr>
        <w:pStyle w:val="PargrafodaLista"/>
        <w:widowControl/>
        <w:tabs>
          <w:tab w:val="center" w:pos="426"/>
          <w:tab w:val="right" w:pos="8838"/>
        </w:tabs>
        <w:ind w:left="0"/>
        <w:jc w:val="both"/>
        <w:rPr>
          <w:rFonts w:ascii="Arial" w:hAnsi="Arial" w:cs="Arial"/>
          <w:b/>
          <w:sz w:val="26"/>
          <w:szCs w:val="26"/>
        </w:rPr>
      </w:pPr>
      <w:r w:rsidRPr="00F45A1F">
        <w:rPr>
          <w:rFonts w:ascii="Arial" w:hAnsi="Arial" w:cs="Arial"/>
          <w:b/>
          <w:sz w:val="26"/>
          <w:szCs w:val="26"/>
        </w:rPr>
        <w:t>NOTA 26 – ARRENDAMENTO MERCANTIL</w:t>
      </w:r>
    </w:p>
    <w:p w14:paraId="0F91911C" w14:textId="77777777" w:rsidR="00F57768" w:rsidRPr="00F45A1F" w:rsidRDefault="00F57768" w:rsidP="005144E2">
      <w:pPr>
        <w:widowControl/>
        <w:jc w:val="both"/>
        <w:rPr>
          <w:rFonts w:ascii="Arial" w:hAnsi="Arial" w:cs="Arial"/>
          <w:b/>
        </w:rPr>
      </w:pPr>
    </w:p>
    <w:p w14:paraId="5E788AEE" w14:textId="77777777" w:rsidR="00F16680" w:rsidRPr="00F45A1F" w:rsidRDefault="00F16680" w:rsidP="005144E2">
      <w:pPr>
        <w:widowControl/>
        <w:jc w:val="both"/>
        <w:rPr>
          <w:rFonts w:ascii="Arial" w:hAnsi="Arial" w:cs="Arial"/>
          <w:b/>
        </w:rPr>
      </w:pPr>
    </w:p>
    <w:p w14:paraId="5176A94C" w14:textId="77777777" w:rsidR="00F57768" w:rsidRPr="00F45A1F" w:rsidRDefault="00F57768" w:rsidP="005144E2">
      <w:pPr>
        <w:jc w:val="both"/>
        <w:rPr>
          <w:rFonts w:ascii="Arial" w:hAnsi="Arial" w:cs="Arial"/>
          <w:b/>
          <w:bCs/>
        </w:rPr>
      </w:pPr>
      <w:r w:rsidRPr="00F45A1F">
        <w:rPr>
          <w:rFonts w:ascii="Arial" w:hAnsi="Arial" w:cs="Arial"/>
          <w:b/>
        </w:rPr>
        <w:t xml:space="preserve">IFRS 16/CPC 06 – </w:t>
      </w:r>
      <w:proofErr w:type="spellStart"/>
      <w:r w:rsidRPr="00F45A1F">
        <w:rPr>
          <w:rFonts w:ascii="Arial" w:hAnsi="Arial" w:cs="Arial"/>
          <w:b/>
          <w:i/>
        </w:rPr>
        <w:t>Leases</w:t>
      </w:r>
      <w:proofErr w:type="spellEnd"/>
      <w:r w:rsidRPr="00F45A1F">
        <w:rPr>
          <w:rFonts w:ascii="Arial" w:hAnsi="Arial" w:cs="Arial"/>
          <w:b/>
        </w:rPr>
        <w:t xml:space="preserve"> (Arrendamentos)</w:t>
      </w:r>
    </w:p>
    <w:p w14:paraId="5049A479" w14:textId="77777777" w:rsidR="00F57768" w:rsidRPr="00F45A1F" w:rsidRDefault="00F57768" w:rsidP="005144E2">
      <w:pPr>
        <w:adjustRightInd w:val="0"/>
        <w:jc w:val="both"/>
        <w:rPr>
          <w:rFonts w:ascii="Arial" w:hAnsi="Arial" w:cs="Arial"/>
        </w:rPr>
      </w:pPr>
    </w:p>
    <w:p w14:paraId="343783F5" w14:textId="77777777" w:rsidR="00F57768" w:rsidRPr="00F45A1F" w:rsidRDefault="00D45F8A" w:rsidP="005144E2">
      <w:pPr>
        <w:adjustRightInd w:val="0"/>
        <w:jc w:val="both"/>
        <w:rPr>
          <w:rFonts w:ascii="Arial" w:hAnsi="Arial" w:cs="Arial"/>
        </w:rPr>
      </w:pPr>
      <w:r w:rsidRPr="00F45A1F">
        <w:rPr>
          <w:rFonts w:ascii="Arial" w:hAnsi="Arial" w:cs="Arial"/>
        </w:rPr>
        <w:t>A adoção inicial do CPC 06(R2)</w:t>
      </w:r>
      <w:r w:rsidR="00F57768" w:rsidRPr="00F45A1F">
        <w:rPr>
          <w:rFonts w:ascii="Arial" w:hAnsi="Arial" w:cs="Arial"/>
        </w:rPr>
        <w:t>/IFRS 16 foi em 01</w:t>
      </w:r>
      <w:r w:rsidR="009C06F5" w:rsidRPr="00F45A1F">
        <w:rPr>
          <w:rFonts w:ascii="Arial" w:hAnsi="Arial" w:cs="Arial"/>
        </w:rPr>
        <w:t xml:space="preserve"> de janeiro de 2019</w:t>
      </w:r>
      <w:r w:rsidR="00F57768" w:rsidRPr="00F45A1F">
        <w:rPr>
          <w:rFonts w:ascii="Arial" w:hAnsi="Arial" w:cs="Arial"/>
        </w:rPr>
        <w:t xml:space="preserve"> numa abordagem retrospectiva modificativa, com uma taxa incremental de 8,82% a.a.</w:t>
      </w:r>
    </w:p>
    <w:p w14:paraId="50CE2B37" w14:textId="77777777" w:rsidR="00F57768" w:rsidRPr="00F45A1F" w:rsidRDefault="00F57768" w:rsidP="005144E2">
      <w:pPr>
        <w:adjustRightInd w:val="0"/>
        <w:jc w:val="both"/>
        <w:rPr>
          <w:rFonts w:ascii="Arial" w:hAnsi="Arial" w:cs="Arial"/>
        </w:rPr>
      </w:pPr>
    </w:p>
    <w:p w14:paraId="105CB553" w14:textId="77777777" w:rsidR="00F57768" w:rsidRPr="00F45A1F" w:rsidRDefault="00F57768" w:rsidP="005144E2">
      <w:pPr>
        <w:adjustRightInd w:val="0"/>
        <w:jc w:val="both"/>
        <w:rPr>
          <w:rFonts w:ascii="Arial" w:hAnsi="Arial" w:cs="Arial"/>
        </w:rPr>
      </w:pPr>
      <w:r w:rsidRPr="00F45A1F">
        <w:rPr>
          <w:rFonts w:ascii="Arial" w:hAnsi="Arial" w:cs="Arial"/>
        </w:rPr>
        <w:t>O quadro abaixo apresenta os saldos contábeis após a adoção da norma:</w:t>
      </w:r>
    </w:p>
    <w:p w14:paraId="4FA4EA8C" w14:textId="77777777" w:rsidR="00F57768" w:rsidRPr="00F45A1F" w:rsidRDefault="00F57768" w:rsidP="005144E2">
      <w:pPr>
        <w:widowControl/>
        <w:jc w:val="both"/>
        <w:rPr>
          <w:rFonts w:ascii="Arial" w:hAnsi="Arial" w:cs="Arial"/>
          <w:b/>
          <w:sz w:val="16"/>
          <w:szCs w:val="16"/>
        </w:rPr>
      </w:pPr>
    </w:p>
    <w:p w14:paraId="3604E6DE" w14:textId="090459B1" w:rsidR="00596A76" w:rsidRDefault="00596A76" w:rsidP="005144E2">
      <w:pPr>
        <w:widowControl/>
        <w:jc w:val="both"/>
        <w:rPr>
          <w:rFonts w:ascii="Arial" w:hAnsi="Arial" w:cs="Arial"/>
          <w:b/>
        </w:rPr>
      </w:pPr>
    </w:p>
    <w:p w14:paraId="527FD8FE" w14:textId="13A741DB" w:rsidR="00596A76" w:rsidRDefault="00596A76" w:rsidP="005144E2">
      <w:pPr>
        <w:widowControl/>
        <w:jc w:val="both"/>
        <w:rPr>
          <w:rFonts w:ascii="Arial" w:hAnsi="Arial" w:cs="Arial"/>
          <w:b/>
        </w:rPr>
      </w:pPr>
      <w:r w:rsidRPr="00596A76">
        <w:rPr>
          <w:noProof/>
        </w:rPr>
        <w:drawing>
          <wp:inline distT="0" distB="0" distL="0" distR="0" wp14:anchorId="1A522032" wp14:editId="1992111D">
            <wp:extent cx="5591175" cy="2247900"/>
            <wp:effectExtent l="0" t="0" r="952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91175" cy="2247900"/>
                    </a:xfrm>
                    <a:prstGeom prst="rect">
                      <a:avLst/>
                    </a:prstGeom>
                    <a:noFill/>
                    <a:ln>
                      <a:noFill/>
                    </a:ln>
                  </pic:spPr>
                </pic:pic>
              </a:graphicData>
            </a:graphic>
          </wp:inline>
        </w:drawing>
      </w:r>
    </w:p>
    <w:p w14:paraId="0DB46B7B" w14:textId="77777777" w:rsidR="00596A76" w:rsidRPr="00F45A1F" w:rsidRDefault="00596A76" w:rsidP="005144E2">
      <w:pPr>
        <w:widowControl/>
        <w:jc w:val="both"/>
        <w:rPr>
          <w:rFonts w:ascii="Arial" w:hAnsi="Arial" w:cs="Arial"/>
          <w:b/>
        </w:rPr>
      </w:pPr>
    </w:p>
    <w:p w14:paraId="5BF099A5" w14:textId="77777777" w:rsidR="00496821" w:rsidRPr="00F45A1F" w:rsidRDefault="00496821" w:rsidP="005144E2">
      <w:pPr>
        <w:widowControl/>
        <w:jc w:val="both"/>
        <w:rPr>
          <w:rFonts w:ascii="Arial" w:hAnsi="Arial" w:cs="Arial"/>
          <w:b/>
          <w:sz w:val="16"/>
          <w:szCs w:val="16"/>
        </w:rPr>
      </w:pPr>
    </w:p>
    <w:p w14:paraId="38433AC4" w14:textId="77777777" w:rsidR="00F57768" w:rsidRPr="00F45A1F" w:rsidRDefault="00F57768" w:rsidP="005144E2">
      <w:pPr>
        <w:widowControl/>
        <w:jc w:val="both"/>
        <w:rPr>
          <w:rFonts w:ascii="Arial" w:hAnsi="Arial" w:cs="Arial"/>
          <w:b/>
        </w:rPr>
      </w:pPr>
      <w:r w:rsidRPr="00F45A1F">
        <w:rPr>
          <w:rFonts w:ascii="Arial" w:hAnsi="Arial" w:cs="Arial"/>
          <w:b/>
        </w:rPr>
        <w:t>Movimentação dos ativos e passivo de arrendamento mercantil – IFRS 16</w:t>
      </w:r>
      <w:r w:rsidR="009C06F5" w:rsidRPr="00F45A1F">
        <w:rPr>
          <w:rFonts w:ascii="Arial" w:hAnsi="Arial" w:cs="Arial"/>
          <w:b/>
        </w:rPr>
        <w:t>:</w:t>
      </w:r>
    </w:p>
    <w:p w14:paraId="0632334B" w14:textId="77777777" w:rsidR="00F57768" w:rsidRPr="00F45A1F" w:rsidRDefault="00F57768" w:rsidP="005144E2">
      <w:pPr>
        <w:widowControl/>
        <w:jc w:val="both"/>
        <w:rPr>
          <w:rFonts w:ascii="Arial" w:hAnsi="Arial" w:cs="Arial"/>
          <w:b/>
          <w:sz w:val="16"/>
          <w:szCs w:val="16"/>
        </w:rPr>
      </w:pPr>
    </w:p>
    <w:p w14:paraId="0950D3BB" w14:textId="7C31CE1F" w:rsidR="00596A76" w:rsidRDefault="00596A76" w:rsidP="005144E2">
      <w:pPr>
        <w:widowControl/>
        <w:jc w:val="both"/>
        <w:rPr>
          <w:rFonts w:ascii="Arial" w:hAnsi="Arial" w:cs="Arial"/>
          <w:b/>
        </w:rPr>
      </w:pPr>
      <w:r w:rsidRPr="00596A76">
        <w:rPr>
          <w:noProof/>
        </w:rPr>
        <w:drawing>
          <wp:inline distT="0" distB="0" distL="0" distR="0" wp14:anchorId="09B2E0BF" wp14:editId="5A6F558C">
            <wp:extent cx="5981700" cy="111442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81700" cy="1114425"/>
                    </a:xfrm>
                    <a:prstGeom prst="rect">
                      <a:avLst/>
                    </a:prstGeom>
                    <a:noFill/>
                    <a:ln>
                      <a:noFill/>
                    </a:ln>
                  </pic:spPr>
                </pic:pic>
              </a:graphicData>
            </a:graphic>
          </wp:inline>
        </w:drawing>
      </w:r>
    </w:p>
    <w:p w14:paraId="7CD77204" w14:textId="77777777" w:rsidR="00596A76" w:rsidRPr="00F45A1F" w:rsidRDefault="00596A76" w:rsidP="005144E2">
      <w:pPr>
        <w:widowControl/>
        <w:jc w:val="both"/>
        <w:rPr>
          <w:rFonts w:ascii="Arial" w:hAnsi="Arial" w:cs="Arial"/>
          <w:b/>
        </w:rPr>
      </w:pPr>
    </w:p>
    <w:p w14:paraId="2EE388B8" w14:textId="3FDCC3B6" w:rsidR="00F16680" w:rsidRPr="00F45A1F" w:rsidRDefault="00596A76" w:rsidP="005144E2">
      <w:pPr>
        <w:pStyle w:val="PargrafodaLista"/>
        <w:widowControl/>
        <w:tabs>
          <w:tab w:val="center" w:pos="426"/>
          <w:tab w:val="right" w:pos="8838"/>
        </w:tabs>
        <w:ind w:left="0"/>
        <w:jc w:val="both"/>
        <w:rPr>
          <w:rFonts w:ascii="Arial" w:hAnsi="Arial" w:cs="Arial"/>
          <w:b/>
        </w:rPr>
      </w:pPr>
      <w:r w:rsidRPr="00596A76">
        <w:rPr>
          <w:noProof/>
        </w:rPr>
        <w:drawing>
          <wp:inline distT="0" distB="0" distL="0" distR="0" wp14:anchorId="2A25AED3" wp14:editId="1878CA11">
            <wp:extent cx="6073140" cy="2067943"/>
            <wp:effectExtent l="0" t="0" r="3810" b="889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73140" cy="2067943"/>
                    </a:xfrm>
                    <a:prstGeom prst="rect">
                      <a:avLst/>
                    </a:prstGeom>
                    <a:noFill/>
                    <a:ln>
                      <a:noFill/>
                    </a:ln>
                  </pic:spPr>
                </pic:pic>
              </a:graphicData>
            </a:graphic>
          </wp:inline>
        </w:drawing>
      </w:r>
    </w:p>
    <w:p w14:paraId="6A00C53F" w14:textId="77777777" w:rsidR="00794D18" w:rsidRPr="00F45A1F" w:rsidRDefault="00794D18" w:rsidP="005144E2">
      <w:pPr>
        <w:pStyle w:val="PargrafodaLista"/>
        <w:widowControl/>
        <w:tabs>
          <w:tab w:val="center" w:pos="426"/>
          <w:tab w:val="right" w:pos="8838"/>
        </w:tabs>
        <w:ind w:left="0"/>
        <w:jc w:val="both"/>
        <w:rPr>
          <w:rFonts w:ascii="Arial" w:hAnsi="Arial" w:cs="Arial"/>
          <w:b/>
        </w:rPr>
      </w:pPr>
    </w:p>
    <w:p w14:paraId="3A9BE9E3" w14:textId="77777777" w:rsidR="00794D18" w:rsidRPr="00F45A1F" w:rsidRDefault="00794D18" w:rsidP="005144E2">
      <w:pPr>
        <w:pStyle w:val="PargrafodaLista"/>
        <w:widowControl/>
        <w:tabs>
          <w:tab w:val="center" w:pos="426"/>
          <w:tab w:val="right" w:pos="8838"/>
        </w:tabs>
        <w:ind w:left="0"/>
        <w:jc w:val="both"/>
        <w:rPr>
          <w:rFonts w:ascii="Arial" w:hAnsi="Arial" w:cs="Arial"/>
          <w:b/>
        </w:rPr>
      </w:pPr>
    </w:p>
    <w:p w14:paraId="0A6887CE" w14:textId="77777777" w:rsidR="00794D18" w:rsidRPr="00F45A1F" w:rsidRDefault="00794D18" w:rsidP="005144E2">
      <w:pPr>
        <w:pStyle w:val="PargrafodaLista"/>
        <w:widowControl/>
        <w:tabs>
          <w:tab w:val="center" w:pos="426"/>
          <w:tab w:val="right" w:pos="8838"/>
        </w:tabs>
        <w:ind w:left="0"/>
        <w:jc w:val="both"/>
        <w:rPr>
          <w:rFonts w:ascii="Arial" w:hAnsi="Arial" w:cs="Arial"/>
          <w:b/>
        </w:rPr>
      </w:pPr>
    </w:p>
    <w:p w14:paraId="672E913F" w14:textId="77777777" w:rsidR="00794D18" w:rsidRPr="00F45A1F" w:rsidRDefault="00794D18" w:rsidP="005144E2">
      <w:pPr>
        <w:pStyle w:val="PargrafodaLista"/>
        <w:widowControl/>
        <w:tabs>
          <w:tab w:val="center" w:pos="426"/>
          <w:tab w:val="right" w:pos="8838"/>
        </w:tabs>
        <w:ind w:left="0"/>
        <w:jc w:val="both"/>
        <w:rPr>
          <w:rFonts w:ascii="Arial" w:hAnsi="Arial" w:cs="Arial"/>
          <w:b/>
        </w:rPr>
      </w:pPr>
    </w:p>
    <w:p w14:paraId="00870C8F" w14:textId="77777777" w:rsidR="00794D18" w:rsidRPr="00F45A1F" w:rsidRDefault="00794D18" w:rsidP="005144E2">
      <w:pPr>
        <w:pStyle w:val="PargrafodaLista"/>
        <w:widowControl/>
        <w:tabs>
          <w:tab w:val="center" w:pos="426"/>
          <w:tab w:val="right" w:pos="8838"/>
        </w:tabs>
        <w:ind w:left="0"/>
        <w:jc w:val="both"/>
        <w:rPr>
          <w:rFonts w:ascii="Arial" w:hAnsi="Arial" w:cs="Arial"/>
          <w:b/>
        </w:rPr>
      </w:pPr>
    </w:p>
    <w:p w14:paraId="57F9884A" w14:textId="77777777" w:rsidR="00794D18" w:rsidRPr="00F45A1F" w:rsidRDefault="00794D18" w:rsidP="005144E2">
      <w:pPr>
        <w:pStyle w:val="PargrafodaLista"/>
        <w:widowControl/>
        <w:tabs>
          <w:tab w:val="center" w:pos="426"/>
          <w:tab w:val="right" w:pos="8838"/>
        </w:tabs>
        <w:ind w:left="0"/>
        <w:jc w:val="both"/>
        <w:rPr>
          <w:rFonts w:ascii="Arial" w:hAnsi="Arial" w:cs="Arial"/>
          <w:b/>
        </w:rPr>
      </w:pPr>
    </w:p>
    <w:p w14:paraId="1AEE5D85" w14:textId="77777777" w:rsidR="00794D18" w:rsidRPr="00F45A1F" w:rsidRDefault="00794D18" w:rsidP="005144E2">
      <w:pPr>
        <w:pStyle w:val="PargrafodaLista"/>
        <w:widowControl/>
        <w:tabs>
          <w:tab w:val="center" w:pos="426"/>
          <w:tab w:val="right" w:pos="8838"/>
        </w:tabs>
        <w:ind w:left="0"/>
        <w:jc w:val="both"/>
        <w:rPr>
          <w:rFonts w:ascii="Arial" w:hAnsi="Arial" w:cs="Arial"/>
          <w:b/>
        </w:rPr>
      </w:pPr>
    </w:p>
    <w:p w14:paraId="45868611" w14:textId="77777777" w:rsidR="00794D18" w:rsidRPr="00F45A1F" w:rsidRDefault="00794D18" w:rsidP="005144E2">
      <w:pPr>
        <w:pStyle w:val="PargrafodaLista"/>
        <w:widowControl/>
        <w:tabs>
          <w:tab w:val="center" w:pos="426"/>
          <w:tab w:val="right" w:pos="8838"/>
        </w:tabs>
        <w:ind w:left="0"/>
        <w:jc w:val="both"/>
        <w:rPr>
          <w:rFonts w:ascii="Arial" w:hAnsi="Arial" w:cs="Arial"/>
          <w:b/>
        </w:rPr>
      </w:pPr>
    </w:p>
    <w:p w14:paraId="54D21058" w14:textId="77777777" w:rsidR="00794D18" w:rsidRDefault="00794D18" w:rsidP="005144E2">
      <w:pPr>
        <w:pStyle w:val="PargrafodaLista"/>
        <w:widowControl/>
        <w:tabs>
          <w:tab w:val="center" w:pos="426"/>
          <w:tab w:val="right" w:pos="8838"/>
        </w:tabs>
        <w:ind w:left="0"/>
        <w:jc w:val="both"/>
        <w:rPr>
          <w:rFonts w:ascii="Arial" w:hAnsi="Arial" w:cs="Arial"/>
          <w:b/>
        </w:rPr>
      </w:pPr>
    </w:p>
    <w:p w14:paraId="668FFED5" w14:textId="77777777" w:rsidR="0091559B" w:rsidRDefault="0091559B" w:rsidP="005144E2">
      <w:pPr>
        <w:pStyle w:val="PargrafodaLista"/>
        <w:widowControl/>
        <w:tabs>
          <w:tab w:val="center" w:pos="426"/>
          <w:tab w:val="right" w:pos="8838"/>
        </w:tabs>
        <w:ind w:left="0"/>
        <w:jc w:val="both"/>
        <w:rPr>
          <w:rFonts w:ascii="Arial" w:hAnsi="Arial" w:cs="Arial"/>
          <w:b/>
        </w:rPr>
      </w:pPr>
    </w:p>
    <w:p w14:paraId="3D301350" w14:textId="77777777" w:rsidR="0091559B" w:rsidRDefault="0091559B" w:rsidP="005144E2">
      <w:pPr>
        <w:pStyle w:val="PargrafodaLista"/>
        <w:widowControl/>
        <w:tabs>
          <w:tab w:val="center" w:pos="426"/>
          <w:tab w:val="right" w:pos="8838"/>
        </w:tabs>
        <w:ind w:left="0"/>
        <w:jc w:val="both"/>
        <w:rPr>
          <w:rFonts w:ascii="Arial" w:hAnsi="Arial" w:cs="Arial"/>
          <w:b/>
        </w:rPr>
      </w:pPr>
    </w:p>
    <w:p w14:paraId="7861A70C" w14:textId="77777777" w:rsidR="0091559B" w:rsidRDefault="0091559B" w:rsidP="005144E2">
      <w:pPr>
        <w:pStyle w:val="PargrafodaLista"/>
        <w:widowControl/>
        <w:tabs>
          <w:tab w:val="center" w:pos="426"/>
          <w:tab w:val="right" w:pos="8838"/>
        </w:tabs>
        <w:ind w:left="0"/>
        <w:jc w:val="both"/>
        <w:rPr>
          <w:rFonts w:ascii="Arial" w:hAnsi="Arial" w:cs="Arial"/>
          <w:b/>
        </w:rPr>
      </w:pPr>
    </w:p>
    <w:p w14:paraId="55526009" w14:textId="77777777" w:rsidR="0091559B" w:rsidRDefault="0091559B" w:rsidP="005144E2">
      <w:pPr>
        <w:pStyle w:val="PargrafodaLista"/>
        <w:widowControl/>
        <w:tabs>
          <w:tab w:val="center" w:pos="426"/>
          <w:tab w:val="right" w:pos="8838"/>
        </w:tabs>
        <w:ind w:left="0"/>
        <w:jc w:val="both"/>
        <w:rPr>
          <w:rFonts w:ascii="Arial" w:hAnsi="Arial" w:cs="Arial"/>
          <w:b/>
        </w:rPr>
      </w:pPr>
    </w:p>
    <w:p w14:paraId="543B09AB" w14:textId="77777777" w:rsidR="0091559B" w:rsidRDefault="0091559B" w:rsidP="005144E2">
      <w:pPr>
        <w:pStyle w:val="PargrafodaLista"/>
        <w:widowControl/>
        <w:tabs>
          <w:tab w:val="center" w:pos="426"/>
          <w:tab w:val="right" w:pos="8838"/>
        </w:tabs>
        <w:ind w:left="0"/>
        <w:jc w:val="both"/>
        <w:rPr>
          <w:rFonts w:ascii="Arial" w:hAnsi="Arial" w:cs="Arial"/>
          <w:b/>
        </w:rPr>
      </w:pPr>
    </w:p>
    <w:p w14:paraId="77EEBB23" w14:textId="77777777" w:rsidR="0091559B" w:rsidRDefault="0091559B" w:rsidP="005144E2">
      <w:pPr>
        <w:pStyle w:val="PargrafodaLista"/>
        <w:widowControl/>
        <w:tabs>
          <w:tab w:val="center" w:pos="426"/>
          <w:tab w:val="right" w:pos="8838"/>
        </w:tabs>
        <w:ind w:left="0"/>
        <w:jc w:val="both"/>
        <w:rPr>
          <w:rFonts w:ascii="Arial" w:hAnsi="Arial" w:cs="Arial"/>
          <w:b/>
        </w:rPr>
      </w:pPr>
    </w:p>
    <w:p w14:paraId="1C8E1BA3" w14:textId="77777777" w:rsidR="0091559B" w:rsidRDefault="0091559B" w:rsidP="005144E2">
      <w:pPr>
        <w:pStyle w:val="PargrafodaLista"/>
        <w:widowControl/>
        <w:tabs>
          <w:tab w:val="center" w:pos="426"/>
          <w:tab w:val="right" w:pos="8838"/>
        </w:tabs>
        <w:ind w:left="0"/>
        <w:jc w:val="both"/>
        <w:rPr>
          <w:rFonts w:ascii="Arial" w:hAnsi="Arial" w:cs="Arial"/>
          <w:b/>
        </w:rPr>
      </w:pPr>
    </w:p>
    <w:p w14:paraId="12C701AD" w14:textId="77777777" w:rsidR="0091559B" w:rsidRDefault="0091559B" w:rsidP="005144E2">
      <w:pPr>
        <w:pStyle w:val="PargrafodaLista"/>
        <w:widowControl/>
        <w:tabs>
          <w:tab w:val="center" w:pos="426"/>
          <w:tab w:val="right" w:pos="8838"/>
        </w:tabs>
        <w:ind w:left="0"/>
        <w:jc w:val="both"/>
        <w:rPr>
          <w:rFonts w:ascii="Arial" w:hAnsi="Arial" w:cs="Arial"/>
          <w:b/>
        </w:rPr>
      </w:pPr>
    </w:p>
    <w:p w14:paraId="77980BEE" w14:textId="77777777" w:rsidR="0091559B" w:rsidRDefault="0091559B" w:rsidP="005144E2">
      <w:pPr>
        <w:pStyle w:val="PargrafodaLista"/>
        <w:widowControl/>
        <w:tabs>
          <w:tab w:val="center" w:pos="426"/>
          <w:tab w:val="right" w:pos="8838"/>
        </w:tabs>
        <w:ind w:left="0"/>
        <w:jc w:val="both"/>
        <w:rPr>
          <w:rFonts w:ascii="Arial" w:hAnsi="Arial" w:cs="Arial"/>
          <w:b/>
        </w:rPr>
      </w:pPr>
    </w:p>
    <w:p w14:paraId="1F0EB19C" w14:textId="77777777" w:rsidR="0091559B" w:rsidRDefault="0091559B" w:rsidP="005144E2">
      <w:pPr>
        <w:pStyle w:val="PargrafodaLista"/>
        <w:widowControl/>
        <w:tabs>
          <w:tab w:val="center" w:pos="426"/>
          <w:tab w:val="right" w:pos="8838"/>
        </w:tabs>
        <w:ind w:left="0"/>
        <w:jc w:val="both"/>
        <w:rPr>
          <w:rFonts w:ascii="Arial" w:hAnsi="Arial" w:cs="Arial"/>
          <w:b/>
        </w:rPr>
      </w:pPr>
    </w:p>
    <w:p w14:paraId="11C062CD" w14:textId="77777777" w:rsidR="0091559B" w:rsidRDefault="0091559B" w:rsidP="005144E2">
      <w:pPr>
        <w:pStyle w:val="PargrafodaLista"/>
        <w:widowControl/>
        <w:tabs>
          <w:tab w:val="center" w:pos="426"/>
          <w:tab w:val="right" w:pos="8838"/>
        </w:tabs>
        <w:ind w:left="0"/>
        <w:jc w:val="both"/>
        <w:rPr>
          <w:rFonts w:ascii="Arial" w:hAnsi="Arial" w:cs="Arial"/>
          <w:b/>
        </w:rPr>
      </w:pPr>
    </w:p>
    <w:p w14:paraId="1746ACC5" w14:textId="77777777" w:rsidR="00FE3A41" w:rsidRPr="00F45A1F" w:rsidRDefault="00FE3A41" w:rsidP="005144E2">
      <w:pPr>
        <w:pStyle w:val="PargrafodaLista"/>
        <w:widowControl/>
        <w:tabs>
          <w:tab w:val="center" w:pos="426"/>
          <w:tab w:val="right" w:pos="8838"/>
        </w:tabs>
        <w:ind w:left="0"/>
        <w:jc w:val="both"/>
        <w:rPr>
          <w:rFonts w:ascii="Arial" w:hAnsi="Arial" w:cs="Arial"/>
          <w:b/>
        </w:rPr>
      </w:pPr>
    </w:p>
    <w:p w14:paraId="19C9D577" w14:textId="77777777" w:rsidR="00F16680" w:rsidRPr="00F45A1F" w:rsidRDefault="00F16680" w:rsidP="005144E2">
      <w:pPr>
        <w:pStyle w:val="PargrafodaLista"/>
        <w:widowControl/>
        <w:tabs>
          <w:tab w:val="center" w:pos="426"/>
          <w:tab w:val="right" w:pos="8838"/>
        </w:tabs>
        <w:ind w:left="0"/>
        <w:jc w:val="both"/>
        <w:rPr>
          <w:rFonts w:ascii="Arial" w:hAnsi="Arial" w:cs="Arial"/>
          <w:b/>
        </w:rPr>
      </w:pPr>
    </w:p>
    <w:p w14:paraId="6F0EF35F" w14:textId="77777777" w:rsidR="003F4719" w:rsidRPr="00F45A1F" w:rsidRDefault="003F4719" w:rsidP="005144E2">
      <w:pPr>
        <w:widowControl/>
        <w:jc w:val="both"/>
        <w:rPr>
          <w:rFonts w:ascii="Arial" w:hAnsi="Arial" w:cs="Arial"/>
          <w:b/>
          <w:sz w:val="26"/>
          <w:szCs w:val="26"/>
        </w:rPr>
      </w:pPr>
      <w:r w:rsidRPr="00F45A1F">
        <w:rPr>
          <w:rFonts w:ascii="Arial" w:hAnsi="Arial" w:cs="Arial"/>
          <w:b/>
          <w:sz w:val="26"/>
          <w:szCs w:val="26"/>
        </w:rPr>
        <w:t xml:space="preserve">NOTA </w:t>
      </w:r>
      <w:r w:rsidR="0090774D" w:rsidRPr="00F45A1F">
        <w:rPr>
          <w:rFonts w:ascii="Arial" w:hAnsi="Arial" w:cs="Arial"/>
          <w:b/>
          <w:sz w:val="26"/>
          <w:szCs w:val="26"/>
        </w:rPr>
        <w:t>2</w:t>
      </w:r>
      <w:r w:rsidR="002002A2" w:rsidRPr="00F45A1F">
        <w:rPr>
          <w:rFonts w:ascii="Arial" w:hAnsi="Arial" w:cs="Arial"/>
          <w:b/>
          <w:sz w:val="26"/>
          <w:szCs w:val="26"/>
        </w:rPr>
        <w:t>7</w:t>
      </w:r>
      <w:r w:rsidRPr="00F45A1F">
        <w:rPr>
          <w:rFonts w:ascii="Arial" w:hAnsi="Arial" w:cs="Arial"/>
          <w:b/>
          <w:sz w:val="26"/>
          <w:szCs w:val="26"/>
        </w:rPr>
        <w:t>– PATRIMÔNIO LÍQUIDO</w:t>
      </w:r>
    </w:p>
    <w:p w14:paraId="2B9B65BF" w14:textId="77777777" w:rsidR="00C93BD2" w:rsidRPr="00F45A1F" w:rsidRDefault="00C93BD2" w:rsidP="005144E2">
      <w:pPr>
        <w:keepNext/>
        <w:widowControl/>
        <w:jc w:val="both"/>
        <w:outlineLvl w:val="3"/>
        <w:rPr>
          <w:rFonts w:ascii="Arial" w:hAnsi="Arial" w:cs="Arial"/>
          <w:b/>
        </w:rPr>
      </w:pPr>
    </w:p>
    <w:p w14:paraId="039B08F6" w14:textId="77777777" w:rsidR="00EA6C13" w:rsidRPr="00F45A1F" w:rsidRDefault="00EA6C13" w:rsidP="005144E2">
      <w:pPr>
        <w:keepNext/>
        <w:widowControl/>
        <w:jc w:val="both"/>
        <w:outlineLvl w:val="3"/>
        <w:rPr>
          <w:rFonts w:ascii="Arial" w:hAnsi="Arial" w:cs="Arial"/>
          <w:b/>
        </w:rPr>
      </w:pPr>
    </w:p>
    <w:p w14:paraId="6DB37E29" w14:textId="77777777" w:rsidR="003F4719" w:rsidRPr="00F45A1F" w:rsidRDefault="003F4719" w:rsidP="005144E2">
      <w:pPr>
        <w:keepNext/>
        <w:widowControl/>
        <w:jc w:val="both"/>
        <w:outlineLvl w:val="3"/>
        <w:rPr>
          <w:rFonts w:ascii="Arial" w:hAnsi="Arial" w:cs="Arial"/>
          <w:b/>
        </w:rPr>
      </w:pPr>
      <w:r w:rsidRPr="00F45A1F">
        <w:rPr>
          <w:rFonts w:ascii="Arial" w:hAnsi="Arial" w:cs="Arial"/>
          <w:b/>
        </w:rPr>
        <w:t>Composição acionária</w:t>
      </w:r>
    </w:p>
    <w:p w14:paraId="19FBDEF6" w14:textId="77777777" w:rsidR="002C4F73" w:rsidRPr="00F45A1F" w:rsidRDefault="003D44F9" w:rsidP="005144E2">
      <w:pPr>
        <w:widowControl/>
        <w:jc w:val="both"/>
        <w:rPr>
          <w:rFonts w:ascii="Arial" w:hAnsi="Arial" w:cs="Arial"/>
        </w:rPr>
      </w:pPr>
      <w:r w:rsidRPr="00F45A1F">
        <w:rPr>
          <w:rFonts w:ascii="Arial" w:hAnsi="Arial" w:cs="Arial"/>
        </w:rPr>
        <w:object w:dxaOrig="13252" w:dyaOrig="3218" w14:anchorId="3912EF48">
          <v:shape id="_x0000_i1026" type="#_x0000_t75" style="width:497.25pt;height:123.75pt" o:ole="">
            <v:imagedata r:id="rId58" o:title=""/>
          </v:shape>
          <o:OLEObject Type="Embed" ProgID="Excel.Sheet.8" ShapeID="_x0000_i1026" DrawAspect="Content" ObjectID="_1652110875" r:id="rId59"/>
        </w:object>
      </w:r>
    </w:p>
    <w:p w14:paraId="6EA544C7" w14:textId="77777777" w:rsidR="003F4719" w:rsidRPr="00F45A1F" w:rsidRDefault="003F4719" w:rsidP="005144E2">
      <w:pPr>
        <w:keepNext/>
        <w:widowControl/>
        <w:jc w:val="both"/>
        <w:outlineLvl w:val="3"/>
        <w:rPr>
          <w:rFonts w:ascii="Arial" w:hAnsi="Arial" w:cs="Arial"/>
        </w:rPr>
      </w:pPr>
      <w:r w:rsidRPr="00F45A1F">
        <w:rPr>
          <w:rFonts w:ascii="Arial" w:hAnsi="Arial" w:cs="Arial"/>
        </w:rPr>
        <w:t>Todas as ações são nominativas e sem valor nominal, sendo as ordinárias com direito a voto.</w:t>
      </w:r>
    </w:p>
    <w:p w14:paraId="554C7616" w14:textId="77777777" w:rsidR="003F4719" w:rsidRPr="00F45A1F" w:rsidRDefault="003F4719" w:rsidP="005144E2">
      <w:pPr>
        <w:keepNext/>
        <w:widowControl/>
        <w:jc w:val="both"/>
        <w:outlineLvl w:val="3"/>
        <w:rPr>
          <w:rFonts w:ascii="Arial" w:hAnsi="Arial" w:cs="Arial"/>
        </w:rPr>
      </w:pPr>
    </w:p>
    <w:p w14:paraId="715B0421" w14:textId="77777777" w:rsidR="003F4719" w:rsidRPr="00F45A1F" w:rsidRDefault="003F4719" w:rsidP="005144E2">
      <w:pPr>
        <w:keepNext/>
        <w:widowControl/>
        <w:jc w:val="both"/>
        <w:outlineLvl w:val="3"/>
        <w:rPr>
          <w:rFonts w:ascii="Arial" w:hAnsi="Arial" w:cs="Arial"/>
        </w:rPr>
      </w:pPr>
      <w:r w:rsidRPr="00F45A1F">
        <w:rPr>
          <w:rFonts w:ascii="Arial" w:hAnsi="Arial" w:cs="Arial"/>
        </w:rPr>
        <w:t>As ações preferenciais não se podem converter em ações ordinárias e terão as seguintes preferências ou vantagens, de acordo com o Estatuto da Companhia:</w:t>
      </w:r>
    </w:p>
    <w:p w14:paraId="4BBA5388" w14:textId="77777777" w:rsidR="003F4719" w:rsidRPr="00F45A1F" w:rsidRDefault="003F4719" w:rsidP="005144E2">
      <w:pPr>
        <w:keepNext/>
        <w:widowControl/>
        <w:ind w:left="720"/>
        <w:jc w:val="both"/>
        <w:outlineLvl w:val="3"/>
        <w:rPr>
          <w:rFonts w:ascii="Arial" w:hAnsi="Arial" w:cs="Arial"/>
        </w:rPr>
      </w:pPr>
    </w:p>
    <w:p w14:paraId="462377D3" w14:textId="77777777" w:rsidR="003F4719" w:rsidRPr="00F45A1F" w:rsidRDefault="00CB1682" w:rsidP="005144E2">
      <w:pPr>
        <w:keepNext/>
        <w:widowControl/>
        <w:numPr>
          <w:ilvl w:val="0"/>
          <w:numId w:val="5"/>
        </w:numPr>
        <w:tabs>
          <w:tab w:val="clear" w:pos="720"/>
        </w:tabs>
        <w:ind w:left="180" w:hanging="180"/>
        <w:jc w:val="both"/>
        <w:outlineLvl w:val="3"/>
        <w:rPr>
          <w:rFonts w:ascii="Arial" w:hAnsi="Arial" w:cs="Arial"/>
        </w:rPr>
      </w:pPr>
      <w:r w:rsidRPr="00F45A1F">
        <w:rPr>
          <w:rFonts w:ascii="Arial" w:hAnsi="Arial" w:cs="Arial"/>
        </w:rPr>
        <w:t>P</w:t>
      </w:r>
      <w:r w:rsidR="003F4719" w:rsidRPr="00F45A1F">
        <w:rPr>
          <w:rFonts w:ascii="Arial" w:hAnsi="Arial" w:cs="Arial"/>
        </w:rPr>
        <w:t>rioridade</w:t>
      </w:r>
      <w:r w:rsidR="00EC4CD1" w:rsidRPr="00F45A1F">
        <w:rPr>
          <w:rFonts w:ascii="Arial" w:hAnsi="Arial" w:cs="Arial"/>
        </w:rPr>
        <w:t xml:space="preserve"> </w:t>
      </w:r>
      <w:r w:rsidR="003F4719" w:rsidRPr="00F45A1F">
        <w:rPr>
          <w:rFonts w:ascii="Arial" w:hAnsi="Arial" w:cs="Arial"/>
        </w:rPr>
        <w:t>no reembolso do capital, sem direito a prêmio;</w:t>
      </w:r>
    </w:p>
    <w:p w14:paraId="59B8B750" w14:textId="77777777" w:rsidR="003F4719" w:rsidRPr="00F45A1F" w:rsidRDefault="003F4719" w:rsidP="005144E2">
      <w:pPr>
        <w:keepNext/>
        <w:widowControl/>
        <w:ind w:left="720"/>
        <w:jc w:val="both"/>
        <w:outlineLvl w:val="3"/>
        <w:rPr>
          <w:rFonts w:ascii="Arial" w:hAnsi="Arial" w:cs="Arial"/>
        </w:rPr>
      </w:pPr>
    </w:p>
    <w:p w14:paraId="1E5D53DA" w14:textId="77777777" w:rsidR="003F4719" w:rsidRPr="00F45A1F" w:rsidRDefault="00CB1682" w:rsidP="005144E2">
      <w:pPr>
        <w:keepNext/>
        <w:widowControl/>
        <w:numPr>
          <w:ilvl w:val="0"/>
          <w:numId w:val="5"/>
        </w:numPr>
        <w:tabs>
          <w:tab w:val="clear" w:pos="720"/>
        </w:tabs>
        <w:ind w:left="180" w:hanging="180"/>
        <w:jc w:val="both"/>
        <w:outlineLvl w:val="3"/>
        <w:rPr>
          <w:rFonts w:ascii="Arial" w:hAnsi="Arial" w:cs="Arial"/>
        </w:rPr>
      </w:pPr>
      <w:r w:rsidRPr="00F45A1F">
        <w:rPr>
          <w:rFonts w:ascii="Arial" w:hAnsi="Arial" w:cs="Arial"/>
        </w:rPr>
        <w:t xml:space="preserve">Dividendo </w:t>
      </w:r>
      <w:r w:rsidR="003F4719" w:rsidRPr="00F45A1F">
        <w:rPr>
          <w:rFonts w:ascii="Arial" w:hAnsi="Arial" w:cs="Arial"/>
        </w:rPr>
        <w:t>prioritário, mínimo cumulativo de 10% ao ano, e participação, em igualdade de condições, com as ações ordinárias nos lucros que remanescerem</w:t>
      </w:r>
      <w:r w:rsidR="004B138A" w:rsidRPr="00F45A1F">
        <w:rPr>
          <w:rFonts w:ascii="Arial" w:hAnsi="Arial" w:cs="Arial"/>
        </w:rPr>
        <w:t>,</w:t>
      </w:r>
      <w:r w:rsidR="003F4719" w:rsidRPr="00F45A1F">
        <w:rPr>
          <w:rFonts w:ascii="Arial" w:hAnsi="Arial" w:cs="Arial"/>
        </w:rPr>
        <w:t xml:space="preserve"> depois de pago um dividendo de 12% ao ano às ações ordinárias;</w:t>
      </w:r>
    </w:p>
    <w:p w14:paraId="7D669939" w14:textId="77777777" w:rsidR="003F4719" w:rsidRPr="00F45A1F" w:rsidRDefault="003F4719" w:rsidP="005144E2">
      <w:pPr>
        <w:keepNext/>
        <w:widowControl/>
        <w:ind w:left="720"/>
        <w:jc w:val="both"/>
        <w:outlineLvl w:val="3"/>
        <w:rPr>
          <w:rFonts w:ascii="Arial" w:hAnsi="Arial" w:cs="Arial"/>
        </w:rPr>
      </w:pPr>
    </w:p>
    <w:p w14:paraId="64112766" w14:textId="77777777" w:rsidR="003F4719" w:rsidRPr="00F45A1F" w:rsidRDefault="00CB1682" w:rsidP="005144E2">
      <w:pPr>
        <w:widowControl/>
        <w:numPr>
          <w:ilvl w:val="0"/>
          <w:numId w:val="4"/>
        </w:numPr>
        <w:tabs>
          <w:tab w:val="clear" w:pos="360"/>
        </w:tabs>
        <w:ind w:left="180" w:hanging="180"/>
        <w:jc w:val="both"/>
        <w:rPr>
          <w:rFonts w:ascii="Arial" w:hAnsi="Arial" w:cs="Arial"/>
        </w:rPr>
      </w:pPr>
      <w:r w:rsidRPr="00F45A1F">
        <w:rPr>
          <w:rFonts w:ascii="Arial" w:hAnsi="Arial" w:cs="Arial"/>
        </w:rPr>
        <w:t>D</w:t>
      </w:r>
      <w:r w:rsidR="003F4719" w:rsidRPr="00F45A1F">
        <w:rPr>
          <w:rFonts w:ascii="Arial" w:hAnsi="Arial" w:cs="Arial"/>
        </w:rPr>
        <w:t>ireito</w:t>
      </w:r>
      <w:r w:rsidR="00EC4CD1" w:rsidRPr="00F45A1F">
        <w:rPr>
          <w:rFonts w:ascii="Arial" w:hAnsi="Arial" w:cs="Arial"/>
        </w:rPr>
        <w:t xml:space="preserve"> </w:t>
      </w:r>
      <w:r w:rsidR="003F4719" w:rsidRPr="00F45A1F">
        <w:rPr>
          <w:rFonts w:ascii="Arial" w:hAnsi="Arial" w:cs="Arial"/>
        </w:rPr>
        <w:t>a voto nas deliberações das Assembleias Gerais Extraordinárias sobre a alteração do Estatuto.</w:t>
      </w:r>
    </w:p>
    <w:p w14:paraId="01217276" w14:textId="77777777" w:rsidR="00410174" w:rsidRPr="00F45A1F" w:rsidRDefault="00410174" w:rsidP="005144E2">
      <w:pPr>
        <w:widowControl/>
        <w:jc w:val="both"/>
        <w:rPr>
          <w:rFonts w:ascii="Arial" w:hAnsi="Arial" w:cs="Arial"/>
        </w:rPr>
      </w:pPr>
    </w:p>
    <w:p w14:paraId="7B30DCC0" w14:textId="77777777" w:rsidR="00BA75A7" w:rsidRPr="00F45A1F" w:rsidRDefault="003F4719" w:rsidP="005144E2">
      <w:pPr>
        <w:widowControl/>
        <w:jc w:val="both"/>
        <w:rPr>
          <w:rFonts w:ascii="Arial" w:hAnsi="Arial" w:cs="Arial"/>
        </w:rPr>
      </w:pPr>
      <w:r w:rsidRPr="00F45A1F">
        <w:rPr>
          <w:rFonts w:ascii="Arial" w:hAnsi="Arial" w:cs="Arial"/>
        </w:rPr>
        <w:t>Também, de acordo com o Estatuto, é assegurado aos acionistas um dividendo mínimo obrigatório anual, calculado na base de 25% do lucro líquido ajustado, nos termos da legislação vigente.</w:t>
      </w:r>
    </w:p>
    <w:p w14:paraId="1C91A152" w14:textId="77777777" w:rsidR="001C5CDA" w:rsidRPr="00F45A1F" w:rsidRDefault="001C5CDA" w:rsidP="005144E2">
      <w:pPr>
        <w:widowControl/>
        <w:jc w:val="both"/>
        <w:rPr>
          <w:rFonts w:ascii="Arial" w:hAnsi="Arial" w:cs="Arial"/>
        </w:rPr>
      </w:pPr>
    </w:p>
    <w:p w14:paraId="19E697A4" w14:textId="77777777" w:rsidR="006C01CC" w:rsidRPr="00F45A1F" w:rsidRDefault="006C01CC" w:rsidP="005144E2">
      <w:pPr>
        <w:widowControl/>
        <w:jc w:val="both"/>
        <w:rPr>
          <w:rFonts w:ascii="Arial" w:hAnsi="Arial" w:cs="Arial"/>
        </w:rPr>
      </w:pPr>
    </w:p>
    <w:p w14:paraId="3E5421AE" w14:textId="77777777" w:rsidR="0048267D" w:rsidRPr="00F45A1F" w:rsidRDefault="0048267D" w:rsidP="005144E2">
      <w:pPr>
        <w:widowControl/>
        <w:jc w:val="both"/>
        <w:rPr>
          <w:rFonts w:ascii="Arial" w:hAnsi="Arial" w:cs="Arial"/>
        </w:rPr>
      </w:pPr>
    </w:p>
    <w:p w14:paraId="3C9CE568" w14:textId="77777777" w:rsidR="0048267D" w:rsidRPr="00F45A1F" w:rsidRDefault="0048267D" w:rsidP="005144E2">
      <w:pPr>
        <w:widowControl/>
        <w:jc w:val="both"/>
        <w:rPr>
          <w:rFonts w:ascii="Arial" w:hAnsi="Arial" w:cs="Arial"/>
        </w:rPr>
      </w:pPr>
    </w:p>
    <w:p w14:paraId="6A198E69" w14:textId="77777777" w:rsidR="0048267D" w:rsidRPr="00F45A1F" w:rsidRDefault="0048267D" w:rsidP="005144E2">
      <w:pPr>
        <w:widowControl/>
        <w:jc w:val="both"/>
        <w:rPr>
          <w:rFonts w:ascii="Arial" w:hAnsi="Arial" w:cs="Arial"/>
        </w:rPr>
      </w:pPr>
    </w:p>
    <w:p w14:paraId="717944DB" w14:textId="77777777" w:rsidR="0048267D" w:rsidRPr="00F45A1F" w:rsidRDefault="0048267D" w:rsidP="005144E2">
      <w:pPr>
        <w:widowControl/>
        <w:jc w:val="both"/>
        <w:rPr>
          <w:rFonts w:ascii="Arial" w:hAnsi="Arial" w:cs="Arial"/>
        </w:rPr>
      </w:pPr>
    </w:p>
    <w:p w14:paraId="54538948" w14:textId="77777777" w:rsidR="0048267D" w:rsidRPr="00F45A1F" w:rsidRDefault="0048267D" w:rsidP="005144E2">
      <w:pPr>
        <w:widowControl/>
        <w:jc w:val="both"/>
        <w:rPr>
          <w:rFonts w:ascii="Arial" w:hAnsi="Arial" w:cs="Arial"/>
        </w:rPr>
      </w:pPr>
    </w:p>
    <w:p w14:paraId="23C67596" w14:textId="77777777" w:rsidR="0048267D" w:rsidRPr="00F45A1F" w:rsidRDefault="0048267D" w:rsidP="005144E2">
      <w:pPr>
        <w:widowControl/>
        <w:jc w:val="both"/>
        <w:rPr>
          <w:rFonts w:ascii="Arial" w:hAnsi="Arial" w:cs="Arial"/>
        </w:rPr>
      </w:pPr>
    </w:p>
    <w:p w14:paraId="0F99BA96" w14:textId="77777777" w:rsidR="0048267D" w:rsidRPr="00F45A1F" w:rsidRDefault="0048267D" w:rsidP="005144E2">
      <w:pPr>
        <w:widowControl/>
        <w:jc w:val="both"/>
        <w:rPr>
          <w:rFonts w:ascii="Arial" w:hAnsi="Arial" w:cs="Arial"/>
        </w:rPr>
      </w:pPr>
    </w:p>
    <w:p w14:paraId="1797BDB9" w14:textId="77777777" w:rsidR="0048267D" w:rsidRPr="00F45A1F" w:rsidRDefault="0048267D" w:rsidP="005144E2">
      <w:pPr>
        <w:widowControl/>
        <w:jc w:val="both"/>
        <w:rPr>
          <w:rFonts w:ascii="Arial" w:hAnsi="Arial" w:cs="Arial"/>
        </w:rPr>
      </w:pPr>
    </w:p>
    <w:p w14:paraId="335622A5" w14:textId="77777777" w:rsidR="0048267D" w:rsidRPr="00F45A1F" w:rsidRDefault="0048267D" w:rsidP="005144E2">
      <w:pPr>
        <w:widowControl/>
        <w:jc w:val="both"/>
        <w:rPr>
          <w:rFonts w:ascii="Arial" w:hAnsi="Arial" w:cs="Arial"/>
        </w:rPr>
      </w:pPr>
    </w:p>
    <w:p w14:paraId="0A7BF5E0" w14:textId="77777777" w:rsidR="0048267D" w:rsidRPr="00F45A1F" w:rsidRDefault="0048267D" w:rsidP="005144E2">
      <w:pPr>
        <w:widowControl/>
        <w:jc w:val="both"/>
        <w:rPr>
          <w:rFonts w:ascii="Arial" w:hAnsi="Arial" w:cs="Arial"/>
        </w:rPr>
      </w:pPr>
    </w:p>
    <w:p w14:paraId="5094555C" w14:textId="77777777" w:rsidR="00BA75A7" w:rsidRPr="00F45A1F" w:rsidRDefault="003F4719" w:rsidP="005144E2">
      <w:pPr>
        <w:widowControl/>
        <w:jc w:val="both"/>
        <w:rPr>
          <w:rFonts w:ascii="Arial" w:hAnsi="Arial" w:cs="Arial"/>
          <w:b/>
          <w:sz w:val="26"/>
          <w:szCs w:val="26"/>
        </w:rPr>
      </w:pPr>
      <w:r w:rsidRPr="00F45A1F">
        <w:rPr>
          <w:rFonts w:ascii="Arial" w:hAnsi="Arial" w:cs="Arial"/>
          <w:b/>
          <w:sz w:val="26"/>
          <w:szCs w:val="26"/>
        </w:rPr>
        <w:t>NOTA 2</w:t>
      </w:r>
      <w:r w:rsidR="002002A2" w:rsidRPr="00F45A1F">
        <w:rPr>
          <w:rFonts w:ascii="Arial" w:hAnsi="Arial" w:cs="Arial"/>
          <w:b/>
          <w:sz w:val="26"/>
          <w:szCs w:val="26"/>
        </w:rPr>
        <w:t>8</w:t>
      </w:r>
      <w:r w:rsidRPr="00F45A1F">
        <w:rPr>
          <w:rFonts w:ascii="Arial" w:hAnsi="Arial" w:cs="Arial"/>
          <w:b/>
          <w:sz w:val="26"/>
          <w:szCs w:val="26"/>
        </w:rPr>
        <w:t xml:space="preserve"> – RECEITA OPERACIONAL LÍQUIDA</w:t>
      </w:r>
    </w:p>
    <w:p w14:paraId="659B9318" w14:textId="77777777" w:rsidR="00C93BD2" w:rsidRPr="00F45A1F" w:rsidRDefault="00C93BD2" w:rsidP="005144E2">
      <w:pPr>
        <w:widowControl/>
        <w:jc w:val="both"/>
        <w:rPr>
          <w:rFonts w:ascii="Arial" w:hAnsi="Arial" w:cs="Arial"/>
          <w:b/>
        </w:rPr>
      </w:pPr>
    </w:p>
    <w:p w14:paraId="3507C2D5" w14:textId="77777777" w:rsidR="006B1A97" w:rsidRPr="00F45A1F" w:rsidRDefault="009E531D" w:rsidP="005144E2">
      <w:pPr>
        <w:widowControl/>
        <w:jc w:val="both"/>
        <w:rPr>
          <w:rFonts w:ascii="Arial" w:hAnsi="Arial" w:cs="Arial"/>
          <w:b/>
        </w:rPr>
      </w:pPr>
      <w:r w:rsidRPr="00F45A1F">
        <w:rPr>
          <w:noProof/>
        </w:rPr>
        <w:drawing>
          <wp:inline distT="0" distB="0" distL="0" distR="0" wp14:anchorId="26725E6C" wp14:editId="0C9D10BB">
            <wp:extent cx="5476875" cy="2114550"/>
            <wp:effectExtent l="0" t="0" r="9525" b="0"/>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76875" cy="2114550"/>
                    </a:xfrm>
                    <a:prstGeom prst="rect">
                      <a:avLst/>
                    </a:prstGeom>
                    <a:noFill/>
                    <a:ln>
                      <a:noFill/>
                    </a:ln>
                  </pic:spPr>
                </pic:pic>
              </a:graphicData>
            </a:graphic>
          </wp:inline>
        </w:drawing>
      </w:r>
    </w:p>
    <w:p w14:paraId="05CA310F" w14:textId="77777777" w:rsidR="001C5CDA" w:rsidRPr="00F45A1F" w:rsidRDefault="001C5CDA" w:rsidP="005144E2">
      <w:pPr>
        <w:widowControl/>
        <w:jc w:val="both"/>
        <w:rPr>
          <w:rFonts w:ascii="Arial" w:hAnsi="Arial" w:cs="Arial"/>
          <w:b/>
        </w:rPr>
      </w:pPr>
    </w:p>
    <w:p w14:paraId="38C8D175" w14:textId="77777777" w:rsidR="003F4719" w:rsidRPr="00F45A1F" w:rsidRDefault="003F4719" w:rsidP="005144E2">
      <w:pPr>
        <w:widowControl/>
        <w:jc w:val="both"/>
        <w:rPr>
          <w:rFonts w:ascii="Arial" w:hAnsi="Arial" w:cs="Arial"/>
          <w:b/>
        </w:rPr>
      </w:pPr>
      <w:r w:rsidRPr="00F45A1F">
        <w:rPr>
          <w:rFonts w:ascii="Arial" w:hAnsi="Arial" w:cs="Arial"/>
          <w:b/>
        </w:rPr>
        <w:t>- Suprimento de energia elétrica</w:t>
      </w:r>
    </w:p>
    <w:p w14:paraId="0B185A83" w14:textId="77777777" w:rsidR="003F4719" w:rsidRPr="00F45A1F" w:rsidRDefault="003F4719" w:rsidP="005144E2">
      <w:pPr>
        <w:widowControl/>
        <w:jc w:val="both"/>
        <w:rPr>
          <w:rFonts w:ascii="Arial" w:hAnsi="Arial" w:cs="Arial"/>
          <w:b/>
        </w:rPr>
      </w:pPr>
    </w:p>
    <w:p w14:paraId="4055015F" w14:textId="36593CF6" w:rsidR="003F4719" w:rsidRPr="00F45A1F" w:rsidRDefault="005B5DDF" w:rsidP="005144E2">
      <w:pPr>
        <w:widowControl/>
        <w:jc w:val="both"/>
        <w:rPr>
          <w:rFonts w:ascii="Arial" w:hAnsi="Arial" w:cs="Arial"/>
        </w:rPr>
      </w:pPr>
      <w:r w:rsidRPr="00F45A1F">
        <w:rPr>
          <w:rFonts w:ascii="Arial" w:hAnsi="Arial" w:cs="Arial"/>
        </w:rPr>
        <w:t xml:space="preserve">O suprimento líquido </w:t>
      </w:r>
      <w:r w:rsidR="00782DCE" w:rsidRPr="00F45A1F">
        <w:rPr>
          <w:rFonts w:ascii="Arial" w:hAnsi="Arial" w:cs="Arial"/>
        </w:rPr>
        <w:t>de energia elétrica das U</w:t>
      </w:r>
      <w:r w:rsidR="00E53FAE" w:rsidRPr="00F45A1F">
        <w:rPr>
          <w:rFonts w:ascii="Arial" w:hAnsi="Arial" w:cs="Arial"/>
        </w:rPr>
        <w:t>sinas N</w:t>
      </w:r>
      <w:r w:rsidR="003F4719" w:rsidRPr="00F45A1F">
        <w:rPr>
          <w:rFonts w:ascii="Arial" w:hAnsi="Arial" w:cs="Arial"/>
        </w:rPr>
        <w:t xml:space="preserve">ucleares Angra </w:t>
      </w:r>
      <w:proofErr w:type="gramStart"/>
      <w:r w:rsidR="003F4719" w:rsidRPr="00F45A1F">
        <w:rPr>
          <w:rFonts w:ascii="Arial" w:hAnsi="Arial" w:cs="Arial"/>
        </w:rPr>
        <w:t>1</w:t>
      </w:r>
      <w:proofErr w:type="gramEnd"/>
      <w:r w:rsidR="003F4719" w:rsidRPr="00F45A1F">
        <w:rPr>
          <w:rFonts w:ascii="Arial" w:hAnsi="Arial" w:cs="Arial"/>
        </w:rPr>
        <w:t xml:space="preserve"> e 2 de </w:t>
      </w:r>
      <w:r w:rsidR="00F16680" w:rsidRPr="00F45A1F">
        <w:rPr>
          <w:rFonts w:ascii="Arial" w:hAnsi="Arial" w:cs="Arial"/>
        </w:rPr>
        <w:t xml:space="preserve">3.094.959 </w:t>
      </w:r>
      <w:proofErr w:type="spellStart"/>
      <w:r w:rsidR="003F4719" w:rsidRPr="00F45A1F">
        <w:rPr>
          <w:rFonts w:ascii="Arial" w:hAnsi="Arial" w:cs="Arial"/>
        </w:rPr>
        <w:t>MWh</w:t>
      </w:r>
      <w:proofErr w:type="spellEnd"/>
      <w:r w:rsidR="00911EBA" w:rsidRPr="00F45A1F">
        <w:rPr>
          <w:rFonts w:ascii="Arial" w:hAnsi="Arial" w:cs="Arial"/>
        </w:rPr>
        <w:t xml:space="preserve">* </w:t>
      </w:r>
      <w:r w:rsidR="00F16680" w:rsidRPr="00F45A1F">
        <w:rPr>
          <w:rFonts w:ascii="Arial" w:hAnsi="Arial" w:cs="Arial"/>
        </w:rPr>
        <w:t xml:space="preserve">em março de 2020 </w:t>
      </w:r>
      <w:r w:rsidR="00911EBA" w:rsidRPr="00F45A1F">
        <w:rPr>
          <w:rFonts w:ascii="Arial" w:hAnsi="Arial" w:cs="Arial"/>
        </w:rPr>
        <w:t>(</w:t>
      </w:r>
      <w:r w:rsidR="00F16680" w:rsidRPr="00F45A1F">
        <w:rPr>
          <w:rFonts w:ascii="Arial" w:hAnsi="Arial" w:cs="Arial"/>
        </w:rPr>
        <w:t>3.806.848</w:t>
      </w:r>
      <w:r w:rsidR="00911EBA" w:rsidRPr="00F45A1F">
        <w:rPr>
          <w:rFonts w:ascii="Arial" w:hAnsi="Arial" w:cs="Arial"/>
        </w:rPr>
        <w:t xml:space="preserve"> </w:t>
      </w:r>
      <w:proofErr w:type="spellStart"/>
      <w:r w:rsidR="00911EBA" w:rsidRPr="00F45A1F">
        <w:rPr>
          <w:rFonts w:ascii="Arial" w:hAnsi="Arial" w:cs="Arial"/>
        </w:rPr>
        <w:t>MWh</w:t>
      </w:r>
      <w:proofErr w:type="spellEnd"/>
      <w:r w:rsidR="00911EBA" w:rsidRPr="00F45A1F">
        <w:rPr>
          <w:rFonts w:ascii="Arial" w:hAnsi="Arial" w:cs="Arial"/>
        </w:rPr>
        <w:t xml:space="preserve">* </w:t>
      </w:r>
      <w:r w:rsidR="003F4719" w:rsidRPr="00F45A1F">
        <w:rPr>
          <w:rFonts w:ascii="Arial" w:hAnsi="Arial" w:cs="Arial"/>
        </w:rPr>
        <w:t>em</w:t>
      </w:r>
      <w:r w:rsidR="00CF557B" w:rsidRPr="00F45A1F">
        <w:rPr>
          <w:rFonts w:ascii="Arial" w:hAnsi="Arial" w:cs="Arial"/>
        </w:rPr>
        <w:t xml:space="preserve"> </w:t>
      </w:r>
      <w:r w:rsidR="00F16680" w:rsidRPr="00F45A1F">
        <w:rPr>
          <w:rFonts w:ascii="Arial" w:hAnsi="Arial" w:cs="Arial"/>
        </w:rPr>
        <w:t>março</w:t>
      </w:r>
      <w:r w:rsidR="00967A16" w:rsidRPr="00F45A1F">
        <w:rPr>
          <w:rFonts w:ascii="Arial" w:hAnsi="Arial" w:cs="Arial"/>
        </w:rPr>
        <w:t xml:space="preserve"> </w:t>
      </w:r>
      <w:r w:rsidR="00C34FE4" w:rsidRPr="00F45A1F">
        <w:rPr>
          <w:rFonts w:ascii="Arial" w:hAnsi="Arial" w:cs="Arial"/>
        </w:rPr>
        <w:t>de 201</w:t>
      </w:r>
      <w:r w:rsidR="00CF557B" w:rsidRPr="00F45A1F">
        <w:rPr>
          <w:rFonts w:ascii="Arial" w:hAnsi="Arial" w:cs="Arial"/>
        </w:rPr>
        <w:t>9</w:t>
      </w:r>
      <w:r w:rsidR="003F4719" w:rsidRPr="00F45A1F">
        <w:rPr>
          <w:rFonts w:ascii="Arial" w:hAnsi="Arial" w:cs="Arial"/>
        </w:rPr>
        <w:t>), corr</w:t>
      </w:r>
      <w:r w:rsidR="007F649E" w:rsidRPr="00F45A1F">
        <w:rPr>
          <w:rFonts w:ascii="Arial" w:hAnsi="Arial" w:cs="Arial"/>
        </w:rPr>
        <w:t xml:space="preserve">esponde </w:t>
      </w:r>
      <w:r w:rsidR="00CA4E3D" w:rsidRPr="00F45A1F">
        <w:rPr>
          <w:rFonts w:ascii="Arial" w:hAnsi="Arial" w:cs="Arial"/>
        </w:rPr>
        <w:t>a</w:t>
      </w:r>
      <w:r w:rsidR="00CF557B" w:rsidRPr="00F45A1F">
        <w:rPr>
          <w:rFonts w:ascii="Arial" w:hAnsi="Arial" w:cs="Arial"/>
        </w:rPr>
        <w:t xml:space="preserve"> </w:t>
      </w:r>
      <w:r w:rsidR="00CA4E3D" w:rsidRPr="00F45A1F">
        <w:rPr>
          <w:rFonts w:ascii="Arial" w:hAnsi="Arial" w:cs="Arial"/>
        </w:rPr>
        <w:t xml:space="preserve">uma </w:t>
      </w:r>
      <w:r w:rsidR="007F649E" w:rsidRPr="00F45A1F">
        <w:rPr>
          <w:rFonts w:ascii="Arial" w:hAnsi="Arial" w:cs="Arial"/>
        </w:rPr>
        <w:t xml:space="preserve">receita </w:t>
      </w:r>
      <w:r w:rsidR="003F4719" w:rsidRPr="00F45A1F">
        <w:rPr>
          <w:rFonts w:ascii="Arial" w:hAnsi="Arial" w:cs="Arial"/>
        </w:rPr>
        <w:t xml:space="preserve">de </w:t>
      </w:r>
      <w:r w:rsidR="005016DB" w:rsidRPr="00F45A1F">
        <w:rPr>
          <w:rFonts w:ascii="Arial" w:hAnsi="Arial" w:cs="Arial"/>
        </w:rPr>
        <w:t>R</w:t>
      </w:r>
      <w:r w:rsidR="00D90E85" w:rsidRPr="00F45A1F">
        <w:rPr>
          <w:rFonts w:ascii="Arial" w:hAnsi="Arial" w:cs="Arial"/>
        </w:rPr>
        <w:t>$</w:t>
      </w:r>
      <w:r w:rsidR="00CF557B" w:rsidRPr="00F45A1F">
        <w:rPr>
          <w:rFonts w:ascii="Arial" w:hAnsi="Arial" w:cs="Arial"/>
        </w:rPr>
        <w:t xml:space="preserve"> </w:t>
      </w:r>
      <w:r w:rsidR="00F16680" w:rsidRPr="00F45A1F">
        <w:rPr>
          <w:rFonts w:ascii="Arial" w:hAnsi="Arial" w:cs="Arial"/>
        </w:rPr>
        <w:t>931.611</w:t>
      </w:r>
      <w:r w:rsidR="00820A11" w:rsidRPr="00F45A1F">
        <w:rPr>
          <w:rFonts w:ascii="Arial" w:hAnsi="Arial" w:cs="Arial"/>
        </w:rPr>
        <w:t xml:space="preserve"> </w:t>
      </w:r>
      <w:r w:rsidR="00CF557B" w:rsidRPr="00F45A1F">
        <w:rPr>
          <w:rFonts w:ascii="Arial" w:hAnsi="Arial" w:cs="Arial"/>
        </w:rPr>
        <w:t xml:space="preserve">em 31 de março de 2020 </w:t>
      </w:r>
      <w:r w:rsidR="00F16680" w:rsidRPr="00F45A1F">
        <w:rPr>
          <w:rFonts w:ascii="Arial" w:hAnsi="Arial" w:cs="Arial"/>
        </w:rPr>
        <w:t>(R$ 865.754</w:t>
      </w:r>
      <w:r w:rsidR="009543C1" w:rsidRPr="00F45A1F">
        <w:rPr>
          <w:rFonts w:ascii="Arial" w:hAnsi="Arial" w:cs="Arial"/>
        </w:rPr>
        <w:t xml:space="preserve"> em 31 de </w:t>
      </w:r>
      <w:r w:rsidR="00F16680" w:rsidRPr="00F45A1F">
        <w:rPr>
          <w:rFonts w:ascii="Arial" w:hAnsi="Arial" w:cs="Arial"/>
        </w:rPr>
        <w:t>março</w:t>
      </w:r>
      <w:r w:rsidR="009543C1" w:rsidRPr="00F45A1F">
        <w:rPr>
          <w:rFonts w:ascii="Arial" w:hAnsi="Arial" w:cs="Arial"/>
        </w:rPr>
        <w:t xml:space="preserve"> de 201</w:t>
      </w:r>
      <w:r w:rsidR="00CF557B" w:rsidRPr="00F45A1F">
        <w:rPr>
          <w:rFonts w:ascii="Arial" w:hAnsi="Arial" w:cs="Arial"/>
        </w:rPr>
        <w:t>9</w:t>
      </w:r>
      <w:r w:rsidR="003F4719" w:rsidRPr="00F45A1F">
        <w:rPr>
          <w:rFonts w:ascii="Arial" w:hAnsi="Arial" w:cs="Arial"/>
        </w:rPr>
        <w:t>).</w:t>
      </w:r>
    </w:p>
    <w:p w14:paraId="182272AE" w14:textId="77777777" w:rsidR="00C93BD2" w:rsidRPr="00F45A1F" w:rsidRDefault="00C93BD2" w:rsidP="005144E2">
      <w:pPr>
        <w:widowControl/>
        <w:jc w:val="both"/>
        <w:rPr>
          <w:rFonts w:ascii="Arial" w:hAnsi="Arial" w:cs="Arial"/>
        </w:rPr>
      </w:pPr>
    </w:p>
    <w:p w14:paraId="7C963687" w14:textId="77777777" w:rsidR="003F4719" w:rsidRPr="00F45A1F" w:rsidRDefault="003F4719" w:rsidP="005144E2">
      <w:pPr>
        <w:widowControl/>
        <w:jc w:val="both"/>
        <w:rPr>
          <w:rFonts w:ascii="Arial" w:hAnsi="Arial" w:cs="Arial"/>
          <w:b/>
        </w:rPr>
      </w:pPr>
      <w:r w:rsidRPr="00F45A1F">
        <w:rPr>
          <w:rFonts w:ascii="Arial" w:hAnsi="Arial" w:cs="Arial"/>
          <w:b/>
        </w:rPr>
        <w:t xml:space="preserve">a) Modalidade de comercialização </w:t>
      </w:r>
    </w:p>
    <w:p w14:paraId="29B6D786" w14:textId="77777777" w:rsidR="003F4719" w:rsidRPr="00F45A1F" w:rsidRDefault="003F4719" w:rsidP="005144E2">
      <w:pPr>
        <w:widowControl/>
        <w:jc w:val="both"/>
        <w:rPr>
          <w:rFonts w:ascii="Arial" w:hAnsi="Arial" w:cs="Arial"/>
        </w:rPr>
      </w:pPr>
    </w:p>
    <w:p w14:paraId="6676FA88" w14:textId="77777777" w:rsidR="003F4719" w:rsidRPr="00F45A1F" w:rsidRDefault="003F4719" w:rsidP="005144E2">
      <w:pPr>
        <w:widowControl/>
        <w:jc w:val="both"/>
        <w:rPr>
          <w:rFonts w:ascii="Arial" w:hAnsi="Arial" w:cs="Arial"/>
        </w:rPr>
      </w:pPr>
      <w:r w:rsidRPr="00F45A1F">
        <w:rPr>
          <w:rFonts w:ascii="Arial" w:hAnsi="Arial" w:cs="Arial"/>
        </w:rPr>
        <w:t>Com a regulamentação da A</w:t>
      </w:r>
      <w:r w:rsidR="00904EEC" w:rsidRPr="00F45A1F">
        <w:rPr>
          <w:rFonts w:ascii="Arial" w:hAnsi="Arial" w:cs="Arial"/>
        </w:rPr>
        <w:t>neel</w:t>
      </w:r>
      <w:r w:rsidRPr="00F45A1F">
        <w:rPr>
          <w:rFonts w:ascii="Arial" w:hAnsi="Arial" w:cs="Arial"/>
        </w:rPr>
        <w:t xml:space="preserve"> para o dispositivo do art.11, da Lei 12.111/2009, mediante as edições em 21 de dezembro de 2012, da Resolução Normativa nº 530, da Resolução Homologatória nº 1.405 e da Resolução Homologatória nº 1.407, a partir de 01 de janeiro de 2013, a rec</w:t>
      </w:r>
      <w:r w:rsidR="00C352DB" w:rsidRPr="00F45A1F">
        <w:rPr>
          <w:rFonts w:ascii="Arial" w:hAnsi="Arial" w:cs="Arial"/>
        </w:rPr>
        <w:t>eita decorrente da geração das U</w:t>
      </w:r>
      <w:r w:rsidRPr="00F45A1F">
        <w:rPr>
          <w:rFonts w:ascii="Arial" w:hAnsi="Arial" w:cs="Arial"/>
        </w:rPr>
        <w:t>sinas Angra 1 e 2 passa a ser rateada entre todas as concessionárias, permissionárias ou autorizadas de serviço público de distribuição do Sistema Interligado Nacional – SIN.</w:t>
      </w:r>
    </w:p>
    <w:p w14:paraId="7D761EDA" w14:textId="77777777" w:rsidR="00C93BD2" w:rsidRPr="00F45A1F" w:rsidRDefault="00C93BD2" w:rsidP="005144E2">
      <w:pPr>
        <w:widowControl/>
        <w:jc w:val="both"/>
        <w:rPr>
          <w:rFonts w:ascii="Arial" w:hAnsi="Arial" w:cs="Arial"/>
          <w:b/>
        </w:rPr>
      </w:pPr>
    </w:p>
    <w:p w14:paraId="378A7D2B" w14:textId="77777777" w:rsidR="003F4719" w:rsidRPr="00F45A1F" w:rsidRDefault="007D4E95" w:rsidP="005144E2">
      <w:pPr>
        <w:widowControl/>
        <w:jc w:val="both"/>
        <w:rPr>
          <w:rFonts w:ascii="Arial" w:hAnsi="Arial" w:cs="Arial"/>
          <w:b/>
        </w:rPr>
      </w:pPr>
      <w:r w:rsidRPr="00F45A1F">
        <w:rPr>
          <w:rFonts w:ascii="Arial" w:hAnsi="Arial" w:cs="Arial"/>
          <w:b/>
        </w:rPr>
        <w:t xml:space="preserve">b) </w:t>
      </w:r>
      <w:r w:rsidR="003F4719" w:rsidRPr="00F45A1F">
        <w:rPr>
          <w:rFonts w:ascii="Arial" w:hAnsi="Arial" w:cs="Arial"/>
          <w:b/>
        </w:rPr>
        <w:t xml:space="preserve">Apuração do </w:t>
      </w:r>
      <w:r w:rsidR="00F81517" w:rsidRPr="00F45A1F">
        <w:rPr>
          <w:rFonts w:ascii="Arial" w:hAnsi="Arial" w:cs="Arial"/>
          <w:b/>
        </w:rPr>
        <w:t>PIS/</w:t>
      </w:r>
      <w:r w:rsidR="003F4719" w:rsidRPr="00F45A1F">
        <w:rPr>
          <w:rFonts w:ascii="Arial" w:hAnsi="Arial" w:cs="Arial"/>
          <w:b/>
        </w:rPr>
        <w:t>PASEP e do COFINS</w:t>
      </w:r>
    </w:p>
    <w:p w14:paraId="56F0AAB8" w14:textId="77777777" w:rsidR="003F4719" w:rsidRPr="00F45A1F" w:rsidRDefault="003F4719" w:rsidP="005144E2">
      <w:pPr>
        <w:widowControl/>
        <w:jc w:val="both"/>
        <w:rPr>
          <w:rFonts w:ascii="Arial" w:hAnsi="Arial" w:cs="Arial"/>
        </w:rPr>
      </w:pPr>
    </w:p>
    <w:p w14:paraId="69D23559" w14:textId="77777777" w:rsidR="002002A2" w:rsidRDefault="003F4719" w:rsidP="005144E2">
      <w:pPr>
        <w:widowControl/>
        <w:jc w:val="both"/>
        <w:rPr>
          <w:rFonts w:ascii="Arial" w:hAnsi="Arial" w:cs="Arial"/>
        </w:rPr>
      </w:pPr>
      <w:r w:rsidRPr="00F45A1F">
        <w:rPr>
          <w:rFonts w:ascii="Arial" w:hAnsi="Arial" w:cs="Arial"/>
        </w:rPr>
        <w:t xml:space="preserve">A apuração do </w:t>
      </w:r>
      <w:r w:rsidR="007F436D" w:rsidRPr="00F45A1F">
        <w:rPr>
          <w:rFonts w:ascii="Arial" w:hAnsi="Arial" w:cs="Arial"/>
        </w:rPr>
        <w:t>PIS/</w:t>
      </w:r>
      <w:r w:rsidRPr="00F45A1F">
        <w:rPr>
          <w:rFonts w:ascii="Arial" w:hAnsi="Arial" w:cs="Arial"/>
        </w:rPr>
        <w:t>PASEP e COFINS é feita com base no método não cumulativo utilizando a alíquota de 9,25%</w:t>
      </w:r>
      <w:r w:rsidR="0081692F" w:rsidRPr="00F45A1F">
        <w:rPr>
          <w:rFonts w:ascii="Arial" w:hAnsi="Arial" w:cs="Arial"/>
        </w:rPr>
        <w:t>.</w:t>
      </w:r>
    </w:p>
    <w:p w14:paraId="39E0A434" w14:textId="77777777" w:rsidR="00BF5C15" w:rsidRDefault="00BF5C15" w:rsidP="005144E2">
      <w:pPr>
        <w:widowControl/>
        <w:jc w:val="both"/>
        <w:rPr>
          <w:rFonts w:ascii="Arial" w:hAnsi="Arial" w:cs="Arial"/>
        </w:rPr>
      </w:pPr>
    </w:p>
    <w:p w14:paraId="7A0838BA" w14:textId="77777777" w:rsidR="00BF5C15" w:rsidRDefault="00BF5C15" w:rsidP="005144E2">
      <w:pPr>
        <w:widowControl/>
        <w:jc w:val="both"/>
        <w:rPr>
          <w:rFonts w:ascii="Arial" w:hAnsi="Arial" w:cs="Arial"/>
        </w:rPr>
      </w:pPr>
    </w:p>
    <w:p w14:paraId="28752F9B" w14:textId="77777777" w:rsidR="00BF5C15" w:rsidRDefault="00BF5C15" w:rsidP="005144E2">
      <w:pPr>
        <w:widowControl/>
        <w:jc w:val="both"/>
        <w:rPr>
          <w:rFonts w:ascii="Arial" w:hAnsi="Arial" w:cs="Arial"/>
        </w:rPr>
      </w:pPr>
    </w:p>
    <w:p w14:paraId="32B026D9" w14:textId="77777777" w:rsidR="00BF5C15" w:rsidRDefault="00BF5C15" w:rsidP="005144E2">
      <w:pPr>
        <w:widowControl/>
        <w:jc w:val="both"/>
        <w:rPr>
          <w:rFonts w:ascii="Arial" w:hAnsi="Arial" w:cs="Arial"/>
        </w:rPr>
      </w:pPr>
    </w:p>
    <w:p w14:paraId="2ACF2EFF" w14:textId="77777777" w:rsidR="00BF5C15" w:rsidRDefault="00BF5C15" w:rsidP="005144E2">
      <w:pPr>
        <w:widowControl/>
        <w:jc w:val="both"/>
        <w:rPr>
          <w:rFonts w:ascii="Arial" w:hAnsi="Arial" w:cs="Arial"/>
        </w:rPr>
      </w:pPr>
    </w:p>
    <w:p w14:paraId="694AB025" w14:textId="77777777" w:rsidR="00BF5C15" w:rsidRDefault="00BF5C15" w:rsidP="005144E2">
      <w:pPr>
        <w:widowControl/>
        <w:jc w:val="both"/>
        <w:rPr>
          <w:rFonts w:ascii="Arial" w:hAnsi="Arial" w:cs="Arial"/>
        </w:rPr>
      </w:pPr>
    </w:p>
    <w:p w14:paraId="71546E87" w14:textId="77777777" w:rsidR="00BF5C15" w:rsidRDefault="00BF5C15" w:rsidP="005144E2">
      <w:pPr>
        <w:widowControl/>
        <w:jc w:val="both"/>
        <w:rPr>
          <w:rFonts w:ascii="Arial" w:hAnsi="Arial" w:cs="Arial"/>
        </w:rPr>
      </w:pPr>
    </w:p>
    <w:p w14:paraId="4F21313F" w14:textId="77777777" w:rsidR="00BF5C15" w:rsidRDefault="00BF5C15" w:rsidP="005144E2">
      <w:pPr>
        <w:widowControl/>
        <w:jc w:val="both"/>
        <w:rPr>
          <w:rFonts w:ascii="Arial" w:hAnsi="Arial" w:cs="Arial"/>
        </w:rPr>
      </w:pPr>
    </w:p>
    <w:p w14:paraId="71439A35" w14:textId="77777777" w:rsidR="00BF5C15" w:rsidRPr="00F45A1F" w:rsidRDefault="00BF5C15" w:rsidP="005144E2">
      <w:pPr>
        <w:widowControl/>
        <w:jc w:val="both"/>
        <w:rPr>
          <w:rFonts w:ascii="Arial" w:hAnsi="Arial" w:cs="Arial"/>
        </w:rPr>
      </w:pPr>
    </w:p>
    <w:p w14:paraId="25071662" w14:textId="42A4017A" w:rsidR="008641C1" w:rsidRDefault="008641C1" w:rsidP="005144E2">
      <w:pPr>
        <w:widowControl/>
        <w:jc w:val="both"/>
        <w:rPr>
          <w:rFonts w:ascii="Arial" w:hAnsi="Arial" w:cs="Arial"/>
        </w:rPr>
      </w:pPr>
    </w:p>
    <w:p w14:paraId="1BF26EA4" w14:textId="735E28B4" w:rsidR="00C93BD2" w:rsidRDefault="00C93BD2" w:rsidP="005144E2">
      <w:pPr>
        <w:widowControl/>
        <w:jc w:val="both"/>
        <w:rPr>
          <w:rFonts w:ascii="Arial" w:hAnsi="Arial" w:cs="Arial"/>
          <w:i/>
          <w:sz w:val="16"/>
          <w:szCs w:val="16"/>
        </w:rPr>
      </w:pPr>
      <w:r w:rsidRPr="00F45A1F">
        <w:rPr>
          <w:rFonts w:ascii="Arial" w:hAnsi="Arial" w:cs="Arial"/>
          <w:i/>
          <w:sz w:val="16"/>
          <w:szCs w:val="16"/>
        </w:rPr>
        <w:t xml:space="preserve">*Não </w:t>
      </w:r>
      <w:r w:rsidR="00B55828">
        <w:rPr>
          <w:rFonts w:ascii="Arial" w:hAnsi="Arial" w:cs="Arial"/>
          <w:i/>
          <w:sz w:val="16"/>
          <w:szCs w:val="16"/>
        </w:rPr>
        <w:t>revisado</w:t>
      </w:r>
      <w:r w:rsidRPr="00F45A1F">
        <w:rPr>
          <w:rFonts w:ascii="Arial" w:hAnsi="Arial" w:cs="Arial"/>
          <w:i/>
          <w:sz w:val="16"/>
          <w:szCs w:val="16"/>
        </w:rPr>
        <w:t xml:space="preserve"> pelo auditor independente</w:t>
      </w:r>
    </w:p>
    <w:p w14:paraId="028367CB" w14:textId="77777777" w:rsidR="003F4719" w:rsidRPr="00F45A1F" w:rsidRDefault="003F4719" w:rsidP="005144E2">
      <w:pPr>
        <w:widowControl/>
        <w:jc w:val="both"/>
        <w:rPr>
          <w:rFonts w:ascii="Arial" w:hAnsi="Arial" w:cs="Arial"/>
          <w:b/>
          <w:sz w:val="26"/>
          <w:szCs w:val="26"/>
        </w:rPr>
      </w:pPr>
      <w:r w:rsidRPr="00F45A1F">
        <w:rPr>
          <w:rFonts w:ascii="Arial" w:hAnsi="Arial" w:cs="Arial"/>
          <w:b/>
          <w:sz w:val="26"/>
          <w:szCs w:val="26"/>
        </w:rPr>
        <w:t>NOTA 2</w:t>
      </w:r>
      <w:r w:rsidR="002002A2" w:rsidRPr="00F45A1F">
        <w:rPr>
          <w:rFonts w:ascii="Arial" w:hAnsi="Arial" w:cs="Arial"/>
          <w:b/>
          <w:sz w:val="26"/>
          <w:szCs w:val="26"/>
        </w:rPr>
        <w:t>9</w:t>
      </w:r>
      <w:r w:rsidRPr="00F45A1F">
        <w:rPr>
          <w:rFonts w:ascii="Arial" w:hAnsi="Arial" w:cs="Arial"/>
          <w:b/>
          <w:sz w:val="26"/>
          <w:szCs w:val="26"/>
        </w:rPr>
        <w:t xml:space="preserve"> – CUSTO OPERACIONAL</w:t>
      </w:r>
    </w:p>
    <w:p w14:paraId="327CE1D1" w14:textId="77777777" w:rsidR="008641C1" w:rsidRPr="00F45A1F" w:rsidRDefault="008641C1" w:rsidP="005144E2">
      <w:pPr>
        <w:widowControl/>
        <w:jc w:val="both"/>
        <w:rPr>
          <w:rFonts w:ascii="Arial" w:hAnsi="Arial" w:cs="Arial"/>
          <w:b/>
        </w:rPr>
      </w:pPr>
    </w:p>
    <w:p w14:paraId="5C4AD479" w14:textId="3E201FD8" w:rsidR="00596A76" w:rsidRDefault="00EF4D73" w:rsidP="005144E2">
      <w:pPr>
        <w:widowControl/>
        <w:jc w:val="both"/>
        <w:rPr>
          <w:rFonts w:ascii="Arial" w:hAnsi="Arial" w:cs="Arial"/>
          <w:b/>
        </w:rPr>
      </w:pPr>
      <w:r w:rsidRPr="00EF4D73">
        <w:rPr>
          <w:noProof/>
        </w:rPr>
        <w:drawing>
          <wp:inline distT="0" distB="0" distL="0" distR="0" wp14:anchorId="1E621A4A" wp14:editId="1D5B28BC">
            <wp:extent cx="5962650" cy="445770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62650" cy="4457700"/>
                    </a:xfrm>
                    <a:prstGeom prst="rect">
                      <a:avLst/>
                    </a:prstGeom>
                    <a:noFill/>
                    <a:ln>
                      <a:noFill/>
                    </a:ln>
                  </pic:spPr>
                </pic:pic>
              </a:graphicData>
            </a:graphic>
          </wp:inline>
        </w:drawing>
      </w:r>
      <w:r w:rsidRPr="00EF4D73" w:rsidDel="00EF4D73">
        <w:t xml:space="preserve"> </w:t>
      </w:r>
    </w:p>
    <w:p w14:paraId="4CF5BECF" w14:textId="77777777" w:rsidR="00596A76" w:rsidRPr="00F45A1F" w:rsidRDefault="00596A76" w:rsidP="005144E2">
      <w:pPr>
        <w:widowControl/>
        <w:jc w:val="both"/>
        <w:rPr>
          <w:rFonts w:ascii="Arial" w:hAnsi="Arial" w:cs="Arial"/>
          <w:b/>
        </w:rPr>
      </w:pPr>
    </w:p>
    <w:p w14:paraId="71851E58" w14:textId="2743C870" w:rsidR="00685746" w:rsidRPr="00F45A1F" w:rsidRDefault="007150AE" w:rsidP="005144E2">
      <w:pPr>
        <w:pStyle w:val="PargrafodaLista"/>
        <w:widowControl/>
        <w:numPr>
          <w:ilvl w:val="0"/>
          <w:numId w:val="14"/>
        </w:numPr>
        <w:ind w:left="426" w:hanging="426"/>
        <w:jc w:val="both"/>
        <w:rPr>
          <w:rFonts w:ascii="Arial" w:hAnsi="Arial" w:cs="Arial"/>
        </w:rPr>
      </w:pPr>
      <w:r>
        <w:rPr>
          <w:rFonts w:ascii="Arial" w:hAnsi="Arial" w:cs="Arial"/>
        </w:rPr>
        <w:t>Custo/</w:t>
      </w:r>
      <w:r w:rsidR="00EF4D73">
        <w:rPr>
          <w:rFonts w:ascii="Arial" w:hAnsi="Arial" w:cs="Arial"/>
        </w:rPr>
        <w:t>P</w:t>
      </w:r>
      <w:r w:rsidR="00685746" w:rsidRPr="00F45A1F">
        <w:rPr>
          <w:rFonts w:ascii="Arial" w:hAnsi="Arial" w:cs="Arial"/>
        </w:rPr>
        <w:t>rovisão para plano de incentivo de desligamento</w:t>
      </w:r>
      <w:r w:rsidR="00EF4D73">
        <w:rPr>
          <w:rFonts w:ascii="Arial" w:hAnsi="Arial" w:cs="Arial"/>
        </w:rPr>
        <w:t xml:space="preserve"> (</w:t>
      </w:r>
      <w:r w:rsidR="00EF4D73" w:rsidRPr="00F45A1F">
        <w:rPr>
          <w:rFonts w:ascii="Arial" w:hAnsi="Arial" w:cs="Arial"/>
        </w:rPr>
        <w:t>plano de saúde</w:t>
      </w:r>
      <w:r w:rsidR="00EF4D73">
        <w:rPr>
          <w:rFonts w:ascii="Arial" w:hAnsi="Arial" w:cs="Arial"/>
        </w:rPr>
        <w:t>)</w:t>
      </w:r>
    </w:p>
    <w:p w14:paraId="1AEA0CCF" w14:textId="77777777" w:rsidR="00685746" w:rsidRPr="00F45A1F" w:rsidRDefault="00685746" w:rsidP="005144E2">
      <w:pPr>
        <w:pStyle w:val="PargrafodaLista"/>
        <w:rPr>
          <w:rFonts w:ascii="Arial" w:hAnsi="Arial" w:cs="Arial"/>
        </w:rPr>
      </w:pPr>
    </w:p>
    <w:p w14:paraId="1FFA17F9" w14:textId="03709E21" w:rsidR="00685746" w:rsidRDefault="00EF4D73" w:rsidP="005144E2">
      <w:pPr>
        <w:pStyle w:val="PargrafodaLista"/>
        <w:widowControl/>
        <w:numPr>
          <w:ilvl w:val="0"/>
          <w:numId w:val="14"/>
        </w:numPr>
        <w:ind w:left="426" w:hanging="426"/>
        <w:jc w:val="both"/>
        <w:rPr>
          <w:rFonts w:ascii="Arial" w:hAnsi="Arial" w:cs="Arial"/>
        </w:rPr>
      </w:pPr>
      <w:r>
        <w:rPr>
          <w:rFonts w:ascii="Arial" w:hAnsi="Arial" w:cs="Arial"/>
        </w:rPr>
        <w:t>Custo</w:t>
      </w:r>
      <w:r w:rsidR="007150AE">
        <w:rPr>
          <w:rFonts w:ascii="Arial" w:hAnsi="Arial" w:cs="Arial"/>
        </w:rPr>
        <w:t>/P</w:t>
      </w:r>
      <w:r w:rsidR="007D7C2C" w:rsidRPr="00F45A1F">
        <w:rPr>
          <w:rFonts w:ascii="Arial" w:hAnsi="Arial" w:cs="Arial"/>
        </w:rPr>
        <w:t>rovisão</w:t>
      </w:r>
      <w:r w:rsidR="00685746" w:rsidRPr="00F45A1F">
        <w:rPr>
          <w:rFonts w:ascii="Arial" w:hAnsi="Arial" w:cs="Arial"/>
        </w:rPr>
        <w:t xml:space="preserve"> para </w:t>
      </w:r>
      <w:r w:rsidR="0090774D" w:rsidRPr="00F45A1F">
        <w:rPr>
          <w:rFonts w:ascii="Arial" w:hAnsi="Arial" w:cs="Arial"/>
        </w:rPr>
        <w:t>plano de incentivo de desligamento (</w:t>
      </w:r>
      <w:r w:rsidR="00685746" w:rsidRPr="00F45A1F">
        <w:rPr>
          <w:rFonts w:ascii="Arial" w:hAnsi="Arial" w:cs="Arial"/>
        </w:rPr>
        <w:t>incentivo de desligamento</w:t>
      </w:r>
      <w:r w:rsidR="0090774D" w:rsidRPr="00F45A1F">
        <w:rPr>
          <w:rFonts w:ascii="Arial" w:hAnsi="Arial" w:cs="Arial"/>
        </w:rPr>
        <w:t>)</w:t>
      </w:r>
      <w:r w:rsidR="00D47774" w:rsidRPr="00F45A1F">
        <w:rPr>
          <w:rFonts w:ascii="Arial" w:hAnsi="Arial" w:cs="Arial"/>
        </w:rPr>
        <w:t>.</w:t>
      </w:r>
    </w:p>
    <w:p w14:paraId="4B17F0D0" w14:textId="77777777" w:rsidR="00596A76" w:rsidRPr="00596A76" w:rsidRDefault="00596A76" w:rsidP="00596A76">
      <w:pPr>
        <w:pStyle w:val="PargrafodaLista"/>
        <w:rPr>
          <w:rFonts w:ascii="Arial" w:hAnsi="Arial" w:cs="Arial"/>
        </w:rPr>
      </w:pPr>
    </w:p>
    <w:p w14:paraId="1DCFE1D9" w14:textId="684EE38E" w:rsidR="00596A76" w:rsidRPr="00607C27" w:rsidRDefault="00607C27" w:rsidP="00F25E4B">
      <w:pPr>
        <w:pStyle w:val="PargrafodaLista"/>
        <w:widowControl/>
        <w:numPr>
          <w:ilvl w:val="0"/>
          <w:numId w:val="14"/>
        </w:numPr>
        <w:jc w:val="both"/>
        <w:rPr>
          <w:rFonts w:ascii="Arial" w:hAnsi="Arial" w:cs="Arial"/>
        </w:rPr>
      </w:pPr>
      <w:r w:rsidRPr="00607C27">
        <w:rPr>
          <w:rFonts w:ascii="Arial" w:hAnsi="Arial" w:cs="Arial"/>
        </w:rPr>
        <w:t xml:space="preserve">Aumento em 2020 devido aos serviços executados </w:t>
      </w:r>
      <w:r>
        <w:rPr>
          <w:rFonts w:ascii="Arial" w:hAnsi="Arial" w:cs="Arial"/>
        </w:rPr>
        <w:t xml:space="preserve">durante </w:t>
      </w:r>
      <w:r w:rsidRPr="00607C27">
        <w:rPr>
          <w:rFonts w:ascii="Arial" w:hAnsi="Arial" w:cs="Arial"/>
        </w:rPr>
        <w:t xml:space="preserve">parada da Usina Angra </w:t>
      </w:r>
      <w:proofErr w:type="gramStart"/>
      <w:r w:rsidRPr="00607C27">
        <w:rPr>
          <w:rFonts w:ascii="Arial" w:hAnsi="Arial" w:cs="Arial"/>
        </w:rPr>
        <w:t>1</w:t>
      </w:r>
      <w:proofErr w:type="gramEnd"/>
      <w:r w:rsidR="00F25E4B" w:rsidRPr="00F25E4B">
        <w:t xml:space="preserve"> </w:t>
      </w:r>
      <w:r w:rsidR="00F25E4B" w:rsidRPr="00F25E4B">
        <w:rPr>
          <w:rFonts w:ascii="Arial" w:hAnsi="Arial" w:cs="Arial"/>
        </w:rPr>
        <w:t>no período programado de 11/01/2020 até 14/02/2020</w:t>
      </w:r>
      <w:r w:rsidRPr="00607C27">
        <w:rPr>
          <w:rFonts w:ascii="Arial" w:hAnsi="Arial" w:cs="Arial"/>
        </w:rPr>
        <w:t>.</w:t>
      </w:r>
      <w:r w:rsidR="00596A76" w:rsidRPr="00607C27">
        <w:rPr>
          <w:rFonts w:ascii="Arial" w:hAnsi="Arial" w:cs="Arial"/>
        </w:rPr>
        <w:t xml:space="preserve"> </w:t>
      </w:r>
    </w:p>
    <w:p w14:paraId="6591B9F9" w14:textId="77777777" w:rsidR="003D6B86" w:rsidRPr="00F45A1F" w:rsidRDefault="003D6B86" w:rsidP="005144E2">
      <w:pPr>
        <w:pStyle w:val="PargrafodaLista"/>
        <w:rPr>
          <w:rFonts w:ascii="Arial" w:hAnsi="Arial" w:cs="Arial"/>
        </w:rPr>
      </w:pPr>
    </w:p>
    <w:p w14:paraId="049A32D7" w14:textId="77777777" w:rsidR="00105752" w:rsidRDefault="00105752" w:rsidP="005144E2">
      <w:pPr>
        <w:widowControl/>
        <w:jc w:val="both"/>
        <w:rPr>
          <w:rFonts w:ascii="Arial" w:hAnsi="Arial" w:cs="Arial"/>
          <w:b/>
          <w:sz w:val="26"/>
          <w:szCs w:val="26"/>
        </w:rPr>
      </w:pPr>
    </w:p>
    <w:p w14:paraId="5FCACD73" w14:textId="77777777" w:rsidR="0091559B" w:rsidRDefault="0091559B" w:rsidP="005144E2">
      <w:pPr>
        <w:widowControl/>
        <w:jc w:val="both"/>
        <w:rPr>
          <w:rFonts w:ascii="Arial" w:hAnsi="Arial" w:cs="Arial"/>
          <w:b/>
          <w:sz w:val="26"/>
          <w:szCs w:val="26"/>
        </w:rPr>
      </w:pPr>
    </w:p>
    <w:p w14:paraId="7349BC7F" w14:textId="77777777" w:rsidR="0091559B" w:rsidRDefault="0091559B" w:rsidP="005144E2">
      <w:pPr>
        <w:widowControl/>
        <w:jc w:val="both"/>
        <w:rPr>
          <w:rFonts w:ascii="Arial" w:hAnsi="Arial" w:cs="Arial"/>
          <w:b/>
          <w:sz w:val="26"/>
          <w:szCs w:val="26"/>
        </w:rPr>
      </w:pPr>
    </w:p>
    <w:p w14:paraId="023895E3" w14:textId="77777777" w:rsidR="0091559B" w:rsidRDefault="0091559B" w:rsidP="005144E2">
      <w:pPr>
        <w:widowControl/>
        <w:jc w:val="both"/>
        <w:rPr>
          <w:rFonts w:ascii="Arial" w:hAnsi="Arial" w:cs="Arial"/>
          <w:b/>
          <w:sz w:val="26"/>
          <w:szCs w:val="26"/>
        </w:rPr>
      </w:pPr>
    </w:p>
    <w:p w14:paraId="4FDAE886" w14:textId="77777777" w:rsidR="0091559B" w:rsidRDefault="0091559B" w:rsidP="005144E2">
      <w:pPr>
        <w:widowControl/>
        <w:jc w:val="both"/>
        <w:rPr>
          <w:rFonts w:ascii="Arial" w:hAnsi="Arial" w:cs="Arial"/>
          <w:b/>
          <w:sz w:val="26"/>
          <w:szCs w:val="26"/>
        </w:rPr>
      </w:pPr>
    </w:p>
    <w:p w14:paraId="1C174C54" w14:textId="77777777" w:rsidR="0091559B" w:rsidRDefault="0091559B" w:rsidP="005144E2">
      <w:pPr>
        <w:widowControl/>
        <w:jc w:val="both"/>
        <w:rPr>
          <w:rFonts w:ascii="Arial" w:hAnsi="Arial" w:cs="Arial"/>
          <w:b/>
          <w:sz w:val="26"/>
          <w:szCs w:val="26"/>
        </w:rPr>
      </w:pPr>
    </w:p>
    <w:p w14:paraId="44D7EF5C" w14:textId="77777777" w:rsidR="0091559B" w:rsidRDefault="0091559B" w:rsidP="005144E2">
      <w:pPr>
        <w:widowControl/>
        <w:jc w:val="both"/>
        <w:rPr>
          <w:rFonts w:ascii="Arial" w:hAnsi="Arial" w:cs="Arial"/>
          <w:b/>
          <w:sz w:val="26"/>
          <w:szCs w:val="26"/>
        </w:rPr>
      </w:pPr>
    </w:p>
    <w:p w14:paraId="2B0662C8" w14:textId="77777777" w:rsidR="0091559B" w:rsidRDefault="0091559B" w:rsidP="005144E2">
      <w:pPr>
        <w:widowControl/>
        <w:jc w:val="both"/>
        <w:rPr>
          <w:rFonts w:ascii="Arial" w:hAnsi="Arial" w:cs="Arial"/>
          <w:b/>
          <w:sz w:val="26"/>
          <w:szCs w:val="26"/>
        </w:rPr>
      </w:pPr>
    </w:p>
    <w:p w14:paraId="2F085BA3" w14:textId="77777777" w:rsidR="0091559B" w:rsidRDefault="0091559B" w:rsidP="005144E2">
      <w:pPr>
        <w:widowControl/>
        <w:jc w:val="both"/>
        <w:rPr>
          <w:rFonts w:ascii="Arial" w:hAnsi="Arial" w:cs="Arial"/>
          <w:b/>
          <w:sz w:val="26"/>
          <w:szCs w:val="26"/>
        </w:rPr>
      </w:pPr>
    </w:p>
    <w:p w14:paraId="39175E6F" w14:textId="229873FA" w:rsidR="003F4719" w:rsidRDefault="003F4719" w:rsidP="005144E2">
      <w:pPr>
        <w:widowControl/>
        <w:jc w:val="both"/>
        <w:rPr>
          <w:rFonts w:ascii="Arial" w:hAnsi="Arial" w:cs="Arial"/>
          <w:b/>
          <w:sz w:val="26"/>
          <w:szCs w:val="26"/>
        </w:rPr>
      </w:pPr>
      <w:r w:rsidRPr="00F45A1F">
        <w:rPr>
          <w:rFonts w:ascii="Arial" w:hAnsi="Arial" w:cs="Arial"/>
          <w:b/>
          <w:sz w:val="26"/>
          <w:szCs w:val="26"/>
        </w:rPr>
        <w:t xml:space="preserve">NOTA </w:t>
      </w:r>
      <w:r w:rsidR="002002A2" w:rsidRPr="00F45A1F">
        <w:rPr>
          <w:rFonts w:ascii="Arial" w:hAnsi="Arial" w:cs="Arial"/>
          <w:b/>
          <w:sz w:val="26"/>
          <w:szCs w:val="26"/>
        </w:rPr>
        <w:t>30</w:t>
      </w:r>
      <w:r w:rsidRPr="00F45A1F">
        <w:rPr>
          <w:rFonts w:ascii="Arial" w:hAnsi="Arial" w:cs="Arial"/>
          <w:b/>
          <w:sz w:val="26"/>
          <w:szCs w:val="26"/>
        </w:rPr>
        <w:t xml:space="preserve"> – DESPESAS OPERACIONAIS</w:t>
      </w:r>
    </w:p>
    <w:p w14:paraId="4DA61496" w14:textId="77777777" w:rsidR="003D6B86" w:rsidRPr="00F45A1F" w:rsidRDefault="003D6B86" w:rsidP="005144E2">
      <w:pPr>
        <w:widowControl/>
        <w:jc w:val="both"/>
        <w:rPr>
          <w:rFonts w:ascii="Arial" w:hAnsi="Arial" w:cs="Arial"/>
          <w:b/>
          <w:sz w:val="26"/>
          <w:szCs w:val="26"/>
        </w:rPr>
      </w:pPr>
    </w:p>
    <w:p w14:paraId="2D48986A" w14:textId="6930AB5A" w:rsidR="001B01C9" w:rsidRDefault="00EF4D73" w:rsidP="005144E2">
      <w:pPr>
        <w:widowControl/>
        <w:jc w:val="both"/>
        <w:rPr>
          <w:rFonts w:ascii="Arial" w:hAnsi="Arial" w:cs="Arial"/>
          <w:b/>
        </w:rPr>
      </w:pPr>
      <w:r w:rsidRPr="00EF4D73">
        <w:rPr>
          <w:noProof/>
        </w:rPr>
        <w:drawing>
          <wp:inline distT="0" distB="0" distL="0" distR="0" wp14:anchorId="69D01BEB" wp14:editId="7FC40B08">
            <wp:extent cx="6073140" cy="4613501"/>
            <wp:effectExtent l="0" t="0" r="381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73140" cy="4613501"/>
                    </a:xfrm>
                    <a:prstGeom prst="rect">
                      <a:avLst/>
                    </a:prstGeom>
                    <a:noFill/>
                    <a:ln>
                      <a:noFill/>
                    </a:ln>
                  </pic:spPr>
                </pic:pic>
              </a:graphicData>
            </a:graphic>
          </wp:inline>
        </w:drawing>
      </w:r>
    </w:p>
    <w:p w14:paraId="550BF373" w14:textId="77777777" w:rsidR="001B01C9" w:rsidRPr="00F45A1F" w:rsidRDefault="001B01C9" w:rsidP="005144E2">
      <w:pPr>
        <w:widowControl/>
        <w:jc w:val="both"/>
        <w:rPr>
          <w:rFonts w:ascii="Arial" w:hAnsi="Arial" w:cs="Arial"/>
          <w:b/>
        </w:rPr>
      </w:pPr>
    </w:p>
    <w:p w14:paraId="4BDD2752" w14:textId="11493A6F" w:rsidR="005E341B" w:rsidRPr="00F45A1F" w:rsidRDefault="008B5AF6" w:rsidP="008B5AF6">
      <w:pPr>
        <w:widowControl/>
        <w:ind w:left="142"/>
        <w:jc w:val="both"/>
        <w:rPr>
          <w:rFonts w:ascii="Arial" w:hAnsi="Arial" w:cs="Arial"/>
        </w:rPr>
      </w:pPr>
      <w:r w:rsidRPr="00F45A1F">
        <w:rPr>
          <w:rFonts w:ascii="Arial" w:hAnsi="Arial" w:cs="Arial"/>
          <w:b/>
        </w:rPr>
        <w:t>a)</w:t>
      </w:r>
      <w:r w:rsidR="008076A4">
        <w:rPr>
          <w:rFonts w:ascii="Arial" w:hAnsi="Arial" w:cs="Arial"/>
          <w:b/>
        </w:rPr>
        <w:t xml:space="preserve"> </w:t>
      </w:r>
      <w:r w:rsidR="007B570F" w:rsidRPr="00F45A1F">
        <w:rPr>
          <w:rFonts w:ascii="Arial" w:hAnsi="Arial" w:cs="Arial"/>
        </w:rPr>
        <w:t>A</w:t>
      </w:r>
      <w:r w:rsidR="005E341B" w:rsidRPr="00F45A1F">
        <w:rPr>
          <w:rFonts w:ascii="Arial" w:hAnsi="Arial" w:cs="Arial"/>
        </w:rPr>
        <w:t>umento em 20</w:t>
      </w:r>
      <w:r w:rsidR="00607C27">
        <w:rPr>
          <w:rFonts w:ascii="Arial" w:hAnsi="Arial" w:cs="Arial"/>
        </w:rPr>
        <w:t>20</w:t>
      </w:r>
      <w:r w:rsidR="005E341B" w:rsidRPr="00F45A1F">
        <w:rPr>
          <w:rFonts w:ascii="Arial" w:hAnsi="Arial" w:cs="Arial"/>
        </w:rPr>
        <w:t xml:space="preserve"> devido a</w:t>
      </w:r>
      <w:r w:rsidR="00607C27">
        <w:rPr>
          <w:rFonts w:ascii="Arial" w:hAnsi="Arial" w:cs="Arial"/>
        </w:rPr>
        <w:t>os</w:t>
      </w:r>
      <w:r w:rsidR="005E341B" w:rsidRPr="00F45A1F">
        <w:rPr>
          <w:rFonts w:ascii="Arial" w:hAnsi="Arial" w:cs="Arial"/>
        </w:rPr>
        <w:t xml:space="preserve"> gastos com pessoal que deixaram de ser transferidos para custos diretos aplicados ao empreendimento Angra </w:t>
      </w:r>
      <w:proofErr w:type="gramStart"/>
      <w:r w:rsidR="005E341B" w:rsidRPr="00F45A1F">
        <w:rPr>
          <w:rFonts w:ascii="Arial" w:hAnsi="Arial" w:cs="Arial"/>
        </w:rPr>
        <w:t>3</w:t>
      </w:r>
      <w:proofErr w:type="gramEnd"/>
      <w:r w:rsidR="005E341B" w:rsidRPr="00F45A1F">
        <w:rPr>
          <w:rFonts w:ascii="Arial" w:hAnsi="Arial" w:cs="Arial"/>
        </w:rPr>
        <w:t>, devido às suspensões nas atividades do empreendimento.</w:t>
      </w:r>
      <w:r w:rsidR="00C16814" w:rsidRPr="00F45A1F">
        <w:rPr>
          <w:rFonts w:ascii="Arial" w:hAnsi="Arial" w:cs="Arial"/>
        </w:rPr>
        <w:t xml:space="preserve"> </w:t>
      </w:r>
    </w:p>
    <w:p w14:paraId="7E3A3F44" w14:textId="77777777" w:rsidR="00190C58" w:rsidRPr="00F45A1F" w:rsidRDefault="00190C58" w:rsidP="006C3D89">
      <w:pPr>
        <w:widowControl/>
        <w:ind w:left="142"/>
        <w:jc w:val="both"/>
        <w:rPr>
          <w:rFonts w:ascii="Arial" w:hAnsi="Arial" w:cs="Arial"/>
        </w:rPr>
      </w:pPr>
    </w:p>
    <w:p w14:paraId="1B9A02AD" w14:textId="28CBDA70" w:rsidR="005E341B" w:rsidRPr="00F45A1F" w:rsidRDefault="007150AE" w:rsidP="008641C1">
      <w:pPr>
        <w:pStyle w:val="PargrafodaLista"/>
        <w:widowControl/>
        <w:numPr>
          <w:ilvl w:val="0"/>
          <w:numId w:val="18"/>
        </w:numPr>
        <w:jc w:val="both"/>
        <w:rPr>
          <w:rFonts w:ascii="Arial" w:hAnsi="Arial" w:cs="Arial"/>
        </w:rPr>
      </w:pPr>
      <w:r>
        <w:rPr>
          <w:rFonts w:ascii="Arial" w:hAnsi="Arial" w:cs="Arial"/>
        </w:rPr>
        <w:t>P</w:t>
      </w:r>
      <w:r w:rsidR="005E341B" w:rsidRPr="00F45A1F">
        <w:rPr>
          <w:rFonts w:ascii="Arial" w:hAnsi="Arial" w:cs="Arial"/>
        </w:rPr>
        <w:t xml:space="preserve">rovisão </w:t>
      </w:r>
      <w:r w:rsidR="003803E1">
        <w:rPr>
          <w:rFonts w:ascii="Arial" w:hAnsi="Arial" w:cs="Arial"/>
        </w:rPr>
        <w:t xml:space="preserve">e reversão de provisão </w:t>
      </w:r>
      <w:r w:rsidR="005E341B" w:rsidRPr="00F45A1F">
        <w:rPr>
          <w:rFonts w:ascii="Arial" w:hAnsi="Arial" w:cs="Arial"/>
        </w:rPr>
        <w:t>para plano de incentivo de desligamento</w:t>
      </w:r>
      <w:r>
        <w:rPr>
          <w:rFonts w:ascii="Arial" w:hAnsi="Arial" w:cs="Arial"/>
        </w:rPr>
        <w:t xml:space="preserve"> (</w:t>
      </w:r>
      <w:r w:rsidRPr="00F45A1F">
        <w:rPr>
          <w:rFonts w:ascii="Arial" w:hAnsi="Arial" w:cs="Arial"/>
        </w:rPr>
        <w:t>plano de saúde</w:t>
      </w:r>
      <w:r>
        <w:rPr>
          <w:rFonts w:ascii="Arial" w:hAnsi="Arial" w:cs="Arial"/>
        </w:rPr>
        <w:t>)</w:t>
      </w:r>
    </w:p>
    <w:p w14:paraId="7E655AC5" w14:textId="77777777" w:rsidR="005E341B" w:rsidRPr="00F45A1F" w:rsidRDefault="005E341B" w:rsidP="008641C1">
      <w:pPr>
        <w:widowControl/>
        <w:jc w:val="both"/>
        <w:rPr>
          <w:rFonts w:ascii="Arial" w:hAnsi="Arial" w:cs="Arial"/>
        </w:rPr>
      </w:pPr>
    </w:p>
    <w:p w14:paraId="1158330D" w14:textId="158AEB30" w:rsidR="005E341B" w:rsidRDefault="007150AE" w:rsidP="008641C1">
      <w:pPr>
        <w:pStyle w:val="PargrafodaLista"/>
        <w:widowControl/>
        <w:numPr>
          <w:ilvl w:val="0"/>
          <w:numId w:val="18"/>
        </w:numPr>
        <w:jc w:val="both"/>
        <w:rPr>
          <w:rFonts w:ascii="Arial" w:hAnsi="Arial" w:cs="Arial"/>
        </w:rPr>
      </w:pPr>
      <w:r>
        <w:rPr>
          <w:rFonts w:ascii="Arial" w:hAnsi="Arial" w:cs="Arial"/>
        </w:rPr>
        <w:t xml:space="preserve">Provisão e </w:t>
      </w:r>
      <w:r w:rsidR="00BA4061">
        <w:rPr>
          <w:rFonts w:ascii="Arial" w:hAnsi="Arial" w:cs="Arial"/>
        </w:rPr>
        <w:t>r</w:t>
      </w:r>
      <w:r w:rsidR="005E341B" w:rsidRPr="00F45A1F">
        <w:rPr>
          <w:rFonts w:ascii="Arial" w:hAnsi="Arial" w:cs="Arial"/>
        </w:rPr>
        <w:t>eversão de provisão para plano de incentivo de desligamento (incentivo de desligamento)</w:t>
      </w:r>
    </w:p>
    <w:p w14:paraId="3CE10E23" w14:textId="77777777" w:rsidR="001B01C9" w:rsidRPr="001B01C9" w:rsidRDefault="001B01C9" w:rsidP="001B01C9">
      <w:pPr>
        <w:pStyle w:val="PargrafodaLista"/>
        <w:rPr>
          <w:rFonts w:ascii="Arial" w:hAnsi="Arial" w:cs="Arial"/>
        </w:rPr>
      </w:pPr>
    </w:p>
    <w:p w14:paraId="6A0F75FF" w14:textId="04E60538" w:rsidR="00CC29A2" w:rsidRPr="003D6B86" w:rsidRDefault="00607C27" w:rsidP="00F71D04">
      <w:pPr>
        <w:pStyle w:val="PargrafodaLista"/>
        <w:widowControl/>
        <w:numPr>
          <w:ilvl w:val="0"/>
          <w:numId w:val="18"/>
        </w:numPr>
        <w:ind w:left="567" w:hanging="425"/>
        <w:contextualSpacing w:val="0"/>
        <w:jc w:val="both"/>
        <w:rPr>
          <w:rFonts w:ascii="Arial" w:hAnsi="Arial" w:cs="Arial"/>
          <w:b/>
        </w:rPr>
      </w:pPr>
      <w:r w:rsidRPr="003D6B86">
        <w:rPr>
          <w:rFonts w:ascii="Arial" w:hAnsi="Arial" w:cs="Arial"/>
        </w:rPr>
        <w:t>Reversão de p</w:t>
      </w:r>
      <w:r w:rsidR="001B01C9" w:rsidRPr="003D6B86">
        <w:rPr>
          <w:rFonts w:ascii="Arial" w:hAnsi="Arial" w:cs="Arial"/>
        </w:rPr>
        <w:t xml:space="preserve">rovisão para risco </w:t>
      </w:r>
    </w:p>
    <w:p w14:paraId="6E2E9692" w14:textId="77777777" w:rsidR="00CC29A2" w:rsidRPr="00F45A1F" w:rsidRDefault="00CC29A2" w:rsidP="005144E2">
      <w:pPr>
        <w:widowControl/>
        <w:rPr>
          <w:rFonts w:ascii="Arial" w:hAnsi="Arial" w:cs="Arial"/>
          <w:b/>
        </w:rPr>
      </w:pPr>
    </w:p>
    <w:p w14:paraId="0C533E34" w14:textId="77777777" w:rsidR="00015E50" w:rsidRDefault="00015E50" w:rsidP="005144E2">
      <w:pPr>
        <w:widowControl/>
        <w:rPr>
          <w:rFonts w:ascii="Arial" w:hAnsi="Arial" w:cs="Arial"/>
          <w:b/>
        </w:rPr>
      </w:pPr>
    </w:p>
    <w:p w14:paraId="530577AA" w14:textId="77777777" w:rsidR="000627DC" w:rsidRDefault="000627DC" w:rsidP="005144E2">
      <w:pPr>
        <w:widowControl/>
        <w:rPr>
          <w:rFonts w:ascii="Arial" w:hAnsi="Arial" w:cs="Arial"/>
          <w:b/>
        </w:rPr>
      </w:pPr>
    </w:p>
    <w:p w14:paraId="2B27257D" w14:textId="77777777" w:rsidR="00105752" w:rsidRDefault="00105752" w:rsidP="005144E2">
      <w:pPr>
        <w:widowControl/>
        <w:rPr>
          <w:rFonts w:ascii="Arial" w:hAnsi="Arial" w:cs="Arial"/>
          <w:b/>
        </w:rPr>
      </w:pPr>
    </w:p>
    <w:p w14:paraId="17D5F6E4" w14:textId="77777777" w:rsidR="00105752" w:rsidRPr="00F45A1F" w:rsidRDefault="00105752" w:rsidP="005144E2">
      <w:pPr>
        <w:widowControl/>
        <w:rPr>
          <w:rFonts w:ascii="Arial" w:hAnsi="Arial" w:cs="Arial"/>
          <w:b/>
        </w:rPr>
      </w:pPr>
    </w:p>
    <w:p w14:paraId="7085F860" w14:textId="77777777" w:rsidR="003F4719" w:rsidRPr="00F45A1F" w:rsidRDefault="003F4719" w:rsidP="005144E2">
      <w:pPr>
        <w:keepNext/>
        <w:widowControl/>
        <w:jc w:val="both"/>
        <w:outlineLvl w:val="0"/>
        <w:rPr>
          <w:rFonts w:ascii="Arial" w:hAnsi="Arial" w:cs="Arial"/>
          <w:b/>
          <w:sz w:val="26"/>
          <w:szCs w:val="26"/>
        </w:rPr>
      </w:pPr>
      <w:r w:rsidRPr="00F45A1F">
        <w:rPr>
          <w:rFonts w:ascii="Arial" w:hAnsi="Arial" w:cs="Arial"/>
          <w:b/>
          <w:sz w:val="26"/>
          <w:szCs w:val="26"/>
        </w:rPr>
        <w:t xml:space="preserve">NOTA </w:t>
      </w:r>
      <w:r w:rsidR="00C24C6D" w:rsidRPr="00F45A1F">
        <w:rPr>
          <w:rFonts w:ascii="Arial" w:hAnsi="Arial" w:cs="Arial"/>
          <w:b/>
          <w:sz w:val="26"/>
          <w:szCs w:val="26"/>
        </w:rPr>
        <w:t>3</w:t>
      </w:r>
      <w:r w:rsidR="002002A2" w:rsidRPr="00F45A1F">
        <w:rPr>
          <w:rFonts w:ascii="Arial" w:hAnsi="Arial" w:cs="Arial"/>
          <w:b/>
          <w:sz w:val="26"/>
          <w:szCs w:val="26"/>
        </w:rPr>
        <w:t>1</w:t>
      </w:r>
      <w:r w:rsidRPr="00F45A1F">
        <w:rPr>
          <w:rFonts w:ascii="Arial" w:hAnsi="Arial" w:cs="Arial"/>
          <w:b/>
          <w:sz w:val="26"/>
          <w:szCs w:val="26"/>
        </w:rPr>
        <w:t xml:space="preserve"> – RESULTADO FINANCEIRO</w:t>
      </w:r>
    </w:p>
    <w:p w14:paraId="2C45EA2F" w14:textId="77777777" w:rsidR="00B515BB" w:rsidRPr="00F45A1F" w:rsidRDefault="00B515BB" w:rsidP="005144E2">
      <w:pPr>
        <w:widowControl/>
        <w:rPr>
          <w:rFonts w:ascii="Arial" w:hAnsi="Arial" w:cs="Arial"/>
          <w:b/>
        </w:rPr>
      </w:pPr>
    </w:p>
    <w:p w14:paraId="1135D768" w14:textId="2060CF50" w:rsidR="00B515BB" w:rsidRPr="00F45A1F" w:rsidRDefault="00607C27" w:rsidP="005144E2">
      <w:pPr>
        <w:widowControl/>
        <w:rPr>
          <w:rFonts w:ascii="Arial" w:hAnsi="Arial" w:cs="Arial"/>
          <w:b/>
        </w:rPr>
      </w:pPr>
      <w:r w:rsidRPr="00607C27">
        <w:rPr>
          <w:noProof/>
        </w:rPr>
        <w:drawing>
          <wp:inline distT="0" distB="0" distL="0" distR="0" wp14:anchorId="20854D88" wp14:editId="7A39EAA7">
            <wp:extent cx="6073140" cy="4248010"/>
            <wp:effectExtent l="0" t="0" r="3810" b="63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73140" cy="4248010"/>
                    </a:xfrm>
                    <a:prstGeom prst="rect">
                      <a:avLst/>
                    </a:prstGeom>
                    <a:noFill/>
                    <a:ln>
                      <a:noFill/>
                    </a:ln>
                  </pic:spPr>
                </pic:pic>
              </a:graphicData>
            </a:graphic>
          </wp:inline>
        </w:drawing>
      </w:r>
    </w:p>
    <w:p w14:paraId="59956B73" w14:textId="77777777" w:rsidR="00CC29A2" w:rsidRPr="00F45A1F" w:rsidRDefault="00CC29A2" w:rsidP="005144E2">
      <w:pPr>
        <w:widowControl/>
        <w:rPr>
          <w:rFonts w:ascii="Arial" w:hAnsi="Arial" w:cs="Arial"/>
          <w:b/>
        </w:rPr>
      </w:pPr>
    </w:p>
    <w:p w14:paraId="78BAC578" w14:textId="15030B14" w:rsidR="00607C27" w:rsidRPr="00F45A1F" w:rsidRDefault="00607C27" w:rsidP="00607C27">
      <w:pPr>
        <w:widowControl/>
        <w:ind w:left="142"/>
        <w:jc w:val="both"/>
        <w:rPr>
          <w:rFonts w:ascii="Arial" w:hAnsi="Arial" w:cs="Arial"/>
        </w:rPr>
      </w:pPr>
      <w:r w:rsidRPr="00F45A1F">
        <w:rPr>
          <w:rFonts w:ascii="Arial" w:hAnsi="Arial" w:cs="Arial"/>
          <w:b/>
        </w:rPr>
        <w:t>a)</w:t>
      </w:r>
      <w:r>
        <w:rPr>
          <w:rFonts w:ascii="Arial" w:hAnsi="Arial" w:cs="Arial"/>
          <w:b/>
        </w:rPr>
        <w:t xml:space="preserve"> </w:t>
      </w:r>
      <w:r w:rsidRPr="00F45A1F">
        <w:rPr>
          <w:rFonts w:ascii="Arial" w:hAnsi="Arial" w:cs="Arial"/>
        </w:rPr>
        <w:t>Aumento em 20</w:t>
      </w:r>
      <w:r>
        <w:rPr>
          <w:rFonts w:ascii="Arial" w:hAnsi="Arial" w:cs="Arial"/>
        </w:rPr>
        <w:t>20</w:t>
      </w:r>
      <w:r w:rsidRPr="00F45A1F">
        <w:rPr>
          <w:rFonts w:ascii="Arial" w:hAnsi="Arial" w:cs="Arial"/>
        </w:rPr>
        <w:t xml:space="preserve"> </w:t>
      </w:r>
      <w:r w:rsidR="00293C23">
        <w:rPr>
          <w:rFonts w:ascii="Arial" w:hAnsi="Arial" w:cs="Arial"/>
        </w:rPr>
        <w:t xml:space="preserve">por causa dos </w:t>
      </w:r>
      <w:r>
        <w:rPr>
          <w:rFonts w:ascii="Arial" w:hAnsi="Arial" w:cs="Arial"/>
        </w:rPr>
        <w:t xml:space="preserve">encargos </w:t>
      </w:r>
      <w:r w:rsidR="00293C23">
        <w:rPr>
          <w:rFonts w:ascii="Arial" w:hAnsi="Arial" w:cs="Arial"/>
        </w:rPr>
        <w:t xml:space="preserve">que não foram </w:t>
      </w:r>
      <w:r>
        <w:rPr>
          <w:rFonts w:ascii="Arial" w:hAnsi="Arial" w:cs="Arial"/>
        </w:rPr>
        <w:t xml:space="preserve">capitalizados </w:t>
      </w:r>
      <w:r w:rsidRPr="00F45A1F">
        <w:rPr>
          <w:rFonts w:ascii="Arial" w:hAnsi="Arial" w:cs="Arial"/>
        </w:rPr>
        <w:t>devido às suspensões nas atividades do empreendimento</w:t>
      </w:r>
      <w:r>
        <w:rPr>
          <w:rFonts w:ascii="Arial" w:hAnsi="Arial" w:cs="Arial"/>
        </w:rPr>
        <w:t xml:space="preserve"> Angra 3</w:t>
      </w:r>
      <w:r w:rsidRPr="00F45A1F">
        <w:rPr>
          <w:rFonts w:ascii="Arial" w:hAnsi="Arial" w:cs="Arial"/>
        </w:rPr>
        <w:t xml:space="preserve">. </w:t>
      </w:r>
    </w:p>
    <w:p w14:paraId="5447FD3B" w14:textId="77777777" w:rsidR="00CC29A2" w:rsidRPr="00F45A1F" w:rsidRDefault="00CC29A2" w:rsidP="005144E2">
      <w:pPr>
        <w:widowControl/>
        <w:rPr>
          <w:rFonts w:ascii="Arial" w:hAnsi="Arial" w:cs="Arial"/>
          <w:b/>
        </w:rPr>
      </w:pPr>
    </w:p>
    <w:p w14:paraId="68CAB432" w14:textId="77777777" w:rsidR="00CC29A2" w:rsidRPr="00F45A1F" w:rsidRDefault="00CC29A2" w:rsidP="005144E2">
      <w:pPr>
        <w:widowControl/>
        <w:rPr>
          <w:rFonts w:ascii="Arial" w:hAnsi="Arial" w:cs="Arial"/>
          <w:b/>
        </w:rPr>
      </w:pPr>
    </w:p>
    <w:p w14:paraId="436FD45B" w14:textId="77777777" w:rsidR="00CC29A2" w:rsidRPr="00F45A1F" w:rsidRDefault="00CC29A2" w:rsidP="005144E2">
      <w:pPr>
        <w:widowControl/>
        <w:rPr>
          <w:rFonts w:ascii="Arial" w:hAnsi="Arial" w:cs="Arial"/>
          <w:b/>
        </w:rPr>
      </w:pPr>
    </w:p>
    <w:p w14:paraId="40C1743D" w14:textId="77777777" w:rsidR="003F4719" w:rsidRPr="00F45A1F" w:rsidRDefault="003F4719" w:rsidP="005144E2">
      <w:pPr>
        <w:widowControl/>
        <w:rPr>
          <w:rFonts w:ascii="Arial" w:hAnsi="Arial" w:cs="Arial"/>
          <w:b/>
          <w:sz w:val="26"/>
          <w:szCs w:val="26"/>
        </w:rPr>
      </w:pPr>
      <w:proofErr w:type="gramStart"/>
      <w:r w:rsidRPr="00F45A1F">
        <w:rPr>
          <w:rFonts w:ascii="Arial" w:hAnsi="Arial" w:cs="Arial"/>
          <w:b/>
          <w:sz w:val="26"/>
          <w:szCs w:val="26"/>
        </w:rPr>
        <w:t>NOTA 3</w:t>
      </w:r>
      <w:r w:rsidR="002002A2" w:rsidRPr="00F45A1F">
        <w:rPr>
          <w:rFonts w:ascii="Arial" w:hAnsi="Arial" w:cs="Arial"/>
          <w:b/>
          <w:sz w:val="26"/>
          <w:szCs w:val="26"/>
        </w:rPr>
        <w:t>2</w:t>
      </w:r>
      <w:r w:rsidRPr="00F45A1F">
        <w:rPr>
          <w:rFonts w:ascii="Arial" w:hAnsi="Arial" w:cs="Arial"/>
          <w:b/>
          <w:sz w:val="26"/>
          <w:szCs w:val="26"/>
        </w:rPr>
        <w:t xml:space="preserve"> – IMPOSTO DE RENDA E CONTRIBUIÇÃO SOCIAL NO RESULTADO</w:t>
      </w:r>
      <w:proofErr w:type="gramEnd"/>
    </w:p>
    <w:p w14:paraId="5895309C" w14:textId="77777777" w:rsidR="00557D1D" w:rsidRPr="00F45A1F" w:rsidRDefault="00557D1D" w:rsidP="005144E2">
      <w:pPr>
        <w:widowControl/>
        <w:rPr>
          <w:rFonts w:ascii="Arial" w:hAnsi="Arial" w:cs="Arial"/>
          <w:b/>
        </w:rPr>
      </w:pPr>
    </w:p>
    <w:p w14:paraId="5AA8E78D" w14:textId="3DF1A3E9" w:rsidR="003F4719" w:rsidRPr="00F45A1F" w:rsidRDefault="003F4719" w:rsidP="005144E2">
      <w:pPr>
        <w:jc w:val="both"/>
        <w:rPr>
          <w:rFonts w:ascii="Arial" w:hAnsi="Arial" w:cs="Arial"/>
        </w:rPr>
      </w:pPr>
      <w:r w:rsidRPr="00F45A1F">
        <w:rPr>
          <w:rFonts w:ascii="Arial" w:hAnsi="Arial" w:cs="Arial"/>
        </w:rPr>
        <w:t xml:space="preserve">A apuração do imposto de renda e da contribuição social sobre o resultado dos </w:t>
      </w:r>
      <w:r w:rsidR="00204D2E" w:rsidRPr="00F45A1F">
        <w:rPr>
          <w:rFonts w:ascii="Arial" w:hAnsi="Arial" w:cs="Arial"/>
        </w:rPr>
        <w:t>períodos</w:t>
      </w:r>
      <w:r w:rsidRPr="00F45A1F">
        <w:rPr>
          <w:rFonts w:ascii="Arial" w:hAnsi="Arial" w:cs="Arial"/>
        </w:rPr>
        <w:t xml:space="preserve"> findos em </w:t>
      </w:r>
      <w:r w:rsidR="00ED42FF" w:rsidRPr="00F45A1F">
        <w:rPr>
          <w:rFonts w:ascii="Arial" w:hAnsi="Arial" w:cs="Arial"/>
        </w:rPr>
        <w:t>201</w:t>
      </w:r>
      <w:r w:rsidR="00D624B9">
        <w:rPr>
          <w:rFonts w:ascii="Arial" w:hAnsi="Arial" w:cs="Arial"/>
        </w:rPr>
        <w:t>9</w:t>
      </w:r>
      <w:r w:rsidR="00ED42FF" w:rsidRPr="00F45A1F">
        <w:rPr>
          <w:rFonts w:ascii="Arial" w:hAnsi="Arial" w:cs="Arial"/>
        </w:rPr>
        <w:t xml:space="preserve"> e 20</w:t>
      </w:r>
      <w:r w:rsidR="00D624B9">
        <w:rPr>
          <w:rFonts w:ascii="Arial" w:hAnsi="Arial" w:cs="Arial"/>
        </w:rPr>
        <w:t>20</w:t>
      </w:r>
      <w:r w:rsidRPr="00F45A1F">
        <w:rPr>
          <w:rFonts w:ascii="Arial" w:hAnsi="Arial" w:cs="Arial"/>
        </w:rPr>
        <w:t xml:space="preserve"> segue demonstrada: </w:t>
      </w:r>
    </w:p>
    <w:p w14:paraId="1CC7FD24" w14:textId="77777777" w:rsidR="003F4719" w:rsidRPr="00F45A1F" w:rsidRDefault="003F4719" w:rsidP="005144E2">
      <w:pPr>
        <w:jc w:val="both"/>
        <w:rPr>
          <w:rFonts w:ascii="Arial" w:hAnsi="Arial" w:cs="Arial"/>
          <w:b/>
        </w:rPr>
      </w:pPr>
    </w:p>
    <w:p w14:paraId="3F471DA7" w14:textId="77777777" w:rsidR="00D32347" w:rsidRPr="00F45A1F" w:rsidRDefault="003B02B1" w:rsidP="005144E2">
      <w:pPr>
        <w:widowControl/>
        <w:jc w:val="both"/>
        <w:rPr>
          <w:rFonts w:ascii="Arial" w:hAnsi="Arial" w:cs="Arial"/>
          <w:noProof/>
        </w:rPr>
      </w:pPr>
      <w:r w:rsidRPr="00F45A1F">
        <w:rPr>
          <w:rFonts w:ascii="Arial" w:hAnsi="Arial" w:cs="Arial"/>
        </w:rPr>
        <w:t>Os encargos financeiros e variações monetárias capitalizados foram excluídos da base tributável.</w:t>
      </w:r>
    </w:p>
    <w:p w14:paraId="264965C3" w14:textId="77777777" w:rsidR="003638E4" w:rsidRPr="00F45A1F" w:rsidRDefault="003638E4" w:rsidP="005144E2">
      <w:pPr>
        <w:widowControl/>
        <w:jc w:val="both"/>
        <w:rPr>
          <w:rFonts w:ascii="Arial" w:hAnsi="Arial" w:cs="Arial"/>
          <w:b/>
        </w:rPr>
      </w:pPr>
    </w:p>
    <w:p w14:paraId="0F1FC11A" w14:textId="1C09B8AD" w:rsidR="00655FBA" w:rsidRDefault="00AB7959" w:rsidP="005144E2">
      <w:pPr>
        <w:widowControl/>
        <w:jc w:val="both"/>
        <w:rPr>
          <w:rFonts w:ascii="Arial" w:hAnsi="Arial" w:cs="Arial"/>
          <w:b/>
          <w:sz w:val="26"/>
          <w:szCs w:val="26"/>
        </w:rPr>
      </w:pPr>
      <w:r w:rsidRPr="00AB7959">
        <w:rPr>
          <w:noProof/>
        </w:rPr>
        <w:drawing>
          <wp:inline distT="0" distB="0" distL="0" distR="0" wp14:anchorId="43DDF24D" wp14:editId="0663DA7F">
            <wp:extent cx="6073140" cy="5633171"/>
            <wp:effectExtent l="0" t="0" r="3810" b="571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73140" cy="5633171"/>
                    </a:xfrm>
                    <a:prstGeom prst="rect">
                      <a:avLst/>
                    </a:prstGeom>
                    <a:noFill/>
                    <a:ln>
                      <a:noFill/>
                    </a:ln>
                  </pic:spPr>
                </pic:pic>
              </a:graphicData>
            </a:graphic>
          </wp:inline>
        </w:drawing>
      </w:r>
    </w:p>
    <w:p w14:paraId="503FB0D3" w14:textId="77777777" w:rsidR="00655FBA" w:rsidRDefault="00655FBA" w:rsidP="005144E2">
      <w:pPr>
        <w:widowControl/>
        <w:jc w:val="both"/>
        <w:rPr>
          <w:rFonts w:ascii="Arial" w:hAnsi="Arial" w:cs="Arial"/>
          <w:b/>
          <w:sz w:val="26"/>
          <w:szCs w:val="26"/>
        </w:rPr>
      </w:pPr>
    </w:p>
    <w:p w14:paraId="5CB2596D" w14:textId="77777777" w:rsidR="00655FBA" w:rsidRDefault="00655FBA" w:rsidP="005144E2">
      <w:pPr>
        <w:widowControl/>
        <w:jc w:val="both"/>
        <w:rPr>
          <w:rFonts w:ascii="Arial" w:hAnsi="Arial" w:cs="Arial"/>
          <w:b/>
          <w:sz w:val="26"/>
          <w:szCs w:val="26"/>
        </w:rPr>
      </w:pPr>
    </w:p>
    <w:p w14:paraId="411D8855" w14:textId="77777777" w:rsidR="00655FBA" w:rsidRDefault="00655FBA" w:rsidP="005144E2">
      <w:pPr>
        <w:widowControl/>
        <w:jc w:val="both"/>
        <w:rPr>
          <w:rFonts w:ascii="Arial" w:hAnsi="Arial" w:cs="Arial"/>
          <w:b/>
          <w:sz w:val="26"/>
          <w:szCs w:val="26"/>
        </w:rPr>
      </w:pPr>
    </w:p>
    <w:p w14:paraId="066D5170" w14:textId="77777777" w:rsidR="00105752" w:rsidRDefault="00105752" w:rsidP="005144E2">
      <w:pPr>
        <w:widowControl/>
        <w:jc w:val="both"/>
        <w:rPr>
          <w:rFonts w:ascii="Arial" w:hAnsi="Arial" w:cs="Arial"/>
          <w:b/>
          <w:sz w:val="26"/>
          <w:szCs w:val="26"/>
        </w:rPr>
      </w:pPr>
    </w:p>
    <w:p w14:paraId="2AD9E98A" w14:textId="77777777" w:rsidR="00105752" w:rsidRDefault="00105752" w:rsidP="005144E2">
      <w:pPr>
        <w:widowControl/>
        <w:jc w:val="both"/>
        <w:rPr>
          <w:rFonts w:ascii="Arial" w:hAnsi="Arial" w:cs="Arial"/>
          <w:b/>
          <w:sz w:val="26"/>
          <w:szCs w:val="26"/>
        </w:rPr>
      </w:pPr>
    </w:p>
    <w:p w14:paraId="04E12149" w14:textId="77777777" w:rsidR="00105752" w:rsidRDefault="00105752" w:rsidP="005144E2">
      <w:pPr>
        <w:widowControl/>
        <w:jc w:val="both"/>
        <w:rPr>
          <w:rFonts w:ascii="Arial" w:hAnsi="Arial" w:cs="Arial"/>
          <w:b/>
          <w:sz w:val="26"/>
          <w:szCs w:val="26"/>
        </w:rPr>
      </w:pPr>
    </w:p>
    <w:p w14:paraId="4BC6B24E" w14:textId="77777777" w:rsidR="00105752" w:rsidRDefault="00105752" w:rsidP="005144E2">
      <w:pPr>
        <w:widowControl/>
        <w:jc w:val="both"/>
        <w:rPr>
          <w:rFonts w:ascii="Arial" w:hAnsi="Arial" w:cs="Arial"/>
          <w:b/>
          <w:sz w:val="26"/>
          <w:szCs w:val="26"/>
        </w:rPr>
      </w:pPr>
    </w:p>
    <w:p w14:paraId="20B32A70" w14:textId="77777777" w:rsidR="00105752" w:rsidRDefault="00105752" w:rsidP="005144E2">
      <w:pPr>
        <w:widowControl/>
        <w:jc w:val="both"/>
        <w:rPr>
          <w:rFonts w:ascii="Arial" w:hAnsi="Arial" w:cs="Arial"/>
          <w:b/>
          <w:sz w:val="26"/>
          <w:szCs w:val="26"/>
        </w:rPr>
      </w:pPr>
    </w:p>
    <w:p w14:paraId="146FC4D6" w14:textId="77777777" w:rsidR="00105752" w:rsidRDefault="00105752" w:rsidP="005144E2">
      <w:pPr>
        <w:widowControl/>
        <w:jc w:val="both"/>
        <w:rPr>
          <w:rFonts w:ascii="Arial" w:hAnsi="Arial" w:cs="Arial"/>
          <w:b/>
          <w:sz w:val="26"/>
          <w:szCs w:val="26"/>
        </w:rPr>
      </w:pPr>
    </w:p>
    <w:p w14:paraId="1EDEF76C" w14:textId="77777777" w:rsidR="00105752" w:rsidRDefault="00105752" w:rsidP="005144E2">
      <w:pPr>
        <w:widowControl/>
        <w:jc w:val="both"/>
        <w:rPr>
          <w:rFonts w:ascii="Arial" w:hAnsi="Arial" w:cs="Arial"/>
          <w:b/>
          <w:sz w:val="26"/>
          <w:szCs w:val="26"/>
        </w:rPr>
      </w:pPr>
    </w:p>
    <w:p w14:paraId="6AC6AE1E" w14:textId="77777777" w:rsidR="00105752" w:rsidRDefault="00105752" w:rsidP="005144E2">
      <w:pPr>
        <w:widowControl/>
        <w:jc w:val="both"/>
        <w:rPr>
          <w:rFonts w:ascii="Arial" w:hAnsi="Arial" w:cs="Arial"/>
          <w:b/>
          <w:sz w:val="26"/>
          <w:szCs w:val="26"/>
        </w:rPr>
      </w:pPr>
    </w:p>
    <w:p w14:paraId="250407A3" w14:textId="77777777" w:rsidR="00655FBA" w:rsidRDefault="00655FBA" w:rsidP="005144E2">
      <w:pPr>
        <w:widowControl/>
        <w:jc w:val="both"/>
        <w:rPr>
          <w:rFonts w:ascii="Arial" w:hAnsi="Arial" w:cs="Arial"/>
          <w:b/>
          <w:sz w:val="26"/>
          <w:szCs w:val="26"/>
        </w:rPr>
      </w:pPr>
    </w:p>
    <w:p w14:paraId="509AAF69" w14:textId="77777777" w:rsidR="003F4719" w:rsidRPr="00F45A1F" w:rsidRDefault="003F4719" w:rsidP="005144E2">
      <w:pPr>
        <w:widowControl/>
        <w:jc w:val="both"/>
        <w:rPr>
          <w:rFonts w:ascii="Arial" w:hAnsi="Arial" w:cs="Arial"/>
          <w:b/>
          <w:sz w:val="26"/>
          <w:szCs w:val="26"/>
        </w:rPr>
      </w:pPr>
      <w:r w:rsidRPr="00F45A1F">
        <w:rPr>
          <w:rFonts w:ascii="Arial" w:hAnsi="Arial" w:cs="Arial"/>
          <w:b/>
          <w:sz w:val="26"/>
          <w:szCs w:val="26"/>
        </w:rPr>
        <w:t>NOTA 3</w:t>
      </w:r>
      <w:r w:rsidR="002002A2" w:rsidRPr="00F45A1F">
        <w:rPr>
          <w:rFonts w:ascii="Arial" w:hAnsi="Arial" w:cs="Arial"/>
          <w:b/>
          <w:sz w:val="26"/>
          <w:szCs w:val="26"/>
        </w:rPr>
        <w:t>3</w:t>
      </w:r>
      <w:r w:rsidRPr="00F45A1F">
        <w:rPr>
          <w:rFonts w:ascii="Arial" w:hAnsi="Arial" w:cs="Arial"/>
          <w:b/>
          <w:sz w:val="26"/>
          <w:szCs w:val="26"/>
        </w:rPr>
        <w:t xml:space="preserve"> – APLICAÇÕES FINANCEIRAS, ENCARGOS FINANCEIROS</w:t>
      </w:r>
      <w:r w:rsidR="00A8577A" w:rsidRPr="00F45A1F">
        <w:rPr>
          <w:rFonts w:ascii="Arial" w:hAnsi="Arial" w:cs="Arial"/>
          <w:b/>
          <w:sz w:val="26"/>
          <w:szCs w:val="26"/>
        </w:rPr>
        <w:t>, VARIAÇÕES MONETÁRIAS</w:t>
      </w:r>
      <w:r w:rsidRPr="00F45A1F">
        <w:rPr>
          <w:rFonts w:ascii="Arial" w:hAnsi="Arial" w:cs="Arial"/>
          <w:b/>
          <w:sz w:val="26"/>
          <w:szCs w:val="26"/>
        </w:rPr>
        <w:t xml:space="preserve"> E SUAS TRANSFERÊNCIAS</w:t>
      </w:r>
    </w:p>
    <w:p w14:paraId="59483100" w14:textId="77777777" w:rsidR="008702D1" w:rsidRPr="00F45A1F" w:rsidRDefault="008702D1" w:rsidP="005144E2">
      <w:pPr>
        <w:widowControl/>
        <w:jc w:val="both"/>
        <w:rPr>
          <w:rFonts w:ascii="Arial" w:hAnsi="Arial" w:cs="Arial"/>
          <w:b/>
          <w:sz w:val="26"/>
          <w:szCs w:val="26"/>
        </w:rPr>
      </w:pPr>
    </w:p>
    <w:p w14:paraId="4D310909" w14:textId="77777777" w:rsidR="008650AB" w:rsidRPr="00F45A1F" w:rsidRDefault="008A35C0" w:rsidP="005144E2">
      <w:pPr>
        <w:widowControl/>
        <w:jc w:val="both"/>
        <w:rPr>
          <w:rFonts w:ascii="Arial" w:hAnsi="Arial" w:cs="Arial"/>
          <w:b/>
        </w:rPr>
      </w:pPr>
      <w:r w:rsidRPr="00F45A1F">
        <w:rPr>
          <w:noProof/>
        </w:rPr>
        <w:drawing>
          <wp:inline distT="0" distB="0" distL="0" distR="0" wp14:anchorId="44461919" wp14:editId="503DAAC6">
            <wp:extent cx="6073140" cy="2883843"/>
            <wp:effectExtent l="0" t="0" r="3810" b="0"/>
            <wp:docPr id="121" name="Image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73140" cy="2883843"/>
                    </a:xfrm>
                    <a:prstGeom prst="rect">
                      <a:avLst/>
                    </a:prstGeom>
                    <a:noFill/>
                    <a:ln>
                      <a:noFill/>
                    </a:ln>
                  </pic:spPr>
                </pic:pic>
              </a:graphicData>
            </a:graphic>
          </wp:inline>
        </w:drawing>
      </w:r>
    </w:p>
    <w:p w14:paraId="6D346E37" w14:textId="77777777" w:rsidR="00947D45" w:rsidRPr="00F45A1F" w:rsidRDefault="00947D45" w:rsidP="005144E2">
      <w:pPr>
        <w:widowControl/>
        <w:jc w:val="both"/>
        <w:rPr>
          <w:rFonts w:ascii="Arial" w:hAnsi="Arial" w:cs="Arial"/>
          <w:b/>
        </w:rPr>
      </w:pPr>
    </w:p>
    <w:p w14:paraId="46985B6D" w14:textId="77777777" w:rsidR="003D6B86" w:rsidRDefault="003D6B86" w:rsidP="005144E2">
      <w:pPr>
        <w:widowControl/>
        <w:jc w:val="both"/>
        <w:rPr>
          <w:rFonts w:ascii="Arial" w:hAnsi="Arial" w:cs="Arial"/>
          <w:b/>
          <w:sz w:val="26"/>
          <w:szCs w:val="26"/>
        </w:rPr>
      </w:pPr>
    </w:p>
    <w:p w14:paraId="11C9D920" w14:textId="727D28EF" w:rsidR="003F4719" w:rsidRPr="00F45A1F" w:rsidRDefault="003F4719" w:rsidP="005144E2">
      <w:pPr>
        <w:widowControl/>
        <w:jc w:val="both"/>
        <w:rPr>
          <w:rFonts w:ascii="Arial" w:hAnsi="Arial" w:cs="Arial"/>
          <w:b/>
          <w:sz w:val="26"/>
          <w:szCs w:val="26"/>
        </w:rPr>
      </w:pPr>
      <w:r w:rsidRPr="00F45A1F">
        <w:rPr>
          <w:rFonts w:ascii="Arial" w:hAnsi="Arial" w:cs="Arial"/>
          <w:b/>
          <w:sz w:val="26"/>
          <w:szCs w:val="26"/>
        </w:rPr>
        <w:t>NOTA 3</w:t>
      </w:r>
      <w:r w:rsidR="002002A2" w:rsidRPr="00F45A1F">
        <w:rPr>
          <w:rFonts w:ascii="Arial" w:hAnsi="Arial" w:cs="Arial"/>
          <w:b/>
          <w:sz w:val="26"/>
          <w:szCs w:val="26"/>
        </w:rPr>
        <w:t>4</w:t>
      </w:r>
      <w:r w:rsidRPr="00F45A1F">
        <w:rPr>
          <w:rFonts w:ascii="Arial" w:hAnsi="Arial" w:cs="Arial"/>
          <w:b/>
          <w:sz w:val="26"/>
          <w:szCs w:val="26"/>
        </w:rPr>
        <w:t xml:space="preserve"> - SALDO E TRANSAÇÕES COM PARTES RELACIONADAS </w:t>
      </w:r>
    </w:p>
    <w:p w14:paraId="7009D7AE" w14:textId="77777777" w:rsidR="00DA3463" w:rsidRPr="00F45A1F" w:rsidRDefault="00DA3463" w:rsidP="005144E2">
      <w:pPr>
        <w:widowControl/>
        <w:jc w:val="both"/>
        <w:rPr>
          <w:rFonts w:ascii="Arial" w:hAnsi="Arial" w:cs="Arial"/>
          <w:b/>
        </w:rPr>
      </w:pPr>
    </w:p>
    <w:p w14:paraId="44A41D54" w14:textId="77777777" w:rsidR="00557D1D" w:rsidRPr="00F45A1F" w:rsidRDefault="008205E7" w:rsidP="005144E2">
      <w:pPr>
        <w:widowControl/>
        <w:jc w:val="both"/>
        <w:rPr>
          <w:rFonts w:ascii="Arial" w:hAnsi="Arial" w:cs="Arial"/>
        </w:rPr>
      </w:pPr>
      <w:r w:rsidRPr="00F45A1F">
        <w:rPr>
          <w:rFonts w:ascii="Arial" w:hAnsi="Arial" w:cs="Arial"/>
        </w:rPr>
        <w:t xml:space="preserve">De acordo com o Pronunciamento Técnico CPC 5 – Divulgação sobre Partes </w:t>
      </w:r>
      <w:r w:rsidR="00955A74" w:rsidRPr="00F45A1F">
        <w:rPr>
          <w:rFonts w:ascii="Arial" w:hAnsi="Arial" w:cs="Arial"/>
        </w:rPr>
        <w:t>R</w:t>
      </w:r>
      <w:r w:rsidRPr="00F45A1F">
        <w:rPr>
          <w:rFonts w:ascii="Arial" w:hAnsi="Arial" w:cs="Arial"/>
        </w:rPr>
        <w:t xml:space="preserve">elacionadas, enquadram-se nesse conceito a transferência de recursos, serviços ou obrigações entre partes relacionadas, independentemente de haver ou não um valor alocado à transação. </w:t>
      </w:r>
    </w:p>
    <w:p w14:paraId="670607BD" w14:textId="77777777" w:rsidR="008205E7" w:rsidRPr="00F45A1F" w:rsidRDefault="008205E7" w:rsidP="005144E2">
      <w:pPr>
        <w:widowControl/>
        <w:jc w:val="both"/>
        <w:rPr>
          <w:rFonts w:ascii="Arial" w:hAnsi="Arial" w:cs="Arial"/>
        </w:rPr>
      </w:pPr>
    </w:p>
    <w:p w14:paraId="6D63D0E6" w14:textId="77777777" w:rsidR="00BC5DFF" w:rsidRPr="00F45A1F" w:rsidRDefault="00167144" w:rsidP="005144E2">
      <w:pPr>
        <w:widowControl/>
        <w:jc w:val="both"/>
        <w:rPr>
          <w:rFonts w:ascii="Arial" w:hAnsi="Arial" w:cs="Arial"/>
        </w:rPr>
      </w:pPr>
      <w:r w:rsidRPr="00F45A1F">
        <w:rPr>
          <w:rFonts w:ascii="Arial" w:hAnsi="Arial" w:cs="Arial"/>
        </w:rPr>
        <w:t xml:space="preserve">As transações </w:t>
      </w:r>
      <w:r w:rsidR="003265AC" w:rsidRPr="00F45A1F">
        <w:rPr>
          <w:rFonts w:ascii="Arial" w:hAnsi="Arial" w:cs="Arial"/>
        </w:rPr>
        <w:t xml:space="preserve">de comercialização de energia </w:t>
      </w:r>
      <w:r w:rsidRPr="00F45A1F">
        <w:rPr>
          <w:rFonts w:ascii="Arial" w:hAnsi="Arial" w:cs="Arial"/>
        </w:rPr>
        <w:t xml:space="preserve">com partes relacionadas são realizadas de acordo com os padrões e preços </w:t>
      </w:r>
      <w:r w:rsidR="003265AC" w:rsidRPr="00F45A1F">
        <w:rPr>
          <w:rFonts w:ascii="Arial" w:hAnsi="Arial" w:cs="Arial"/>
        </w:rPr>
        <w:t>estabelecidos pelo órgão regulador</w:t>
      </w:r>
      <w:r w:rsidRPr="00F45A1F">
        <w:rPr>
          <w:rFonts w:ascii="Arial" w:hAnsi="Arial" w:cs="Arial"/>
        </w:rPr>
        <w:t xml:space="preserve"> ou baseados em contratos próprios do Se</w:t>
      </w:r>
      <w:r w:rsidR="00BC5DFF" w:rsidRPr="00F45A1F">
        <w:rPr>
          <w:rFonts w:ascii="Arial" w:hAnsi="Arial" w:cs="Arial"/>
        </w:rPr>
        <w:t>tor Elétrico.</w:t>
      </w:r>
    </w:p>
    <w:p w14:paraId="0E95F1E1" w14:textId="77777777" w:rsidR="00A8048D" w:rsidRPr="00F45A1F" w:rsidRDefault="00A8048D" w:rsidP="005144E2">
      <w:pPr>
        <w:widowControl/>
        <w:jc w:val="both"/>
        <w:rPr>
          <w:rFonts w:ascii="Arial" w:hAnsi="Arial" w:cs="Arial"/>
        </w:rPr>
      </w:pPr>
    </w:p>
    <w:p w14:paraId="296CFB70" w14:textId="77777777" w:rsidR="003F4719" w:rsidRPr="00F45A1F" w:rsidRDefault="003F4719" w:rsidP="005144E2">
      <w:pPr>
        <w:widowControl/>
        <w:jc w:val="both"/>
        <w:rPr>
          <w:rFonts w:ascii="Arial" w:hAnsi="Arial" w:cs="Arial"/>
        </w:rPr>
      </w:pPr>
      <w:r w:rsidRPr="00F45A1F">
        <w:rPr>
          <w:rFonts w:ascii="Arial" w:hAnsi="Arial" w:cs="Arial"/>
        </w:rPr>
        <w:t>Segue abaixo, quadro do saldo e transações com as empresas consideradas partes relacionadas:</w:t>
      </w:r>
    </w:p>
    <w:p w14:paraId="54F6C217" w14:textId="77777777" w:rsidR="00A8048D" w:rsidRPr="00F45A1F" w:rsidRDefault="00A8048D" w:rsidP="005144E2">
      <w:pPr>
        <w:widowControl/>
        <w:jc w:val="both"/>
        <w:rPr>
          <w:rFonts w:ascii="Arial" w:hAnsi="Arial" w:cs="Arial"/>
          <w:noProof/>
          <w:sz w:val="16"/>
          <w:szCs w:val="16"/>
        </w:rPr>
      </w:pPr>
    </w:p>
    <w:p w14:paraId="1980D45C" w14:textId="1019055D" w:rsidR="00EF385F" w:rsidRPr="00F45A1F" w:rsidRDefault="00A6198A" w:rsidP="005144E2">
      <w:pPr>
        <w:widowControl/>
        <w:jc w:val="both"/>
        <w:rPr>
          <w:rFonts w:ascii="Arial" w:hAnsi="Arial" w:cs="Arial"/>
        </w:rPr>
      </w:pPr>
      <w:r w:rsidRPr="00A6198A">
        <w:rPr>
          <w:noProof/>
        </w:rPr>
        <w:drawing>
          <wp:inline distT="0" distB="0" distL="0" distR="0" wp14:anchorId="7EC70F8C" wp14:editId="12B5512D">
            <wp:extent cx="6073140" cy="3724564"/>
            <wp:effectExtent l="0" t="0" r="381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73140" cy="3724564"/>
                    </a:xfrm>
                    <a:prstGeom prst="rect">
                      <a:avLst/>
                    </a:prstGeom>
                    <a:noFill/>
                    <a:ln>
                      <a:noFill/>
                    </a:ln>
                  </pic:spPr>
                </pic:pic>
              </a:graphicData>
            </a:graphic>
          </wp:inline>
        </w:drawing>
      </w:r>
    </w:p>
    <w:p w14:paraId="7E5F8564" w14:textId="77777777" w:rsidR="00FD6978" w:rsidRPr="00F45A1F" w:rsidRDefault="00FD6978" w:rsidP="005144E2">
      <w:pPr>
        <w:widowControl/>
        <w:jc w:val="both"/>
        <w:rPr>
          <w:rFonts w:ascii="Arial" w:hAnsi="Arial" w:cs="Arial"/>
        </w:rPr>
      </w:pPr>
    </w:p>
    <w:p w14:paraId="318D4178" w14:textId="77777777" w:rsidR="00112D25" w:rsidRPr="00F45A1F" w:rsidRDefault="00112D25" w:rsidP="005144E2">
      <w:pPr>
        <w:pStyle w:val="PargrafodaLista"/>
        <w:widowControl/>
        <w:numPr>
          <w:ilvl w:val="0"/>
          <w:numId w:val="19"/>
        </w:numPr>
        <w:jc w:val="both"/>
        <w:rPr>
          <w:rFonts w:ascii="Arial" w:hAnsi="Arial" w:cs="Arial"/>
        </w:rPr>
      </w:pPr>
      <w:r w:rsidRPr="00F45A1F">
        <w:rPr>
          <w:rFonts w:ascii="Arial" w:hAnsi="Arial" w:cs="Arial"/>
          <w:b/>
          <w:u w:val="single"/>
        </w:rPr>
        <w:t>Concessionárias e Permissionárias</w:t>
      </w:r>
      <w:r w:rsidRPr="00F45A1F">
        <w:rPr>
          <w:rFonts w:ascii="Arial" w:hAnsi="Arial" w:cs="Arial"/>
          <w:b/>
        </w:rPr>
        <w:t>:</w:t>
      </w:r>
      <w:r w:rsidR="008A35C0" w:rsidRPr="00F45A1F">
        <w:rPr>
          <w:rFonts w:ascii="Arial" w:hAnsi="Arial" w:cs="Arial"/>
          <w:b/>
        </w:rPr>
        <w:t xml:space="preserve"> </w:t>
      </w:r>
      <w:r w:rsidR="0001554B" w:rsidRPr="00F45A1F">
        <w:rPr>
          <w:rFonts w:ascii="Arial" w:hAnsi="Arial" w:cs="Arial"/>
        </w:rPr>
        <w:t>corresponde a valores a receber referente</w:t>
      </w:r>
      <w:r w:rsidR="006F1BF2" w:rsidRPr="00F45A1F">
        <w:rPr>
          <w:rFonts w:ascii="Arial" w:hAnsi="Arial" w:cs="Arial"/>
        </w:rPr>
        <w:t>s a</w:t>
      </w:r>
      <w:r w:rsidR="0001554B" w:rsidRPr="00F45A1F">
        <w:rPr>
          <w:rFonts w:ascii="Arial" w:hAnsi="Arial" w:cs="Arial"/>
        </w:rPr>
        <w:t xml:space="preserve"> faturamento vinculado à </w:t>
      </w:r>
      <w:r w:rsidR="00712513" w:rsidRPr="00F45A1F">
        <w:rPr>
          <w:rFonts w:ascii="Arial" w:hAnsi="Arial" w:cs="Arial"/>
        </w:rPr>
        <w:t>r</w:t>
      </w:r>
      <w:r w:rsidR="0001554B" w:rsidRPr="00F45A1F">
        <w:rPr>
          <w:rFonts w:ascii="Arial" w:hAnsi="Arial" w:cs="Arial"/>
        </w:rPr>
        <w:t xml:space="preserve">eceita </w:t>
      </w:r>
      <w:r w:rsidR="00712513" w:rsidRPr="00F45A1F">
        <w:rPr>
          <w:rFonts w:ascii="Arial" w:hAnsi="Arial" w:cs="Arial"/>
        </w:rPr>
        <w:t>a</w:t>
      </w:r>
      <w:r w:rsidR="0001554B" w:rsidRPr="00F45A1F">
        <w:rPr>
          <w:rFonts w:ascii="Arial" w:hAnsi="Arial" w:cs="Arial"/>
        </w:rPr>
        <w:t xml:space="preserve">nual </w:t>
      </w:r>
      <w:r w:rsidR="00712513" w:rsidRPr="00F45A1F">
        <w:rPr>
          <w:rFonts w:ascii="Arial" w:hAnsi="Arial" w:cs="Arial"/>
        </w:rPr>
        <w:t>determinada</w:t>
      </w:r>
      <w:r w:rsidR="0001554B" w:rsidRPr="00F45A1F">
        <w:rPr>
          <w:rFonts w:ascii="Arial" w:hAnsi="Arial" w:cs="Arial"/>
        </w:rPr>
        <w:t>. A tarifa praticada nessas transações entre partes relacionadas é definida em resoluç</w:t>
      </w:r>
      <w:r w:rsidR="00044850" w:rsidRPr="00F45A1F">
        <w:rPr>
          <w:rFonts w:ascii="Arial" w:hAnsi="Arial" w:cs="Arial"/>
        </w:rPr>
        <w:t>ões da A</w:t>
      </w:r>
      <w:r w:rsidR="00904EEC" w:rsidRPr="00F45A1F">
        <w:rPr>
          <w:rFonts w:ascii="Arial" w:hAnsi="Arial" w:cs="Arial"/>
        </w:rPr>
        <w:t>neel</w:t>
      </w:r>
      <w:r w:rsidR="0001554B" w:rsidRPr="00F45A1F">
        <w:rPr>
          <w:rFonts w:ascii="Arial" w:hAnsi="Arial" w:cs="Arial"/>
        </w:rPr>
        <w:t xml:space="preserve"> (</w:t>
      </w:r>
      <w:r w:rsidR="008E6B5F" w:rsidRPr="00F45A1F">
        <w:rPr>
          <w:rFonts w:ascii="Arial" w:hAnsi="Arial" w:cs="Arial"/>
        </w:rPr>
        <w:t>n</w:t>
      </w:r>
      <w:r w:rsidR="0001554B" w:rsidRPr="00F45A1F">
        <w:rPr>
          <w:rFonts w:ascii="Arial" w:hAnsi="Arial" w:cs="Arial"/>
        </w:rPr>
        <w:t>ota 6).</w:t>
      </w:r>
    </w:p>
    <w:p w14:paraId="1315610D" w14:textId="77777777" w:rsidR="0001554B" w:rsidRPr="00F45A1F" w:rsidRDefault="0001554B" w:rsidP="005144E2">
      <w:pPr>
        <w:widowControl/>
        <w:jc w:val="both"/>
        <w:rPr>
          <w:rFonts w:ascii="Arial" w:hAnsi="Arial" w:cs="Arial"/>
        </w:rPr>
      </w:pPr>
    </w:p>
    <w:p w14:paraId="3638FC00" w14:textId="77777777" w:rsidR="0001554B" w:rsidRPr="00F45A1F" w:rsidRDefault="0001554B" w:rsidP="005144E2">
      <w:pPr>
        <w:pStyle w:val="PargrafodaLista"/>
        <w:widowControl/>
        <w:numPr>
          <w:ilvl w:val="0"/>
          <w:numId w:val="19"/>
        </w:numPr>
        <w:jc w:val="both"/>
        <w:rPr>
          <w:rFonts w:ascii="Arial" w:hAnsi="Arial" w:cs="Arial"/>
          <w:b/>
          <w:u w:val="single"/>
        </w:rPr>
      </w:pPr>
      <w:r w:rsidRPr="00F45A1F">
        <w:rPr>
          <w:rFonts w:ascii="Arial" w:hAnsi="Arial" w:cs="Arial"/>
          <w:b/>
          <w:u w:val="single"/>
        </w:rPr>
        <w:t xml:space="preserve">Fundo </w:t>
      </w:r>
      <w:r w:rsidR="00CE1CA4" w:rsidRPr="00F45A1F">
        <w:rPr>
          <w:rFonts w:ascii="Arial" w:hAnsi="Arial" w:cs="Arial"/>
          <w:b/>
          <w:u w:val="single"/>
        </w:rPr>
        <w:t>de</w:t>
      </w:r>
      <w:r w:rsidR="008210AD" w:rsidRPr="00F45A1F">
        <w:rPr>
          <w:rFonts w:ascii="Arial" w:hAnsi="Arial" w:cs="Arial"/>
          <w:b/>
          <w:u w:val="single"/>
        </w:rPr>
        <w:t xml:space="preserve"> </w:t>
      </w:r>
      <w:proofErr w:type="spellStart"/>
      <w:r w:rsidRPr="00F45A1F">
        <w:rPr>
          <w:rFonts w:ascii="Arial" w:hAnsi="Arial" w:cs="Arial"/>
          <w:b/>
          <w:u w:val="single"/>
        </w:rPr>
        <w:t>descomissionamento</w:t>
      </w:r>
      <w:proofErr w:type="spellEnd"/>
      <w:r w:rsidR="00BB51F5" w:rsidRPr="00F45A1F">
        <w:rPr>
          <w:rFonts w:ascii="Arial" w:hAnsi="Arial" w:cs="Arial"/>
          <w:b/>
        </w:rPr>
        <w:t>:</w:t>
      </w:r>
      <w:r w:rsidR="008210AD" w:rsidRPr="00F45A1F">
        <w:rPr>
          <w:rFonts w:ascii="Arial" w:hAnsi="Arial" w:cs="Arial"/>
          <w:b/>
        </w:rPr>
        <w:t xml:space="preserve"> </w:t>
      </w:r>
      <w:r w:rsidR="00044850" w:rsidRPr="00F45A1F">
        <w:rPr>
          <w:rFonts w:ascii="Arial" w:hAnsi="Arial" w:cs="Arial"/>
          <w:shd w:val="clear" w:color="auto" w:fill="FFFFFF"/>
        </w:rPr>
        <w:t>o</w:t>
      </w:r>
      <w:r w:rsidR="00CE1CA4" w:rsidRPr="00F45A1F">
        <w:rPr>
          <w:rFonts w:ascii="Arial" w:hAnsi="Arial" w:cs="Arial"/>
          <w:shd w:val="clear" w:color="auto" w:fill="FFFFFF"/>
        </w:rPr>
        <w:t xml:space="preserve"> fundo de </w:t>
      </w:r>
      <w:proofErr w:type="spellStart"/>
      <w:r w:rsidR="00CE1CA4" w:rsidRPr="00F45A1F">
        <w:rPr>
          <w:rFonts w:ascii="Arial" w:hAnsi="Arial" w:cs="Arial"/>
          <w:shd w:val="clear" w:color="auto" w:fill="FFFFFF"/>
        </w:rPr>
        <w:t>descomissionamento</w:t>
      </w:r>
      <w:proofErr w:type="spellEnd"/>
      <w:r w:rsidR="00CE1CA4" w:rsidRPr="00F45A1F">
        <w:rPr>
          <w:rFonts w:ascii="Arial" w:hAnsi="Arial" w:cs="Arial"/>
          <w:shd w:val="clear" w:color="auto" w:fill="FFFFFF"/>
        </w:rPr>
        <w:t xml:space="preserve"> de usinas nucleares se refere à obrigação para desmobilização dos ativos das usinas nucleares, para fazer face aos custos a serem incorridos ao final da vida útil econômica das mesmas (</w:t>
      </w:r>
      <w:r w:rsidR="008E6B5F" w:rsidRPr="00F45A1F">
        <w:rPr>
          <w:rFonts w:ascii="Arial" w:hAnsi="Arial" w:cs="Arial"/>
          <w:shd w:val="clear" w:color="auto" w:fill="FFFFFF"/>
        </w:rPr>
        <w:t>n</w:t>
      </w:r>
      <w:r w:rsidR="00CE1CA4" w:rsidRPr="00F45A1F">
        <w:rPr>
          <w:rFonts w:ascii="Arial" w:hAnsi="Arial" w:cs="Arial"/>
          <w:shd w:val="clear" w:color="auto" w:fill="FFFFFF"/>
        </w:rPr>
        <w:t>otas 11 e 2</w:t>
      </w:r>
      <w:r w:rsidR="00911EBA" w:rsidRPr="00F45A1F">
        <w:rPr>
          <w:rFonts w:ascii="Arial" w:hAnsi="Arial" w:cs="Arial"/>
          <w:shd w:val="clear" w:color="auto" w:fill="FFFFFF"/>
        </w:rPr>
        <w:t>4</w:t>
      </w:r>
      <w:r w:rsidR="00CE1CA4" w:rsidRPr="00F45A1F">
        <w:rPr>
          <w:rFonts w:ascii="Arial" w:hAnsi="Arial" w:cs="Arial"/>
          <w:shd w:val="clear" w:color="auto" w:fill="FFFFFF"/>
        </w:rPr>
        <w:t>).</w:t>
      </w:r>
    </w:p>
    <w:p w14:paraId="43286264" w14:textId="77777777" w:rsidR="00CE1CA4" w:rsidRPr="00F45A1F" w:rsidRDefault="00CE1CA4" w:rsidP="005144E2">
      <w:pPr>
        <w:pStyle w:val="PargrafodaLista"/>
        <w:rPr>
          <w:rFonts w:ascii="Arial" w:hAnsi="Arial" w:cs="Arial"/>
          <w:b/>
          <w:u w:val="single"/>
        </w:rPr>
      </w:pPr>
    </w:p>
    <w:p w14:paraId="7F5380B9" w14:textId="77777777" w:rsidR="00CE1CA4" w:rsidRPr="00F45A1F" w:rsidRDefault="001F0F40" w:rsidP="005144E2">
      <w:pPr>
        <w:pStyle w:val="PargrafodaLista"/>
        <w:widowControl/>
        <w:numPr>
          <w:ilvl w:val="0"/>
          <w:numId w:val="19"/>
        </w:numPr>
        <w:jc w:val="both"/>
        <w:rPr>
          <w:rFonts w:ascii="Arial" w:hAnsi="Arial" w:cs="Arial"/>
          <w:b/>
          <w:u w:val="single"/>
        </w:rPr>
      </w:pPr>
      <w:r w:rsidRPr="00F45A1F">
        <w:rPr>
          <w:rFonts w:ascii="Arial" w:hAnsi="Arial" w:cs="Arial"/>
          <w:b/>
          <w:u w:val="single"/>
        </w:rPr>
        <w:t>Fornecedores</w:t>
      </w:r>
      <w:r w:rsidRPr="00F45A1F">
        <w:rPr>
          <w:rFonts w:ascii="Arial" w:hAnsi="Arial" w:cs="Arial"/>
          <w:b/>
        </w:rPr>
        <w:t>:</w:t>
      </w:r>
      <w:r w:rsidRPr="00F45A1F">
        <w:rPr>
          <w:rFonts w:ascii="Arial" w:hAnsi="Arial" w:cs="Arial"/>
        </w:rPr>
        <w:t xml:space="preserve"> refere-se a valores a pagar vinculado</w:t>
      </w:r>
      <w:r w:rsidR="00B55CA3" w:rsidRPr="00F45A1F">
        <w:rPr>
          <w:rFonts w:ascii="Arial" w:hAnsi="Arial" w:cs="Arial"/>
        </w:rPr>
        <w:t>, principalmente a Uso de Rede de Transmissão.</w:t>
      </w:r>
    </w:p>
    <w:p w14:paraId="417E36B6" w14:textId="77777777" w:rsidR="00BC140E" w:rsidRPr="00F45A1F" w:rsidRDefault="00BC140E" w:rsidP="005144E2">
      <w:pPr>
        <w:widowControl/>
        <w:jc w:val="both"/>
        <w:rPr>
          <w:rFonts w:ascii="Arial" w:hAnsi="Arial" w:cs="Arial"/>
          <w:b/>
          <w:u w:val="single"/>
        </w:rPr>
      </w:pPr>
    </w:p>
    <w:p w14:paraId="2205C78D" w14:textId="77777777" w:rsidR="00CE1CA4" w:rsidRPr="00F45A1F" w:rsidRDefault="00CE1CA4" w:rsidP="005144E2">
      <w:pPr>
        <w:pStyle w:val="PargrafodaLista"/>
        <w:widowControl/>
        <w:numPr>
          <w:ilvl w:val="0"/>
          <w:numId w:val="19"/>
        </w:numPr>
        <w:jc w:val="both"/>
        <w:rPr>
          <w:rFonts w:ascii="Arial" w:hAnsi="Arial" w:cs="Arial"/>
          <w:b/>
        </w:rPr>
      </w:pPr>
      <w:r w:rsidRPr="00F45A1F">
        <w:rPr>
          <w:rFonts w:ascii="Arial" w:hAnsi="Arial" w:cs="Arial"/>
          <w:b/>
          <w:u w:val="single"/>
        </w:rPr>
        <w:t>Devolução de Tarifa</w:t>
      </w:r>
      <w:r w:rsidR="003F5F20" w:rsidRPr="00F45A1F">
        <w:rPr>
          <w:rFonts w:ascii="Arial" w:hAnsi="Arial" w:cs="Arial"/>
          <w:b/>
          <w:u w:val="single"/>
        </w:rPr>
        <w:t xml:space="preserve"> RH 1.406/12</w:t>
      </w:r>
      <w:r w:rsidRPr="00F45A1F">
        <w:rPr>
          <w:rFonts w:ascii="Arial" w:hAnsi="Arial" w:cs="Arial"/>
          <w:b/>
        </w:rPr>
        <w:t xml:space="preserve">: </w:t>
      </w:r>
      <w:r w:rsidR="002F7722" w:rsidRPr="00F45A1F">
        <w:rPr>
          <w:rFonts w:ascii="Arial" w:hAnsi="Arial" w:cs="Arial"/>
        </w:rPr>
        <w:t>diferencial verificado, entre 2010 e 2012, entre a variação da tarifa faturada pela ELETRONUCLEAR e a tarifa de referência a ser repassado para Furnas. (Parágrafo 4º do art. 12</w:t>
      </w:r>
      <w:r w:rsidR="006F1BF2" w:rsidRPr="00F45A1F">
        <w:rPr>
          <w:rFonts w:ascii="Arial" w:hAnsi="Arial" w:cs="Arial"/>
        </w:rPr>
        <w:t>,</w:t>
      </w:r>
      <w:r w:rsidR="002F7722" w:rsidRPr="00F45A1F">
        <w:rPr>
          <w:rFonts w:ascii="Arial" w:hAnsi="Arial" w:cs="Arial"/>
        </w:rPr>
        <w:t xml:space="preserve"> da Lei 12.111/2009 e no art. 2º da Resolução Homologatória da A</w:t>
      </w:r>
      <w:r w:rsidR="00904EEC" w:rsidRPr="00F45A1F">
        <w:rPr>
          <w:rFonts w:ascii="Arial" w:hAnsi="Arial" w:cs="Arial"/>
        </w:rPr>
        <w:t>neel</w:t>
      </w:r>
      <w:r w:rsidR="002F7722" w:rsidRPr="00F45A1F">
        <w:rPr>
          <w:rFonts w:ascii="Arial" w:hAnsi="Arial" w:cs="Arial"/>
        </w:rPr>
        <w:t xml:space="preserve"> nº 1.406</w:t>
      </w:r>
      <w:r w:rsidR="006F1BF2" w:rsidRPr="00F45A1F">
        <w:rPr>
          <w:rFonts w:ascii="Arial" w:hAnsi="Arial" w:cs="Arial"/>
        </w:rPr>
        <w:t>,</w:t>
      </w:r>
      <w:r w:rsidR="002F7722" w:rsidRPr="00F45A1F">
        <w:rPr>
          <w:rFonts w:ascii="Arial" w:hAnsi="Arial" w:cs="Arial"/>
        </w:rPr>
        <w:t xml:space="preserve"> de 21</w:t>
      </w:r>
      <w:r w:rsidR="00DA3463" w:rsidRPr="00F45A1F">
        <w:rPr>
          <w:rFonts w:ascii="Arial" w:hAnsi="Arial" w:cs="Arial"/>
        </w:rPr>
        <w:t xml:space="preserve"> de dezembro de </w:t>
      </w:r>
      <w:r w:rsidR="002F7722" w:rsidRPr="00F45A1F">
        <w:rPr>
          <w:rFonts w:ascii="Arial" w:hAnsi="Arial" w:cs="Arial"/>
        </w:rPr>
        <w:t>2012</w:t>
      </w:r>
      <w:r w:rsidR="00C30BDA" w:rsidRPr="00F45A1F">
        <w:rPr>
          <w:rFonts w:ascii="Arial" w:hAnsi="Arial" w:cs="Arial"/>
        </w:rPr>
        <w:t>).</w:t>
      </w:r>
    </w:p>
    <w:p w14:paraId="52C5211F" w14:textId="77777777" w:rsidR="00CE1CA4" w:rsidRPr="00F45A1F" w:rsidRDefault="00CE1CA4" w:rsidP="005144E2">
      <w:pPr>
        <w:pStyle w:val="PargrafodaLista"/>
        <w:rPr>
          <w:rFonts w:ascii="Arial" w:hAnsi="Arial" w:cs="Arial"/>
          <w:b/>
          <w:u w:val="single"/>
        </w:rPr>
      </w:pPr>
    </w:p>
    <w:p w14:paraId="6F94853D" w14:textId="77777777" w:rsidR="00BB51F5" w:rsidRPr="00F45A1F" w:rsidRDefault="00CE1CA4" w:rsidP="005144E2">
      <w:pPr>
        <w:pStyle w:val="PargrafodaLista"/>
        <w:widowControl/>
        <w:numPr>
          <w:ilvl w:val="0"/>
          <w:numId w:val="19"/>
        </w:numPr>
        <w:jc w:val="both"/>
        <w:rPr>
          <w:rFonts w:ascii="Arial" w:hAnsi="Arial" w:cs="Arial"/>
          <w:b/>
          <w:u w:val="single"/>
        </w:rPr>
      </w:pPr>
      <w:r w:rsidRPr="00F45A1F">
        <w:rPr>
          <w:rFonts w:ascii="Arial" w:hAnsi="Arial" w:cs="Arial"/>
          <w:b/>
          <w:u w:val="single"/>
        </w:rPr>
        <w:t>Financiamentos captados</w:t>
      </w:r>
      <w:r w:rsidRPr="00F45A1F">
        <w:rPr>
          <w:rFonts w:ascii="Arial" w:hAnsi="Arial" w:cs="Arial"/>
          <w:b/>
        </w:rPr>
        <w:t>:</w:t>
      </w:r>
      <w:r w:rsidR="008A35C0" w:rsidRPr="00F45A1F">
        <w:rPr>
          <w:rFonts w:ascii="Arial" w:hAnsi="Arial" w:cs="Arial"/>
          <w:b/>
        </w:rPr>
        <w:t xml:space="preserve"> </w:t>
      </w:r>
      <w:r w:rsidR="00044850" w:rsidRPr="00F45A1F">
        <w:rPr>
          <w:rFonts w:ascii="Arial" w:hAnsi="Arial" w:cs="Arial"/>
        </w:rPr>
        <w:t xml:space="preserve">a </w:t>
      </w:r>
      <w:r w:rsidR="00684E10" w:rsidRPr="00F45A1F">
        <w:rPr>
          <w:rFonts w:ascii="Arial" w:hAnsi="Arial" w:cs="Arial"/>
        </w:rPr>
        <w:t>C</w:t>
      </w:r>
      <w:r w:rsidR="008B3208" w:rsidRPr="00F45A1F">
        <w:rPr>
          <w:rFonts w:ascii="Arial" w:hAnsi="Arial" w:cs="Arial"/>
        </w:rPr>
        <w:t>ompanhia</w:t>
      </w:r>
      <w:r w:rsidR="00044850" w:rsidRPr="00F45A1F">
        <w:rPr>
          <w:rFonts w:ascii="Arial" w:hAnsi="Arial" w:cs="Arial"/>
        </w:rPr>
        <w:t xml:space="preserve"> possui contratos de financiamentos e empréstimos firmados com a Eletrobras. O detalhamento das operações e taxas de juros são apresentadas na </w:t>
      </w:r>
      <w:r w:rsidR="008E6B5F" w:rsidRPr="00F45A1F">
        <w:rPr>
          <w:rFonts w:ascii="Arial" w:hAnsi="Arial" w:cs="Arial"/>
        </w:rPr>
        <w:t>n</w:t>
      </w:r>
      <w:r w:rsidR="00044850" w:rsidRPr="00F45A1F">
        <w:rPr>
          <w:rFonts w:ascii="Arial" w:hAnsi="Arial" w:cs="Arial"/>
        </w:rPr>
        <w:t>ota 17.</w:t>
      </w:r>
    </w:p>
    <w:p w14:paraId="2FC87357" w14:textId="77777777" w:rsidR="00044850" w:rsidRPr="00F45A1F" w:rsidRDefault="00044850" w:rsidP="005144E2">
      <w:pPr>
        <w:pStyle w:val="PargrafodaLista"/>
        <w:rPr>
          <w:rFonts w:ascii="Arial" w:hAnsi="Arial" w:cs="Arial"/>
          <w:b/>
          <w:u w:val="single"/>
        </w:rPr>
      </w:pPr>
    </w:p>
    <w:p w14:paraId="37FDA5F3" w14:textId="77777777" w:rsidR="00BB51F5" w:rsidRPr="00F45A1F" w:rsidRDefault="00C058E9" w:rsidP="005144E2">
      <w:pPr>
        <w:pStyle w:val="PargrafodaLista"/>
        <w:widowControl/>
        <w:numPr>
          <w:ilvl w:val="0"/>
          <w:numId w:val="19"/>
        </w:numPr>
        <w:jc w:val="both"/>
        <w:rPr>
          <w:rFonts w:ascii="Arial" w:hAnsi="Arial" w:cs="Arial"/>
          <w:b/>
        </w:rPr>
      </w:pPr>
      <w:r w:rsidRPr="00F45A1F">
        <w:rPr>
          <w:rFonts w:ascii="Arial" w:hAnsi="Arial" w:cs="Arial"/>
          <w:b/>
          <w:u w:val="single"/>
        </w:rPr>
        <w:t>Despesas reembolsáveis</w:t>
      </w:r>
      <w:r w:rsidR="00BB51F5" w:rsidRPr="00F45A1F">
        <w:rPr>
          <w:rFonts w:ascii="Arial" w:hAnsi="Arial" w:cs="Arial"/>
        </w:rPr>
        <w:t xml:space="preserve">: </w:t>
      </w:r>
      <w:r w:rsidR="00B013B6" w:rsidRPr="00F45A1F">
        <w:rPr>
          <w:rFonts w:ascii="Arial" w:hAnsi="Arial" w:cs="Arial"/>
        </w:rPr>
        <w:t>custo e despesa referentes</w:t>
      </w:r>
      <w:r w:rsidR="00712513" w:rsidRPr="00F45A1F">
        <w:rPr>
          <w:rFonts w:ascii="Arial" w:hAnsi="Arial" w:cs="Arial"/>
        </w:rPr>
        <w:t>,</w:t>
      </w:r>
      <w:r w:rsidR="008A35C0" w:rsidRPr="00F45A1F">
        <w:rPr>
          <w:rFonts w:ascii="Arial" w:hAnsi="Arial" w:cs="Arial"/>
        </w:rPr>
        <w:t xml:space="preserve"> </w:t>
      </w:r>
      <w:r w:rsidRPr="00F45A1F">
        <w:rPr>
          <w:rFonts w:ascii="Arial" w:hAnsi="Arial" w:cs="Arial"/>
        </w:rPr>
        <w:t>principalmente</w:t>
      </w:r>
      <w:r w:rsidR="00712513" w:rsidRPr="00F45A1F">
        <w:rPr>
          <w:rFonts w:ascii="Arial" w:hAnsi="Arial" w:cs="Arial"/>
        </w:rPr>
        <w:t>,</w:t>
      </w:r>
      <w:r w:rsidR="00B013B6" w:rsidRPr="00F45A1F">
        <w:rPr>
          <w:rFonts w:ascii="Arial" w:hAnsi="Arial" w:cs="Arial"/>
        </w:rPr>
        <w:t xml:space="preserve"> à cessão e requisição de funcionários </w:t>
      </w:r>
      <w:r w:rsidRPr="00F45A1F">
        <w:rPr>
          <w:rFonts w:ascii="Arial" w:hAnsi="Arial" w:cs="Arial"/>
        </w:rPr>
        <w:t>entre</w:t>
      </w:r>
      <w:r w:rsidR="008A35C0" w:rsidRPr="00F45A1F">
        <w:rPr>
          <w:rFonts w:ascii="Arial" w:hAnsi="Arial" w:cs="Arial"/>
        </w:rPr>
        <w:t xml:space="preserve"> </w:t>
      </w:r>
      <w:r w:rsidRPr="00F45A1F">
        <w:rPr>
          <w:rFonts w:ascii="Arial" w:hAnsi="Arial" w:cs="Arial"/>
        </w:rPr>
        <w:t>c</w:t>
      </w:r>
      <w:r w:rsidR="00BB51F5" w:rsidRPr="00F45A1F">
        <w:rPr>
          <w:rFonts w:ascii="Arial" w:hAnsi="Arial" w:cs="Arial"/>
        </w:rPr>
        <w:t>ompanhia</w:t>
      </w:r>
      <w:r w:rsidRPr="00F45A1F">
        <w:rPr>
          <w:rFonts w:ascii="Arial" w:hAnsi="Arial" w:cs="Arial"/>
        </w:rPr>
        <w:t>s</w:t>
      </w:r>
      <w:r w:rsidR="003B1FB9" w:rsidRPr="00F45A1F">
        <w:rPr>
          <w:rFonts w:ascii="Arial" w:hAnsi="Arial" w:cs="Arial"/>
        </w:rPr>
        <w:t>.</w:t>
      </w:r>
    </w:p>
    <w:p w14:paraId="18D430D9" w14:textId="77777777" w:rsidR="00BB2537" w:rsidRPr="00F45A1F" w:rsidRDefault="00BB2537" w:rsidP="005144E2">
      <w:pPr>
        <w:pStyle w:val="PargrafodaLista"/>
        <w:rPr>
          <w:rFonts w:ascii="Arial" w:hAnsi="Arial" w:cs="Arial"/>
          <w:b/>
        </w:rPr>
      </w:pPr>
    </w:p>
    <w:p w14:paraId="1F62B8F2" w14:textId="77777777" w:rsidR="0041537D" w:rsidRPr="00F45A1F" w:rsidRDefault="00BB2537" w:rsidP="005144E2">
      <w:pPr>
        <w:pStyle w:val="PargrafodaLista"/>
        <w:widowControl/>
        <w:numPr>
          <w:ilvl w:val="0"/>
          <w:numId w:val="19"/>
        </w:numPr>
        <w:jc w:val="both"/>
        <w:rPr>
          <w:rFonts w:ascii="Arial" w:hAnsi="Arial" w:cs="Arial"/>
          <w:b/>
        </w:rPr>
      </w:pPr>
      <w:r w:rsidRPr="00F45A1F">
        <w:rPr>
          <w:rFonts w:ascii="Arial" w:hAnsi="Arial" w:cs="Arial"/>
          <w:b/>
          <w:u w:val="single"/>
        </w:rPr>
        <w:t>Encargos Financeiros</w:t>
      </w:r>
      <w:r w:rsidRPr="00F45A1F">
        <w:rPr>
          <w:rFonts w:ascii="Arial" w:hAnsi="Arial" w:cs="Arial"/>
        </w:rPr>
        <w:t xml:space="preserve">: </w:t>
      </w:r>
      <w:r w:rsidR="004A7757" w:rsidRPr="00F45A1F">
        <w:rPr>
          <w:rFonts w:ascii="Arial" w:hAnsi="Arial" w:cs="Arial"/>
        </w:rPr>
        <w:t xml:space="preserve">encargos financeiros </w:t>
      </w:r>
      <w:r w:rsidR="00CC2491" w:rsidRPr="00F45A1F">
        <w:rPr>
          <w:rFonts w:ascii="Arial" w:hAnsi="Arial" w:cs="Arial"/>
        </w:rPr>
        <w:t xml:space="preserve">líquidos </w:t>
      </w:r>
      <w:r w:rsidR="004A7757" w:rsidRPr="00F45A1F">
        <w:rPr>
          <w:rFonts w:ascii="Arial" w:hAnsi="Arial" w:cs="Arial"/>
        </w:rPr>
        <w:t>apropriados no resultado</w:t>
      </w:r>
      <w:r w:rsidR="004962E5" w:rsidRPr="00F45A1F">
        <w:rPr>
          <w:rFonts w:ascii="Arial" w:hAnsi="Arial" w:cs="Arial"/>
        </w:rPr>
        <w:t xml:space="preserve"> referente</w:t>
      </w:r>
      <w:r w:rsidR="009824EF" w:rsidRPr="00F45A1F">
        <w:rPr>
          <w:rFonts w:ascii="Arial" w:hAnsi="Arial" w:cs="Arial"/>
        </w:rPr>
        <w:t>s</w:t>
      </w:r>
      <w:r w:rsidR="004962E5" w:rsidRPr="00F45A1F">
        <w:rPr>
          <w:rFonts w:ascii="Arial" w:hAnsi="Arial" w:cs="Arial"/>
        </w:rPr>
        <w:t xml:space="preserve"> a financiamentos da Eletrobras</w:t>
      </w:r>
      <w:r w:rsidR="004A7757" w:rsidRPr="00F45A1F">
        <w:rPr>
          <w:rFonts w:ascii="Arial" w:hAnsi="Arial" w:cs="Arial"/>
        </w:rPr>
        <w:t xml:space="preserve">. </w:t>
      </w:r>
    </w:p>
    <w:p w14:paraId="295DD3AA" w14:textId="77777777" w:rsidR="00A8048D" w:rsidRPr="00F45A1F" w:rsidRDefault="00A8048D" w:rsidP="00A8048D">
      <w:pPr>
        <w:pStyle w:val="PargrafodaLista"/>
        <w:rPr>
          <w:rFonts w:ascii="Arial" w:hAnsi="Arial" w:cs="Arial"/>
          <w:b/>
        </w:rPr>
      </w:pPr>
    </w:p>
    <w:p w14:paraId="0F8DD9A2" w14:textId="77777777" w:rsidR="003F4719" w:rsidRPr="00F45A1F" w:rsidRDefault="003F4719" w:rsidP="005144E2">
      <w:pPr>
        <w:widowControl/>
        <w:jc w:val="both"/>
        <w:rPr>
          <w:rFonts w:ascii="Arial" w:hAnsi="Arial" w:cs="Arial"/>
        </w:rPr>
      </w:pPr>
      <w:r w:rsidRPr="00F45A1F">
        <w:rPr>
          <w:rFonts w:ascii="Arial" w:hAnsi="Arial" w:cs="Arial"/>
        </w:rPr>
        <w:t xml:space="preserve">Como patrocinadora da REAL GRANDEZA – Fundação de Previdência e Assistência Social e do NUCLEOS – Instituto de Seguridade Social, entidades fechadas sem fins lucrativos que tem por finalidade complementar benefícios previdenciários de seus participantes, a ELETRONUCLEAR apresenta os saldos e movimentação de valores que envolvem essas entidades na </w:t>
      </w:r>
      <w:r w:rsidR="008E6B5F" w:rsidRPr="00F45A1F">
        <w:rPr>
          <w:rFonts w:ascii="Arial" w:hAnsi="Arial" w:cs="Arial"/>
        </w:rPr>
        <w:t>n</w:t>
      </w:r>
      <w:r w:rsidRPr="00F45A1F">
        <w:rPr>
          <w:rFonts w:ascii="Arial" w:hAnsi="Arial" w:cs="Arial"/>
        </w:rPr>
        <w:t>ota 21.</w:t>
      </w:r>
    </w:p>
    <w:p w14:paraId="4FE2CA28" w14:textId="77777777" w:rsidR="0035253A" w:rsidRPr="00F45A1F" w:rsidRDefault="0035253A" w:rsidP="005144E2">
      <w:pPr>
        <w:keepNext/>
        <w:widowControl/>
        <w:jc w:val="both"/>
        <w:outlineLvl w:val="0"/>
        <w:rPr>
          <w:rFonts w:ascii="Arial" w:hAnsi="Arial" w:cs="Arial"/>
          <w:b/>
        </w:rPr>
      </w:pPr>
    </w:p>
    <w:p w14:paraId="1CABCF60" w14:textId="77777777" w:rsidR="006C01CC" w:rsidRPr="00F45A1F" w:rsidRDefault="006C01CC" w:rsidP="005144E2">
      <w:pPr>
        <w:keepNext/>
        <w:widowControl/>
        <w:jc w:val="both"/>
        <w:outlineLvl w:val="0"/>
        <w:rPr>
          <w:rFonts w:ascii="Arial" w:hAnsi="Arial" w:cs="Arial"/>
          <w:b/>
        </w:rPr>
      </w:pPr>
    </w:p>
    <w:p w14:paraId="063F4A41" w14:textId="77777777" w:rsidR="003F4719" w:rsidRPr="00F45A1F" w:rsidRDefault="005D0370" w:rsidP="005144E2">
      <w:pPr>
        <w:keepNext/>
        <w:widowControl/>
        <w:jc w:val="both"/>
        <w:outlineLvl w:val="0"/>
        <w:rPr>
          <w:rFonts w:ascii="Arial" w:hAnsi="Arial" w:cs="Arial"/>
          <w:b/>
          <w:sz w:val="26"/>
          <w:szCs w:val="26"/>
        </w:rPr>
      </w:pPr>
      <w:r w:rsidRPr="00F45A1F">
        <w:rPr>
          <w:rFonts w:ascii="Arial" w:hAnsi="Arial" w:cs="Arial"/>
          <w:b/>
          <w:sz w:val="26"/>
          <w:szCs w:val="26"/>
        </w:rPr>
        <w:t>N</w:t>
      </w:r>
      <w:r w:rsidR="003F4719" w:rsidRPr="00F45A1F">
        <w:rPr>
          <w:rFonts w:ascii="Arial" w:hAnsi="Arial" w:cs="Arial"/>
          <w:b/>
          <w:sz w:val="26"/>
          <w:szCs w:val="26"/>
        </w:rPr>
        <w:t>OTA 3</w:t>
      </w:r>
      <w:r w:rsidR="002002A2" w:rsidRPr="00F45A1F">
        <w:rPr>
          <w:rFonts w:ascii="Arial" w:hAnsi="Arial" w:cs="Arial"/>
          <w:b/>
          <w:sz w:val="26"/>
          <w:szCs w:val="26"/>
        </w:rPr>
        <w:t>5</w:t>
      </w:r>
      <w:r w:rsidR="003F4719" w:rsidRPr="00F45A1F">
        <w:rPr>
          <w:rFonts w:ascii="Arial" w:hAnsi="Arial" w:cs="Arial"/>
          <w:b/>
          <w:sz w:val="26"/>
          <w:szCs w:val="26"/>
        </w:rPr>
        <w:t xml:space="preserve"> - TAXAS REGULAMENTARES</w:t>
      </w:r>
    </w:p>
    <w:p w14:paraId="1E1F8D3A" w14:textId="77777777" w:rsidR="00CD7E31" w:rsidRPr="00F45A1F" w:rsidRDefault="00CD7E31" w:rsidP="005144E2">
      <w:pPr>
        <w:keepNext/>
        <w:widowControl/>
        <w:jc w:val="both"/>
        <w:outlineLvl w:val="0"/>
        <w:rPr>
          <w:rFonts w:ascii="Arial" w:hAnsi="Arial" w:cs="Arial"/>
          <w:b/>
        </w:rPr>
      </w:pPr>
    </w:p>
    <w:p w14:paraId="3B79BCCB" w14:textId="77777777" w:rsidR="002B2581" w:rsidRPr="00F45A1F" w:rsidRDefault="002B2581" w:rsidP="005144E2">
      <w:pPr>
        <w:keepNext/>
        <w:widowControl/>
        <w:jc w:val="both"/>
        <w:outlineLvl w:val="0"/>
        <w:rPr>
          <w:rFonts w:ascii="Arial" w:hAnsi="Arial" w:cs="Arial"/>
        </w:rPr>
      </w:pPr>
      <w:r w:rsidRPr="00F45A1F">
        <w:rPr>
          <w:rFonts w:ascii="Arial" w:hAnsi="Arial" w:cs="Arial"/>
        </w:rPr>
        <w:t>A Companhia incorreu, durante o período, nos seguintes encargos do setor elétrico, apropriados ao resultado:</w:t>
      </w:r>
    </w:p>
    <w:p w14:paraId="484C7F9A" w14:textId="77777777" w:rsidR="005D0370" w:rsidRPr="00F45A1F" w:rsidRDefault="005D0370" w:rsidP="005144E2">
      <w:pPr>
        <w:keepNext/>
        <w:widowControl/>
        <w:jc w:val="both"/>
        <w:outlineLvl w:val="0"/>
        <w:rPr>
          <w:rFonts w:ascii="Arial" w:hAnsi="Arial" w:cs="Arial"/>
          <w:sz w:val="16"/>
          <w:szCs w:val="16"/>
        </w:rPr>
      </w:pPr>
    </w:p>
    <w:p w14:paraId="39C81834" w14:textId="77777777" w:rsidR="00D20A93" w:rsidRPr="00F45A1F" w:rsidRDefault="007D3311" w:rsidP="005144E2">
      <w:pPr>
        <w:keepNext/>
        <w:widowControl/>
        <w:jc w:val="both"/>
        <w:outlineLvl w:val="0"/>
        <w:rPr>
          <w:rFonts w:ascii="Arial" w:hAnsi="Arial" w:cs="Arial"/>
        </w:rPr>
      </w:pPr>
      <w:r w:rsidRPr="00F45A1F">
        <w:rPr>
          <w:noProof/>
        </w:rPr>
        <w:drawing>
          <wp:inline distT="0" distB="0" distL="0" distR="0" wp14:anchorId="7640D8B1" wp14:editId="30C5EAE0">
            <wp:extent cx="6073140" cy="2466384"/>
            <wp:effectExtent l="0" t="0" r="3810" b="0"/>
            <wp:docPr id="122" name="Imagem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73140" cy="2466384"/>
                    </a:xfrm>
                    <a:prstGeom prst="rect">
                      <a:avLst/>
                    </a:prstGeom>
                    <a:noFill/>
                    <a:ln>
                      <a:noFill/>
                    </a:ln>
                  </pic:spPr>
                </pic:pic>
              </a:graphicData>
            </a:graphic>
          </wp:inline>
        </w:drawing>
      </w:r>
    </w:p>
    <w:p w14:paraId="4C5553E3" w14:textId="77777777" w:rsidR="00D20A93" w:rsidRPr="00F45A1F" w:rsidRDefault="00D20A93" w:rsidP="005144E2">
      <w:pPr>
        <w:keepNext/>
        <w:widowControl/>
        <w:jc w:val="both"/>
        <w:outlineLvl w:val="0"/>
        <w:rPr>
          <w:rFonts w:ascii="Arial" w:hAnsi="Arial" w:cs="Arial"/>
        </w:rPr>
      </w:pPr>
    </w:p>
    <w:p w14:paraId="1535BABF" w14:textId="77777777" w:rsidR="003D6B86" w:rsidRDefault="003D6B86" w:rsidP="005144E2">
      <w:pPr>
        <w:widowControl/>
        <w:tabs>
          <w:tab w:val="left" w:pos="180"/>
          <w:tab w:val="left" w:pos="360"/>
        </w:tabs>
        <w:jc w:val="both"/>
        <w:rPr>
          <w:rFonts w:ascii="Arial" w:hAnsi="Arial" w:cs="Arial"/>
          <w:b/>
          <w:sz w:val="26"/>
          <w:szCs w:val="26"/>
        </w:rPr>
      </w:pPr>
    </w:p>
    <w:p w14:paraId="313E2B54" w14:textId="5DF82F26" w:rsidR="003F4719" w:rsidRPr="00F45A1F" w:rsidRDefault="003F4719" w:rsidP="005144E2">
      <w:pPr>
        <w:widowControl/>
        <w:tabs>
          <w:tab w:val="left" w:pos="180"/>
          <w:tab w:val="left" w:pos="360"/>
        </w:tabs>
        <w:jc w:val="both"/>
        <w:rPr>
          <w:rFonts w:ascii="Arial" w:hAnsi="Arial" w:cs="Arial"/>
          <w:b/>
          <w:sz w:val="26"/>
          <w:szCs w:val="26"/>
        </w:rPr>
      </w:pPr>
      <w:r w:rsidRPr="00F45A1F">
        <w:rPr>
          <w:rFonts w:ascii="Arial" w:hAnsi="Arial" w:cs="Arial"/>
          <w:b/>
          <w:sz w:val="26"/>
          <w:szCs w:val="26"/>
        </w:rPr>
        <w:t>NOTA 3</w:t>
      </w:r>
      <w:r w:rsidR="002002A2" w:rsidRPr="00F45A1F">
        <w:rPr>
          <w:rFonts w:ascii="Arial" w:hAnsi="Arial" w:cs="Arial"/>
          <w:b/>
          <w:sz w:val="26"/>
          <w:szCs w:val="26"/>
        </w:rPr>
        <w:t>6</w:t>
      </w:r>
      <w:r w:rsidRPr="00F45A1F">
        <w:rPr>
          <w:rFonts w:ascii="Arial" w:hAnsi="Arial" w:cs="Arial"/>
          <w:b/>
          <w:sz w:val="26"/>
          <w:szCs w:val="26"/>
        </w:rPr>
        <w:t xml:space="preserve"> – SEGUROS</w:t>
      </w:r>
    </w:p>
    <w:p w14:paraId="5D2B1761" w14:textId="77777777" w:rsidR="00CD7E31" w:rsidRPr="00F45A1F" w:rsidRDefault="00CD7E31" w:rsidP="005144E2">
      <w:pPr>
        <w:widowControl/>
        <w:jc w:val="both"/>
        <w:rPr>
          <w:rFonts w:ascii="Arial" w:hAnsi="Arial" w:cs="Arial"/>
          <w:bCs/>
        </w:rPr>
      </w:pPr>
    </w:p>
    <w:p w14:paraId="592CBD8D" w14:textId="77777777" w:rsidR="003F4719" w:rsidRPr="00F45A1F" w:rsidRDefault="003F4719" w:rsidP="005144E2">
      <w:pPr>
        <w:widowControl/>
        <w:jc w:val="both"/>
        <w:rPr>
          <w:rFonts w:ascii="Arial" w:hAnsi="Arial" w:cs="Arial"/>
        </w:rPr>
      </w:pPr>
      <w:r w:rsidRPr="00F45A1F">
        <w:rPr>
          <w:rFonts w:ascii="Arial" w:hAnsi="Arial" w:cs="Arial"/>
        </w:rPr>
        <w:t xml:space="preserve">A Companhia mantém uma política de seguros considerada pela administração como suficiente para cobrir eventuais perdas, considerando os principais ativos, bem como a responsabilidade civil inerente a suas atividades. </w:t>
      </w:r>
    </w:p>
    <w:p w14:paraId="2470B7D8" w14:textId="77777777" w:rsidR="003F4719" w:rsidRPr="00F45A1F" w:rsidRDefault="003F4719" w:rsidP="005144E2">
      <w:pPr>
        <w:widowControl/>
        <w:jc w:val="both"/>
        <w:rPr>
          <w:rFonts w:ascii="Arial" w:hAnsi="Arial" w:cs="Arial"/>
        </w:rPr>
      </w:pPr>
    </w:p>
    <w:p w14:paraId="1349A958" w14:textId="77777777" w:rsidR="003F4719" w:rsidRPr="00F45A1F" w:rsidRDefault="003F4719" w:rsidP="005144E2">
      <w:pPr>
        <w:widowControl/>
        <w:jc w:val="both"/>
        <w:rPr>
          <w:rFonts w:ascii="Arial" w:hAnsi="Arial" w:cs="Arial"/>
        </w:rPr>
      </w:pPr>
      <w:r w:rsidRPr="00F45A1F">
        <w:rPr>
          <w:rFonts w:ascii="Arial" w:hAnsi="Arial" w:cs="Arial"/>
        </w:rPr>
        <w:t>Os valores segurados referem-se ao total das apólices vigentes para reembolso em caso de sinistro, representados pela quantidade de moeda de origem convertida para reais, pela respectiva cotação na data das demonstrações financeiras.</w:t>
      </w:r>
    </w:p>
    <w:p w14:paraId="0BF26093" w14:textId="77777777" w:rsidR="00875108" w:rsidRPr="00F45A1F" w:rsidRDefault="00875108" w:rsidP="005144E2">
      <w:pPr>
        <w:widowControl/>
        <w:jc w:val="both"/>
        <w:rPr>
          <w:rFonts w:ascii="Arial" w:hAnsi="Arial" w:cs="Arial"/>
        </w:rPr>
      </w:pPr>
    </w:p>
    <w:p w14:paraId="6C6FA571" w14:textId="77777777" w:rsidR="003F4719" w:rsidRPr="00F45A1F" w:rsidRDefault="003F4719" w:rsidP="005144E2">
      <w:pPr>
        <w:jc w:val="both"/>
        <w:rPr>
          <w:rFonts w:ascii="Arial" w:hAnsi="Arial" w:cs="Arial"/>
        </w:rPr>
      </w:pPr>
      <w:r w:rsidRPr="00F45A1F">
        <w:rPr>
          <w:rFonts w:ascii="Arial" w:hAnsi="Arial" w:cs="Arial"/>
        </w:rPr>
        <w:t>Como prêmio, estão apresentados os valores pagos e a pagar das apólices</w:t>
      </w:r>
      <w:r w:rsidR="006F1BF2" w:rsidRPr="00F45A1F">
        <w:rPr>
          <w:rFonts w:ascii="Arial" w:hAnsi="Arial" w:cs="Arial"/>
        </w:rPr>
        <w:t>,</w:t>
      </w:r>
      <w:r w:rsidRPr="00F45A1F">
        <w:rPr>
          <w:rFonts w:ascii="Arial" w:hAnsi="Arial" w:cs="Arial"/>
        </w:rPr>
        <w:t xml:space="preserve"> na moeda de origem, atualizados para equivalente em reais pela respectiva cotação na data das demonstrações financeiras. </w:t>
      </w:r>
    </w:p>
    <w:p w14:paraId="122AC92E" w14:textId="77777777" w:rsidR="00BA4762" w:rsidRPr="00F45A1F" w:rsidRDefault="003F4719" w:rsidP="005144E2">
      <w:pPr>
        <w:widowControl/>
        <w:jc w:val="both"/>
        <w:rPr>
          <w:rFonts w:ascii="Arial" w:hAnsi="Arial" w:cs="Arial"/>
        </w:rPr>
      </w:pPr>
      <w:r w:rsidRPr="00F45A1F">
        <w:rPr>
          <w:rFonts w:ascii="Arial" w:hAnsi="Arial" w:cs="Arial"/>
        </w:rPr>
        <w:t xml:space="preserve">O montante global segurado, em </w:t>
      </w:r>
      <w:r w:rsidR="00DF1AA9" w:rsidRPr="00F45A1F">
        <w:rPr>
          <w:rFonts w:ascii="Arial" w:hAnsi="Arial" w:cs="Arial"/>
        </w:rPr>
        <w:t>3</w:t>
      </w:r>
      <w:r w:rsidR="006E26AF" w:rsidRPr="00F45A1F">
        <w:rPr>
          <w:rFonts w:ascii="Arial" w:hAnsi="Arial" w:cs="Arial"/>
        </w:rPr>
        <w:t>1</w:t>
      </w:r>
      <w:r w:rsidRPr="00F45A1F">
        <w:rPr>
          <w:rFonts w:ascii="Arial" w:hAnsi="Arial" w:cs="Arial"/>
        </w:rPr>
        <w:t xml:space="preserve"> de </w:t>
      </w:r>
      <w:r w:rsidR="00626410" w:rsidRPr="00F45A1F">
        <w:rPr>
          <w:rFonts w:ascii="Arial" w:hAnsi="Arial" w:cs="Arial"/>
        </w:rPr>
        <w:t>março de 2020</w:t>
      </w:r>
      <w:r w:rsidRPr="00F45A1F">
        <w:rPr>
          <w:rFonts w:ascii="Arial" w:hAnsi="Arial" w:cs="Arial"/>
        </w:rPr>
        <w:t>, é de R$</w:t>
      </w:r>
      <w:r w:rsidR="009D722C" w:rsidRPr="00F45A1F">
        <w:rPr>
          <w:rFonts w:ascii="Arial" w:hAnsi="Arial" w:cs="Arial"/>
        </w:rPr>
        <w:t xml:space="preserve"> 2</w:t>
      </w:r>
      <w:r w:rsidR="00626410" w:rsidRPr="00F45A1F">
        <w:rPr>
          <w:rFonts w:ascii="Arial" w:hAnsi="Arial" w:cs="Arial"/>
        </w:rPr>
        <w:t>8</w:t>
      </w:r>
      <w:r w:rsidR="009D722C" w:rsidRPr="00F45A1F">
        <w:rPr>
          <w:rFonts w:ascii="Arial" w:hAnsi="Arial" w:cs="Arial"/>
        </w:rPr>
        <w:t>.</w:t>
      </w:r>
      <w:r w:rsidR="00626410" w:rsidRPr="00F45A1F">
        <w:rPr>
          <w:rFonts w:ascii="Arial" w:hAnsi="Arial" w:cs="Arial"/>
        </w:rPr>
        <w:t>099.703</w:t>
      </w:r>
      <w:r w:rsidRPr="00F45A1F">
        <w:rPr>
          <w:rFonts w:ascii="Arial" w:hAnsi="Arial" w:cs="Arial"/>
        </w:rPr>
        <w:t xml:space="preserve"> e está assim distribuído:</w:t>
      </w:r>
      <w:r w:rsidR="00E74865" w:rsidRPr="00F45A1F">
        <w:rPr>
          <w:rFonts w:ascii="Arial" w:hAnsi="Arial" w:cs="Arial"/>
        </w:rPr>
        <w:t xml:space="preserve"> </w:t>
      </w:r>
    </w:p>
    <w:p w14:paraId="0E749732" w14:textId="77777777" w:rsidR="0041537D" w:rsidRPr="00F45A1F" w:rsidRDefault="0041537D" w:rsidP="005144E2">
      <w:pPr>
        <w:widowControl/>
        <w:rPr>
          <w:rFonts w:ascii="Arial" w:hAnsi="Arial" w:cs="Arial"/>
          <w:sz w:val="16"/>
          <w:szCs w:val="16"/>
        </w:rPr>
      </w:pPr>
    </w:p>
    <w:p w14:paraId="29D91675" w14:textId="77777777" w:rsidR="00E51343" w:rsidRPr="00F45A1F" w:rsidRDefault="00626410" w:rsidP="005144E2">
      <w:pPr>
        <w:widowControl/>
        <w:rPr>
          <w:rFonts w:ascii="Arial" w:hAnsi="Arial" w:cs="Arial"/>
        </w:rPr>
      </w:pPr>
      <w:r w:rsidRPr="00F45A1F">
        <w:rPr>
          <w:noProof/>
        </w:rPr>
        <w:drawing>
          <wp:inline distT="0" distB="0" distL="0" distR="0" wp14:anchorId="33D04E7F" wp14:editId="59601DAD">
            <wp:extent cx="6073140" cy="2303605"/>
            <wp:effectExtent l="0" t="0" r="3810" b="1905"/>
            <wp:docPr id="123" name="Image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73140" cy="2303605"/>
                    </a:xfrm>
                    <a:prstGeom prst="rect">
                      <a:avLst/>
                    </a:prstGeom>
                    <a:noFill/>
                    <a:ln>
                      <a:noFill/>
                    </a:ln>
                  </pic:spPr>
                </pic:pic>
              </a:graphicData>
            </a:graphic>
          </wp:inline>
        </w:drawing>
      </w:r>
    </w:p>
    <w:p w14:paraId="083F5050" w14:textId="7E4C7899" w:rsidR="009543C1" w:rsidRPr="00F45A1F" w:rsidRDefault="009543C1" w:rsidP="009543C1">
      <w:pPr>
        <w:widowControl/>
        <w:ind w:left="360" w:hanging="360"/>
        <w:jc w:val="both"/>
        <w:rPr>
          <w:rFonts w:ascii="Arial" w:hAnsi="Arial" w:cs="Arial"/>
          <w:i/>
          <w:sz w:val="16"/>
          <w:szCs w:val="16"/>
        </w:rPr>
      </w:pPr>
      <w:r w:rsidRPr="00F45A1F">
        <w:rPr>
          <w:rFonts w:ascii="Arial" w:hAnsi="Arial" w:cs="Arial"/>
          <w:i/>
          <w:sz w:val="16"/>
          <w:szCs w:val="16"/>
        </w:rPr>
        <w:t xml:space="preserve">*Informação não </w:t>
      </w:r>
      <w:r w:rsidR="00950652">
        <w:rPr>
          <w:rFonts w:ascii="Arial" w:hAnsi="Arial" w:cs="Arial"/>
          <w:i/>
          <w:sz w:val="16"/>
          <w:szCs w:val="16"/>
        </w:rPr>
        <w:t>revisada</w:t>
      </w:r>
      <w:r w:rsidRPr="00F45A1F">
        <w:rPr>
          <w:rFonts w:ascii="Arial" w:hAnsi="Arial" w:cs="Arial"/>
          <w:i/>
          <w:sz w:val="16"/>
          <w:szCs w:val="16"/>
        </w:rPr>
        <w:t xml:space="preserve"> pelo auditor independente</w:t>
      </w:r>
    </w:p>
    <w:p w14:paraId="7FF8BD50" w14:textId="77777777" w:rsidR="00E51343" w:rsidRPr="00F45A1F" w:rsidRDefault="00E51343" w:rsidP="005144E2">
      <w:pPr>
        <w:widowControl/>
        <w:rPr>
          <w:rFonts w:ascii="Arial" w:hAnsi="Arial" w:cs="Arial"/>
        </w:rPr>
      </w:pPr>
    </w:p>
    <w:p w14:paraId="496BD200" w14:textId="77777777" w:rsidR="0056129C" w:rsidRPr="00F45A1F" w:rsidRDefault="0056129C" w:rsidP="005144E2">
      <w:pPr>
        <w:widowControl/>
        <w:rPr>
          <w:rFonts w:ascii="Arial" w:hAnsi="Arial" w:cs="Arial"/>
        </w:rPr>
      </w:pPr>
    </w:p>
    <w:p w14:paraId="48643572" w14:textId="77777777" w:rsidR="003F4719" w:rsidRPr="00F45A1F" w:rsidRDefault="003F4719" w:rsidP="005144E2">
      <w:pPr>
        <w:widowControl/>
        <w:rPr>
          <w:rFonts w:ascii="Arial" w:hAnsi="Arial" w:cs="Arial"/>
          <w:b/>
          <w:sz w:val="26"/>
          <w:szCs w:val="26"/>
        </w:rPr>
      </w:pPr>
      <w:r w:rsidRPr="00F45A1F">
        <w:rPr>
          <w:rFonts w:ascii="Arial" w:hAnsi="Arial" w:cs="Arial"/>
          <w:b/>
          <w:sz w:val="26"/>
          <w:szCs w:val="26"/>
        </w:rPr>
        <w:t>NOTA 3</w:t>
      </w:r>
      <w:r w:rsidR="002002A2" w:rsidRPr="00F45A1F">
        <w:rPr>
          <w:rFonts w:ascii="Arial" w:hAnsi="Arial" w:cs="Arial"/>
          <w:b/>
          <w:sz w:val="26"/>
          <w:szCs w:val="26"/>
        </w:rPr>
        <w:t>7</w:t>
      </w:r>
      <w:r w:rsidRPr="00F45A1F">
        <w:rPr>
          <w:rFonts w:ascii="Arial" w:hAnsi="Arial" w:cs="Arial"/>
          <w:b/>
          <w:sz w:val="26"/>
          <w:szCs w:val="26"/>
        </w:rPr>
        <w:t xml:space="preserve"> - REMUNERAÇÃO DOS ADMINISTRADORES E EMPREGADOS</w:t>
      </w:r>
    </w:p>
    <w:p w14:paraId="45F69FFD" w14:textId="77777777" w:rsidR="009543C1" w:rsidRPr="00F45A1F" w:rsidRDefault="009543C1" w:rsidP="005144E2">
      <w:pPr>
        <w:widowControl/>
        <w:jc w:val="both"/>
        <w:rPr>
          <w:rFonts w:ascii="Arial" w:hAnsi="Arial" w:cs="Arial"/>
          <w:b/>
        </w:rPr>
      </w:pPr>
    </w:p>
    <w:p w14:paraId="21648674" w14:textId="40A95986" w:rsidR="003F4719" w:rsidRPr="00F45A1F" w:rsidRDefault="003F4719" w:rsidP="005144E2">
      <w:pPr>
        <w:widowControl/>
        <w:jc w:val="both"/>
        <w:rPr>
          <w:rFonts w:ascii="Arial" w:hAnsi="Arial" w:cs="Arial"/>
        </w:rPr>
      </w:pPr>
      <w:r w:rsidRPr="00F45A1F">
        <w:rPr>
          <w:rFonts w:ascii="Arial" w:hAnsi="Arial" w:cs="Arial"/>
        </w:rPr>
        <w:t>A maior e a menor remuneração paga</w:t>
      </w:r>
      <w:r w:rsidR="00F5142D" w:rsidRPr="00F45A1F">
        <w:rPr>
          <w:rFonts w:ascii="Arial" w:hAnsi="Arial" w:cs="Arial"/>
        </w:rPr>
        <w:t>s</w:t>
      </w:r>
      <w:r w:rsidRPr="00F45A1F">
        <w:rPr>
          <w:rFonts w:ascii="Arial" w:hAnsi="Arial" w:cs="Arial"/>
        </w:rPr>
        <w:t xml:space="preserve"> a empregados, tomando-se por base o mês de</w:t>
      </w:r>
      <w:r w:rsidR="009F30E8" w:rsidRPr="00F45A1F">
        <w:rPr>
          <w:rFonts w:ascii="Arial" w:hAnsi="Arial" w:cs="Arial"/>
        </w:rPr>
        <w:t xml:space="preserve"> março de </w:t>
      </w:r>
      <w:r w:rsidR="0083347C" w:rsidRPr="00F45A1F">
        <w:rPr>
          <w:rFonts w:ascii="Arial" w:hAnsi="Arial" w:cs="Arial"/>
        </w:rPr>
        <w:t>20</w:t>
      </w:r>
      <w:r w:rsidR="009F30E8" w:rsidRPr="00F45A1F">
        <w:rPr>
          <w:rFonts w:ascii="Arial" w:hAnsi="Arial" w:cs="Arial"/>
        </w:rPr>
        <w:t>20</w:t>
      </w:r>
      <w:r w:rsidRPr="00F45A1F">
        <w:rPr>
          <w:rFonts w:ascii="Arial" w:hAnsi="Arial" w:cs="Arial"/>
        </w:rPr>
        <w:t xml:space="preserve">, foram de R$ </w:t>
      </w:r>
      <w:r w:rsidR="00443041" w:rsidRPr="00F45A1F">
        <w:rPr>
          <w:rFonts w:ascii="Arial" w:hAnsi="Arial" w:cs="Arial"/>
        </w:rPr>
        <w:t xml:space="preserve">63 </w:t>
      </w:r>
      <w:r w:rsidRPr="00F45A1F">
        <w:rPr>
          <w:rFonts w:ascii="Arial" w:hAnsi="Arial" w:cs="Arial"/>
        </w:rPr>
        <w:t>e R$</w:t>
      </w:r>
      <w:r w:rsidR="00570F32" w:rsidRPr="00F45A1F">
        <w:rPr>
          <w:rFonts w:ascii="Arial" w:hAnsi="Arial" w:cs="Arial"/>
        </w:rPr>
        <w:t xml:space="preserve"> </w:t>
      </w:r>
      <w:r w:rsidR="00443041" w:rsidRPr="00F45A1F">
        <w:rPr>
          <w:rFonts w:ascii="Arial" w:hAnsi="Arial" w:cs="Arial"/>
        </w:rPr>
        <w:t>4</w:t>
      </w:r>
      <w:r w:rsidR="00570F32" w:rsidRPr="00F45A1F">
        <w:rPr>
          <w:rFonts w:ascii="Arial" w:hAnsi="Arial" w:cs="Arial"/>
        </w:rPr>
        <w:t xml:space="preserve"> </w:t>
      </w:r>
      <w:r w:rsidRPr="00F45A1F">
        <w:rPr>
          <w:rFonts w:ascii="Arial" w:hAnsi="Arial" w:cs="Arial"/>
        </w:rPr>
        <w:t xml:space="preserve">(R$ </w:t>
      </w:r>
      <w:r w:rsidR="0077763C" w:rsidRPr="00F45A1F">
        <w:rPr>
          <w:rFonts w:ascii="Arial" w:hAnsi="Arial" w:cs="Arial"/>
        </w:rPr>
        <w:t>6</w:t>
      </w:r>
      <w:r w:rsidR="009F30E8" w:rsidRPr="00F45A1F">
        <w:rPr>
          <w:rFonts w:ascii="Arial" w:hAnsi="Arial" w:cs="Arial"/>
        </w:rPr>
        <w:t>3</w:t>
      </w:r>
      <w:r w:rsidR="0077763C" w:rsidRPr="00F45A1F">
        <w:rPr>
          <w:rFonts w:ascii="Arial" w:hAnsi="Arial" w:cs="Arial"/>
        </w:rPr>
        <w:t xml:space="preserve"> </w:t>
      </w:r>
      <w:r w:rsidRPr="00F45A1F">
        <w:rPr>
          <w:rFonts w:ascii="Arial" w:hAnsi="Arial" w:cs="Arial"/>
        </w:rPr>
        <w:t xml:space="preserve">e R$ </w:t>
      </w:r>
      <w:r w:rsidR="003504EA" w:rsidRPr="00F45A1F">
        <w:rPr>
          <w:rFonts w:ascii="Arial" w:hAnsi="Arial" w:cs="Arial"/>
        </w:rPr>
        <w:t>4</w:t>
      </w:r>
      <w:r w:rsidR="006F1BF2" w:rsidRPr="00F45A1F">
        <w:rPr>
          <w:rFonts w:ascii="Arial" w:hAnsi="Arial" w:cs="Arial"/>
        </w:rPr>
        <w:t>,</w:t>
      </w:r>
      <w:r w:rsidRPr="00F45A1F">
        <w:rPr>
          <w:rFonts w:ascii="Arial" w:hAnsi="Arial" w:cs="Arial"/>
        </w:rPr>
        <w:t xml:space="preserve"> em </w:t>
      </w:r>
      <w:r w:rsidR="007A60D0" w:rsidRPr="00F45A1F">
        <w:rPr>
          <w:rFonts w:ascii="Arial" w:hAnsi="Arial" w:cs="Arial"/>
        </w:rPr>
        <w:t xml:space="preserve">dezembro de </w:t>
      </w:r>
      <w:r w:rsidR="00D003F4" w:rsidRPr="00F45A1F">
        <w:rPr>
          <w:rFonts w:ascii="Arial" w:hAnsi="Arial" w:cs="Arial"/>
        </w:rPr>
        <w:t>201</w:t>
      </w:r>
      <w:r w:rsidR="009F30E8" w:rsidRPr="00F45A1F">
        <w:rPr>
          <w:rFonts w:ascii="Arial" w:hAnsi="Arial" w:cs="Arial"/>
        </w:rPr>
        <w:t>9</w:t>
      </w:r>
      <w:r w:rsidR="003A18DA" w:rsidRPr="00F45A1F">
        <w:rPr>
          <w:rFonts w:ascii="Arial" w:hAnsi="Arial" w:cs="Arial"/>
        </w:rPr>
        <w:t>)</w:t>
      </w:r>
      <w:r w:rsidRPr="00F45A1F">
        <w:rPr>
          <w:rFonts w:ascii="Arial" w:hAnsi="Arial" w:cs="Arial"/>
        </w:rPr>
        <w:t xml:space="preserve">, respectivamente, de acordo com a política salarial praticada pela ELETRONUCLEAR. </w:t>
      </w:r>
      <w:r w:rsidR="00663889" w:rsidRPr="00F45A1F">
        <w:rPr>
          <w:rFonts w:ascii="Arial" w:hAnsi="Arial" w:cs="Arial"/>
        </w:rPr>
        <w:t xml:space="preserve">O maior e </w:t>
      </w:r>
      <w:proofErr w:type="gramStart"/>
      <w:r w:rsidR="00663889" w:rsidRPr="00F45A1F">
        <w:rPr>
          <w:rFonts w:ascii="Arial" w:hAnsi="Arial" w:cs="Arial"/>
        </w:rPr>
        <w:t>menor honorário atribuídos</w:t>
      </w:r>
      <w:proofErr w:type="gramEnd"/>
      <w:r w:rsidR="00663889" w:rsidRPr="00F45A1F">
        <w:rPr>
          <w:rFonts w:ascii="Arial" w:hAnsi="Arial" w:cs="Arial"/>
        </w:rPr>
        <w:t xml:space="preserve"> a dirigentes</w:t>
      </w:r>
      <w:r w:rsidRPr="00F45A1F">
        <w:rPr>
          <w:rFonts w:ascii="Arial" w:hAnsi="Arial" w:cs="Arial"/>
        </w:rPr>
        <w:t xml:space="preserve">, tomando-se por base o mês de </w:t>
      </w:r>
      <w:r w:rsidR="00570F32" w:rsidRPr="00F45A1F">
        <w:rPr>
          <w:rFonts w:ascii="Arial" w:hAnsi="Arial" w:cs="Arial"/>
        </w:rPr>
        <w:t xml:space="preserve">março </w:t>
      </w:r>
      <w:r w:rsidR="0092430E" w:rsidRPr="00F45A1F">
        <w:rPr>
          <w:rFonts w:ascii="Arial" w:hAnsi="Arial" w:cs="Arial"/>
        </w:rPr>
        <w:t>de 20</w:t>
      </w:r>
      <w:r w:rsidR="00B55828">
        <w:rPr>
          <w:rFonts w:ascii="Arial" w:hAnsi="Arial" w:cs="Arial"/>
        </w:rPr>
        <w:t>20</w:t>
      </w:r>
      <w:r w:rsidRPr="00F45A1F">
        <w:rPr>
          <w:rFonts w:ascii="Arial" w:hAnsi="Arial" w:cs="Arial"/>
        </w:rPr>
        <w:t xml:space="preserve">, corresponde a R$ </w:t>
      </w:r>
      <w:r w:rsidR="004E196D" w:rsidRPr="00F45A1F">
        <w:rPr>
          <w:rFonts w:ascii="Arial" w:hAnsi="Arial" w:cs="Arial"/>
        </w:rPr>
        <w:t>40</w:t>
      </w:r>
      <w:r w:rsidR="002F270A" w:rsidRPr="00F45A1F">
        <w:rPr>
          <w:rFonts w:ascii="Arial" w:hAnsi="Arial" w:cs="Arial"/>
        </w:rPr>
        <w:t xml:space="preserve"> </w:t>
      </w:r>
      <w:r w:rsidR="00663889" w:rsidRPr="00F45A1F">
        <w:rPr>
          <w:rFonts w:ascii="Arial" w:hAnsi="Arial" w:cs="Arial"/>
        </w:rPr>
        <w:t xml:space="preserve">e R$ 4 </w:t>
      </w:r>
      <w:r w:rsidRPr="00F45A1F">
        <w:rPr>
          <w:rFonts w:ascii="Arial" w:hAnsi="Arial" w:cs="Arial"/>
        </w:rPr>
        <w:t xml:space="preserve">(R$ </w:t>
      </w:r>
      <w:r w:rsidR="003504EA" w:rsidRPr="00F45A1F">
        <w:rPr>
          <w:rFonts w:ascii="Arial" w:hAnsi="Arial" w:cs="Arial"/>
        </w:rPr>
        <w:t>40</w:t>
      </w:r>
      <w:r w:rsidR="00DA6337" w:rsidRPr="00F45A1F">
        <w:rPr>
          <w:rFonts w:ascii="Arial" w:hAnsi="Arial" w:cs="Arial"/>
        </w:rPr>
        <w:t xml:space="preserve"> </w:t>
      </w:r>
      <w:r w:rsidR="00663889" w:rsidRPr="00F45A1F">
        <w:rPr>
          <w:rFonts w:ascii="Arial" w:hAnsi="Arial" w:cs="Arial"/>
        </w:rPr>
        <w:t xml:space="preserve">e R$ 4, </w:t>
      </w:r>
      <w:r w:rsidRPr="00F45A1F">
        <w:rPr>
          <w:rFonts w:ascii="Arial" w:hAnsi="Arial" w:cs="Arial"/>
        </w:rPr>
        <w:t xml:space="preserve">em </w:t>
      </w:r>
      <w:r w:rsidR="00B4426C" w:rsidRPr="00F45A1F">
        <w:rPr>
          <w:rFonts w:ascii="Arial" w:hAnsi="Arial" w:cs="Arial"/>
        </w:rPr>
        <w:t>dezembro</w:t>
      </w:r>
      <w:r w:rsidR="0092430E" w:rsidRPr="00F45A1F">
        <w:rPr>
          <w:rFonts w:ascii="Arial" w:hAnsi="Arial" w:cs="Arial"/>
        </w:rPr>
        <w:t xml:space="preserve"> de 201</w:t>
      </w:r>
      <w:r w:rsidR="00570F32" w:rsidRPr="00F45A1F">
        <w:rPr>
          <w:rFonts w:ascii="Arial" w:hAnsi="Arial" w:cs="Arial"/>
        </w:rPr>
        <w:t>9</w:t>
      </w:r>
      <w:r w:rsidRPr="00F45A1F">
        <w:rPr>
          <w:rFonts w:ascii="Arial" w:hAnsi="Arial" w:cs="Arial"/>
        </w:rPr>
        <w:t>).</w:t>
      </w:r>
    </w:p>
    <w:p w14:paraId="2886C5F1" w14:textId="77777777" w:rsidR="006D5FBB" w:rsidRPr="00F45A1F" w:rsidRDefault="006D5FBB" w:rsidP="005144E2">
      <w:pPr>
        <w:widowControl/>
        <w:jc w:val="both"/>
        <w:rPr>
          <w:rFonts w:ascii="Arial" w:hAnsi="Arial" w:cs="Arial"/>
        </w:rPr>
      </w:pPr>
    </w:p>
    <w:p w14:paraId="5564720F" w14:textId="3BDC37D5" w:rsidR="008702D1" w:rsidRPr="00F45A1F" w:rsidRDefault="008C2EFF" w:rsidP="005144E2">
      <w:pPr>
        <w:widowControl/>
        <w:jc w:val="both"/>
        <w:rPr>
          <w:rFonts w:ascii="Arial" w:hAnsi="Arial" w:cs="Arial"/>
        </w:rPr>
      </w:pPr>
      <w:r w:rsidRPr="00F45A1F">
        <w:rPr>
          <w:rFonts w:ascii="Arial" w:hAnsi="Arial" w:cs="Arial"/>
        </w:rPr>
        <w:t xml:space="preserve">Nos períodos findos em </w:t>
      </w:r>
      <w:r w:rsidR="00911EBA" w:rsidRPr="00F45A1F">
        <w:rPr>
          <w:rFonts w:ascii="Arial" w:hAnsi="Arial" w:cs="Arial"/>
        </w:rPr>
        <w:t>3</w:t>
      </w:r>
      <w:r w:rsidR="00912E8D" w:rsidRPr="00F45A1F">
        <w:rPr>
          <w:rFonts w:ascii="Arial" w:hAnsi="Arial" w:cs="Arial"/>
        </w:rPr>
        <w:t>1</w:t>
      </w:r>
      <w:r w:rsidR="00911EBA" w:rsidRPr="00F45A1F">
        <w:rPr>
          <w:rFonts w:ascii="Arial" w:hAnsi="Arial" w:cs="Arial"/>
        </w:rPr>
        <w:t xml:space="preserve"> de</w:t>
      </w:r>
      <w:r w:rsidR="002206C7" w:rsidRPr="00F45A1F">
        <w:rPr>
          <w:rFonts w:ascii="Arial" w:hAnsi="Arial" w:cs="Arial"/>
        </w:rPr>
        <w:t xml:space="preserve"> março de 2020</w:t>
      </w:r>
      <w:r w:rsidR="00B55828">
        <w:rPr>
          <w:rFonts w:ascii="Arial" w:hAnsi="Arial" w:cs="Arial"/>
        </w:rPr>
        <w:t xml:space="preserve"> e 2019</w:t>
      </w:r>
      <w:r w:rsidR="003F4719" w:rsidRPr="00F45A1F">
        <w:rPr>
          <w:rFonts w:ascii="Arial" w:hAnsi="Arial" w:cs="Arial"/>
        </w:rPr>
        <w:t>, a Companhia realizou gastos com remuneração, encargos sociais e benefícios da alta administração, conforme apresentado a seguir:</w:t>
      </w:r>
    </w:p>
    <w:p w14:paraId="09789C8B" w14:textId="77777777" w:rsidR="009543C1" w:rsidRPr="00F45A1F" w:rsidRDefault="009543C1" w:rsidP="005144E2">
      <w:pPr>
        <w:widowControl/>
        <w:jc w:val="both"/>
        <w:rPr>
          <w:rFonts w:ascii="Arial" w:hAnsi="Arial" w:cs="Arial"/>
          <w:sz w:val="16"/>
          <w:szCs w:val="16"/>
        </w:rPr>
      </w:pPr>
    </w:p>
    <w:p w14:paraId="731A33F8" w14:textId="77777777" w:rsidR="003F1BAF" w:rsidRPr="00F45A1F" w:rsidRDefault="00162969" w:rsidP="005144E2">
      <w:pPr>
        <w:widowControl/>
        <w:jc w:val="both"/>
        <w:rPr>
          <w:rFonts w:ascii="Arial" w:hAnsi="Arial" w:cs="Arial"/>
          <w:b/>
        </w:rPr>
      </w:pPr>
      <w:r w:rsidRPr="00F45A1F">
        <w:rPr>
          <w:noProof/>
        </w:rPr>
        <w:drawing>
          <wp:inline distT="0" distB="0" distL="0" distR="0" wp14:anchorId="575F50E2" wp14:editId="7EAEE289">
            <wp:extent cx="5715000" cy="1247775"/>
            <wp:effectExtent l="0" t="0" r="0" b="9525"/>
            <wp:docPr id="124" name="Image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0" cy="1247775"/>
                    </a:xfrm>
                    <a:prstGeom prst="rect">
                      <a:avLst/>
                    </a:prstGeom>
                    <a:noFill/>
                    <a:ln>
                      <a:noFill/>
                    </a:ln>
                  </pic:spPr>
                </pic:pic>
              </a:graphicData>
            </a:graphic>
          </wp:inline>
        </w:drawing>
      </w:r>
    </w:p>
    <w:p w14:paraId="4F48A921" w14:textId="77777777" w:rsidR="00B76FF8" w:rsidRPr="00F45A1F" w:rsidRDefault="00B76FF8" w:rsidP="005144E2">
      <w:pPr>
        <w:widowControl/>
        <w:jc w:val="both"/>
        <w:rPr>
          <w:rFonts w:ascii="Arial" w:hAnsi="Arial" w:cs="Arial"/>
          <w:b/>
        </w:rPr>
      </w:pPr>
    </w:p>
    <w:p w14:paraId="318D3087" w14:textId="77777777" w:rsidR="00526126" w:rsidRPr="00F45A1F" w:rsidRDefault="00526126" w:rsidP="005144E2">
      <w:pPr>
        <w:widowControl/>
        <w:jc w:val="both"/>
        <w:rPr>
          <w:rFonts w:ascii="Arial" w:hAnsi="Arial" w:cs="Arial"/>
          <w:b/>
        </w:rPr>
      </w:pPr>
    </w:p>
    <w:p w14:paraId="108B8735" w14:textId="77777777" w:rsidR="003F4719" w:rsidRPr="00F45A1F" w:rsidRDefault="003F4719" w:rsidP="005144E2">
      <w:pPr>
        <w:widowControl/>
        <w:jc w:val="both"/>
        <w:outlineLvl w:val="0"/>
        <w:rPr>
          <w:rFonts w:ascii="Arial" w:hAnsi="Arial" w:cs="Arial"/>
          <w:b/>
          <w:sz w:val="26"/>
          <w:szCs w:val="26"/>
        </w:rPr>
      </w:pPr>
      <w:r w:rsidRPr="00F45A1F">
        <w:rPr>
          <w:rFonts w:ascii="Arial" w:hAnsi="Arial" w:cs="Arial"/>
          <w:b/>
          <w:sz w:val="26"/>
          <w:szCs w:val="26"/>
        </w:rPr>
        <w:t>NOTA 3</w:t>
      </w:r>
      <w:r w:rsidR="00A63DE3" w:rsidRPr="00F45A1F">
        <w:rPr>
          <w:rFonts w:ascii="Arial" w:hAnsi="Arial" w:cs="Arial"/>
          <w:b/>
          <w:sz w:val="26"/>
          <w:szCs w:val="26"/>
        </w:rPr>
        <w:t>8</w:t>
      </w:r>
      <w:r w:rsidRPr="00F45A1F">
        <w:rPr>
          <w:rFonts w:ascii="Arial" w:hAnsi="Arial" w:cs="Arial"/>
          <w:b/>
          <w:sz w:val="26"/>
          <w:szCs w:val="26"/>
        </w:rPr>
        <w:t xml:space="preserve"> – COMPROMISSOS</w:t>
      </w:r>
    </w:p>
    <w:p w14:paraId="3D9F8EEE" w14:textId="77777777" w:rsidR="0056129C" w:rsidRPr="00F45A1F" w:rsidRDefault="0056129C" w:rsidP="005144E2">
      <w:pPr>
        <w:widowControl/>
        <w:jc w:val="both"/>
        <w:rPr>
          <w:rFonts w:ascii="Arial" w:hAnsi="Arial" w:cs="Arial"/>
        </w:rPr>
      </w:pPr>
    </w:p>
    <w:p w14:paraId="2D3B1A4D" w14:textId="77777777" w:rsidR="003F4719" w:rsidRPr="00F45A1F" w:rsidRDefault="003F4719" w:rsidP="005144E2">
      <w:pPr>
        <w:widowControl/>
        <w:jc w:val="both"/>
        <w:rPr>
          <w:rFonts w:ascii="Arial" w:hAnsi="Arial" w:cs="Arial"/>
        </w:rPr>
      </w:pPr>
      <w:r w:rsidRPr="00F45A1F">
        <w:rPr>
          <w:rFonts w:ascii="Arial" w:hAnsi="Arial" w:cs="Arial"/>
        </w:rPr>
        <w:t>Além das obrigações registradas no presente balanço, a Companhia possui outros compromissos contratados até a data do balanço, mas ainda não incorridos, e cujas realizações ocorrerão nos próximos exercícios, portanto sem registros patrimoniais em 3</w:t>
      </w:r>
      <w:r w:rsidR="007E516E" w:rsidRPr="00F45A1F">
        <w:rPr>
          <w:rFonts w:ascii="Arial" w:hAnsi="Arial" w:cs="Arial"/>
        </w:rPr>
        <w:t>1</w:t>
      </w:r>
      <w:r w:rsidRPr="00F45A1F">
        <w:rPr>
          <w:rFonts w:ascii="Arial" w:hAnsi="Arial" w:cs="Arial"/>
        </w:rPr>
        <w:t xml:space="preserve"> de </w:t>
      </w:r>
      <w:r w:rsidR="005519FE" w:rsidRPr="00F45A1F">
        <w:rPr>
          <w:rFonts w:ascii="Arial" w:hAnsi="Arial" w:cs="Arial"/>
        </w:rPr>
        <w:t>março de 2020</w:t>
      </w:r>
      <w:r w:rsidRPr="00F45A1F">
        <w:rPr>
          <w:rFonts w:ascii="Arial" w:hAnsi="Arial" w:cs="Arial"/>
        </w:rPr>
        <w:t>. Trata-se de contratos e termos de compromissos referentes: à venda de energia elétrica</w:t>
      </w:r>
      <w:r w:rsidR="006F093D" w:rsidRPr="00F45A1F">
        <w:rPr>
          <w:rFonts w:ascii="Arial" w:hAnsi="Arial" w:cs="Arial"/>
        </w:rPr>
        <w:t>,</w:t>
      </w:r>
      <w:r w:rsidRPr="00F45A1F">
        <w:rPr>
          <w:rFonts w:ascii="Arial" w:hAnsi="Arial" w:cs="Arial"/>
        </w:rPr>
        <w:t xml:space="preserve"> à aquisição de matéria-prima - combustível nuclear - para produção de energia elétrica</w:t>
      </w:r>
      <w:r w:rsidR="006F093D" w:rsidRPr="00F45A1F">
        <w:rPr>
          <w:rFonts w:ascii="Arial" w:hAnsi="Arial" w:cs="Arial"/>
        </w:rPr>
        <w:t>,</w:t>
      </w:r>
      <w:r w:rsidRPr="00F45A1F">
        <w:rPr>
          <w:rFonts w:ascii="Arial" w:hAnsi="Arial" w:cs="Arial"/>
        </w:rPr>
        <w:t xml:space="preserve"> aos compromissos socioambientais vinculados ao empreendimento Angra 3 e </w:t>
      </w:r>
      <w:r w:rsidR="00B77538" w:rsidRPr="00F45A1F">
        <w:rPr>
          <w:rFonts w:ascii="Arial" w:hAnsi="Arial" w:cs="Arial"/>
        </w:rPr>
        <w:t xml:space="preserve">à </w:t>
      </w:r>
      <w:r w:rsidRPr="00F45A1F">
        <w:rPr>
          <w:rFonts w:ascii="Arial" w:hAnsi="Arial" w:cs="Arial"/>
        </w:rPr>
        <w:t xml:space="preserve">aquisição de bens e serviços para substituições em seu ativo imobilizado, a saber: </w:t>
      </w:r>
    </w:p>
    <w:p w14:paraId="4F6CCDA5" w14:textId="77777777" w:rsidR="0035253A" w:rsidRPr="00F45A1F" w:rsidRDefault="0035253A" w:rsidP="005144E2">
      <w:pPr>
        <w:widowControl/>
        <w:jc w:val="both"/>
        <w:rPr>
          <w:rFonts w:ascii="Arial" w:hAnsi="Arial" w:cs="Arial"/>
          <w:b/>
        </w:rPr>
      </w:pPr>
    </w:p>
    <w:p w14:paraId="1C1A0C55" w14:textId="77777777" w:rsidR="0056129C" w:rsidRPr="00F45A1F" w:rsidRDefault="0056129C" w:rsidP="005144E2">
      <w:pPr>
        <w:widowControl/>
        <w:jc w:val="both"/>
        <w:rPr>
          <w:rFonts w:ascii="Arial" w:hAnsi="Arial" w:cs="Arial"/>
          <w:b/>
          <w:sz w:val="16"/>
          <w:szCs w:val="16"/>
        </w:rPr>
      </w:pPr>
    </w:p>
    <w:p w14:paraId="2E57E71B" w14:textId="77777777" w:rsidR="003F4719" w:rsidRPr="00F45A1F" w:rsidRDefault="003F4719" w:rsidP="005144E2">
      <w:pPr>
        <w:widowControl/>
        <w:jc w:val="both"/>
        <w:rPr>
          <w:rFonts w:ascii="Arial" w:hAnsi="Arial" w:cs="Arial"/>
          <w:b/>
        </w:rPr>
      </w:pPr>
      <w:r w:rsidRPr="00F45A1F">
        <w:rPr>
          <w:rFonts w:ascii="Arial" w:hAnsi="Arial" w:cs="Arial"/>
          <w:b/>
        </w:rPr>
        <w:t>3</w:t>
      </w:r>
      <w:r w:rsidR="00A63DE3" w:rsidRPr="00F45A1F">
        <w:rPr>
          <w:rFonts w:ascii="Arial" w:hAnsi="Arial" w:cs="Arial"/>
          <w:b/>
        </w:rPr>
        <w:t>8</w:t>
      </w:r>
      <w:r w:rsidRPr="00F45A1F">
        <w:rPr>
          <w:rFonts w:ascii="Arial" w:hAnsi="Arial" w:cs="Arial"/>
          <w:b/>
        </w:rPr>
        <w:t>.1 – Venda de energia elétrica</w:t>
      </w:r>
    </w:p>
    <w:p w14:paraId="7D49C28F" w14:textId="77777777" w:rsidR="003F4719" w:rsidRPr="00F45A1F" w:rsidRDefault="003F4719" w:rsidP="005144E2">
      <w:pPr>
        <w:widowControl/>
        <w:jc w:val="both"/>
        <w:rPr>
          <w:rFonts w:ascii="Arial" w:hAnsi="Arial" w:cs="Arial"/>
          <w:b/>
        </w:rPr>
      </w:pPr>
    </w:p>
    <w:p w14:paraId="11B9DA4B" w14:textId="77777777" w:rsidR="003F4719" w:rsidRPr="00F45A1F" w:rsidRDefault="003F4719" w:rsidP="005144E2">
      <w:pPr>
        <w:jc w:val="both"/>
        <w:rPr>
          <w:rFonts w:ascii="Arial" w:hAnsi="Arial" w:cs="Arial"/>
        </w:rPr>
      </w:pPr>
      <w:r w:rsidRPr="00F45A1F">
        <w:rPr>
          <w:rFonts w:ascii="Arial" w:hAnsi="Arial" w:cs="Arial"/>
        </w:rPr>
        <w:t>Com a regulamentação da A</w:t>
      </w:r>
      <w:r w:rsidR="00904EEC" w:rsidRPr="00F45A1F">
        <w:rPr>
          <w:rFonts w:ascii="Arial" w:hAnsi="Arial" w:cs="Arial"/>
        </w:rPr>
        <w:t>neel</w:t>
      </w:r>
      <w:r w:rsidRPr="00F45A1F">
        <w:rPr>
          <w:rFonts w:ascii="Arial" w:hAnsi="Arial" w:cs="Arial"/>
        </w:rPr>
        <w:t xml:space="preserve"> para o dispositivo do art.11, da Lei 12.111/2009 e mediante a edição da Resolução Normativa nº 530, em 21 de dezembro de 2012, toda a receita decorrente da geração das </w:t>
      </w:r>
      <w:r w:rsidR="002636AE" w:rsidRPr="00F45A1F">
        <w:rPr>
          <w:rFonts w:ascii="Arial" w:hAnsi="Arial" w:cs="Arial"/>
        </w:rPr>
        <w:t>U</w:t>
      </w:r>
      <w:r w:rsidRPr="00F45A1F">
        <w:rPr>
          <w:rFonts w:ascii="Arial" w:hAnsi="Arial" w:cs="Arial"/>
        </w:rPr>
        <w:t>sinas Angra 1 e 2 será rateada entre todas as concessionárias, permissionárias ou autorizadas de serviço público de distribuição do Sistema Interligado Nacional – SIN, de acordo com as cotas-partes estabelecidas pela A</w:t>
      </w:r>
      <w:r w:rsidR="00904EEC" w:rsidRPr="00F45A1F">
        <w:rPr>
          <w:rFonts w:ascii="Arial" w:hAnsi="Arial" w:cs="Arial"/>
        </w:rPr>
        <w:t>neel</w:t>
      </w:r>
      <w:r w:rsidR="00827D5B" w:rsidRPr="00F45A1F">
        <w:rPr>
          <w:rFonts w:ascii="Arial" w:hAnsi="Arial" w:cs="Arial"/>
        </w:rPr>
        <w:t xml:space="preserve"> para o período de 2020 a 2027</w:t>
      </w:r>
      <w:r w:rsidR="00B43FDD" w:rsidRPr="00F45A1F">
        <w:rPr>
          <w:rFonts w:ascii="Arial" w:hAnsi="Arial" w:cs="Arial"/>
        </w:rPr>
        <w:t xml:space="preserve">. </w:t>
      </w:r>
      <w:r w:rsidRPr="00F45A1F">
        <w:rPr>
          <w:rFonts w:ascii="Arial" w:hAnsi="Arial" w:cs="Arial"/>
        </w:rPr>
        <w:t>A Resolução Homologatória A</w:t>
      </w:r>
      <w:r w:rsidR="00904EEC" w:rsidRPr="00F45A1F">
        <w:rPr>
          <w:rFonts w:ascii="Arial" w:hAnsi="Arial" w:cs="Arial"/>
        </w:rPr>
        <w:t>neel</w:t>
      </w:r>
      <w:r w:rsidRPr="00F45A1F">
        <w:rPr>
          <w:rFonts w:ascii="Arial" w:hAnsi="Arial" w:cs="Arial"/>
        </w:rPr>
        <w:t xml:space="preserve"> nº </w:t>
      </w:r>
      <w:r w:rsidR="00767BE0" w:rsidRPr="00F45A1F">
        <w:rPr>
          <w:rFonts w:ascii="Arial" w:hAnsi="Arial" w:cs="Arial"/>
        </w:rPr>
        <w:t>2.</w:t>
      </w:r>
      <w:r w:rsidR="00A2435E" w:rsidRPr="00F45A1F">
        <w:rPr>
          <w:rFonts w:ascii="Arial" w:hAnsi="Arial" w:cs="Arial"/>
        </w:rPr>
        <w:t>661</w:t>
      </w:r>
      <w:r w:rsidR="003566D3" w:rsidRPr="00F45A1F">
        <w:rPr>
          <w:rFonts w:ascii="Arial" w:hAnsi="Arial" w:cs="Arial"/>
        </w:rPr>
        <w:t>/201</w:t>
      </w:r>
      <w:r w:rsidR="00A2435E" w:rsidRPr="00F45A1F">
        <w:rPr>
          <w:rFonts w:ascii="Arial" w:hAnsi="Arial" w:cs="Arial"/>
        </w:rPr>
        <w:t>9</w:t>
      </w:r>
      <w:r w:rsidRPr="00F45A1F">
        <w:rPr>
          <w:rFonts w:ascii="Arial" w:hAnsi="Arial" w:cs="Arial"/>
        </w:rPr>
        <w:t xml:space="preserve"> estabeleceu a receita fixa de R$ </w:t>
      </w:r>
      <w:r w:rsidR="00C17C30" w:rsidRPr="00F45A1F">
        <w:rPr>
          <w:rFonts w:ascii="Arial" w:hAnsi="Arial" w:cs="Arial"/>
        </w:rPr>
        <w:t>3.</w:t>
      </w:r>
      <w:r w:rsidR="00A2435E" w:rsidRPr="00F45A1F">
        <w:rPr>
          <w:rFonts w:ascii="Arial" w:hAnsi="Arial" w:cs="Arial"/>
        </w:rPr>
        <w:t>726.446</w:t>
      </w:r>
      <w:r w:rsidR="005519FE" w:rsidRPr="00F45A1F">
        <w:rPr>
          <w:rFonts w:ascii="Arial" w:hAnsi="Arial" w:cs="Arial"/>
        </w:rPr>
        <w:t xml:space="preserve"> </w:t>
      </w:r>
      <w:r w:rsidRPr="00F45A1F">
        <w:rPr>
          <w:rFonts w:ascii="Arial" w:hAnsi="Arial" w:cs="Arial"/>
        </w:rPr>
        <w:t>para o ano de 20</w:t>
      </w:r>
      <w:r w:rsidR="00A2435E" w:rsidRPr="00F45A1F">
        <w:rPr>
          <w:rFonts w:ascii="Arial" w:hAnsi="Arial" w:cs="Arial"/>
        </w:rPr>
        <w:t>20</w:t>
      </w:r>
      <w:r w:rsidRPr="00F45A1F">
        <w:rPr>
          <w:rFonts w:ascii="Arial" w:hAnsi="Arial" w:cs="Arial"/>
        </w:rPr>
        <w:t xml:space="preserve">, relativa </w:t>
      </w:r>
      <w:r w:rsidR="00B8359D" w:rsidRPr="00F45A1F">
        <w:rPr>
          <w:rFonts w:ascii="Arial" w:hAnsi="Arial" w:cs="Arial"/>
        </w:rPr>
        <w:t>às Centrais de Geração</w:t>
      </w:r>
      <w:r w:rsidRPr="00F45A1F">
        <w:rPr>
          <w:rFonts w:ascii="Arial" w:hAnsi="Arial" w:cs="Arial"/>
        </w:rPr>
        <w:t xml:space="preserve"> Angra </w:t>
      </w:r>
      <w:proofErr w:type="gramStart"/>
      <w:r w:rsidRPr="00F45A1F">
        <w:rPr>
          <w:rFonts w:ascii="Arial" w:hAnsi="Arial" w:cs="Arial"/>
        </w:rPr>
        <w:t>1</w:t>
      </w:r>
      <w:proofErr w:type="gramEnd"/>
      <w:r w:rsidRPr="00F45A1F">
        <w:rPr>
          <w:rFonts w:ascii="Arial" w:hAnsi="Arial" w:cs="Arial"/>
        </w:rPr>
        <w:t xml:space="preserve"> e 2. </w:t>
      </w:r>
    </w:p>
    <w:p w14:paraId="21F829EB" w14:textId="77777777" w:rsidR="0026150C" w:rsidRPr="00F45A1F" w:rsidRDefault="0026150C" w:rsidP="005144E2">
      <w:pPr>
        <w:jc w:val="both"/>
        <w:rPr>
          <w:rFonts w:ascii="Arial" w:hAnsi="Arial" w:cs="Arial"/>
        </w:rPr>
      </w:pPr>
    </w:p>
    <w:p w14:paraId="486CD877" w14:textId="77777777" w:rsidR="003F4719" w:rsidRPr="00F45A1F" w:rsidRDefault="003F4719" w:rsidP="005144E2">
      <w:pPr>
        <w:pStyle w:val="Default0"/>
        <w:spacing w:line="264" w:lineRule="auto"/>
        <w:jc w:val="both"/>
        <w:rPr>
          <w:rFonts w:ascii="Arial" w:hAnsi="Arial" w:cs="Arial"/>
          <w:color w:val="auto"/>
        </w:rPr>
      </w:pPr>
      <w:r w:rsidRPr="00F45A1F">
        <w:rPr>
          <w:rFonts w:ascii="Arial" w:hAnsi="Arial" w:cs="Arial"/>
          <w:color w:val="auto"/>
        </w:rPr>
        <w:t>Conforme está previsto nos procedimentos estabelecidos pela A</w:t>
      </w:r>
      <w:r w:rsidR="005064DD" w:rsidRPr="00F45A1F">
        <w:rPr>
          <w:rFonts w:ascii="Arial" w:hAnsi="Arial" w:cs="Arial"/>
          <w:color w:val="auto"/>
        </w:rPr>
        <w:t>neel</w:t>
      </w:r>
      <w:r w:rsidRPr="00F45A1F">
        <w:rPr>
          <w:rFonts w:ascii="Arial" w:hAnsi="Arial" w:cs="Arial"/>
          <w:color w:val="auto"/>
        </w:rPr>
        <w:t xml:space="preserve">, as atualizações da receita fixa das </w:t>
      </w:r>
      <w:r w:rsidR="002636AE" w:rsidRPr="00F45A1F">
        <w:rPr>
          <w:rFonts w:ascii="Arial" w:hAnsi="Arial" w:cs="Arial"/>
          <w:color w:val="auto"/>
        </w:rPr>
        <w:t>U</w:t>
      </w:r>
      <w:r w:rsidRPr="00F45A1F">
        <w:rPr>
          <w:rFonts w:ascii="Arial" w:hAnsi="Arial" w:cs="Arial"/>
          <w:color w:val="auto"/>
        </w:rPr>
        <w:t>sinas Angra 1 e 2 ocorrerão nas seguintes condições:</w:t>
      </w:r>
    </w:p>
    <w:p w14:paraId="12B91AA2" w14:textId="77777777" w:rsidR="00E87487" w:rsidRPr="00F45A1F" w:rsidRDefault="00E87487" w:rsidP="005144E2">
      <w:pPr>
        <w:pStyle w:val="Default0"/>
        <w:spacing w:line="264" w:lineRule="auto"/>
        <w:jc w:val="both"/>
        <w:rPr>
          <w:rFonts w:ascii="Arial" w:hAnsi="Arial" w:cs="Arial"/>
          <w:color w:val="auto"/>
        </w:rPr>
      </w:pPr>
    </w:p>
    <w:p w14:paraId="623F84AD" w14:textId="77777777" w:rsidR="003F4719" w:rsidRPr="00F45A1F" w:rsidRDefault="003F4719" w:rsidP="005144E2">
      <w:pPr>
        <w:pStyle w:val="Default0"/>
        <w:numPr>
          <w:ilvl w:val="0"/>
          <w:numId w:val="15"/>
        </w:numPr>
        <w:adjustRightInd/>
        <w:spacing w:line="264" w:lineRule="auto"/>
        <w:jc w:val="both"/>
        <w:rPr>
          <w:rFonts w:ascii="Arial" w:hAnsi="Arial" w:cs="Arial"/>
          <w:color w:val="auto"/>
        </w:rPr>
      </w:pPr>
      <w:r w:rsidRPr="00F45A1F">
        <w:rPr>
          <w:rFonts w:ascii="Arial" w:hAnsi="Arial" w:cs="Arial"/>
          <w:color w:val="auto"/>
        </w:rPr>
        <w:t>Reajustes tarifários anuais, representados pela atualização infla</w:t>
      </w:r>
      <w:r w:rsidR="00B77538" w:rsidRPr="00F45A1F">
        <w:rPr>
          <w:rFonts w:ascii="Arial" w:hAnsi="Arial" w:cs="Arial"/>
          <w:color w:val="auto"/>
        </w:rPr>
        <w:t>cionária dos valores do período;</w:t>
      </w:r>
    </w:p>
    <w:p w14:paraId="39D1DA28" w14:textId="77777777" w:rsidR="003F4719" w:rsidRPr="00F45A1F" w:rsidRDefault="003F4719" w:rsidP="005144E2">
      <w:pPr>
        <w:pStyle w:val="Default0"/>
        <w:numPr>
          <w:ilvl w:val="0"/>
          <w:numId w:val="15"/>
        </w:numPr>
        <w:adjustRightInd/>
        <w:spacing w:line="264" w:lineRule="auto"/>
        <w:jc w:val="both"/>
        <w:rPr>
          <w:rFonts w:ascii="Arial" w:hAnsi="Arial" w:cs="Arial"/>
          <w:color w:val="auto"/>
        </w:rPr>
      </w:pPr>
      <w:r w:rsidRPr="00F45A1F">
        <w:rPr>
          <w:rFonts w:ascii="Arial" w:hAnsi="Arial" w:cs="Arial"/>
          <w:color w:val="auto"/>
        </w:rPr>
        <w:t xml:space="preserve">Revisões tarifárias </w:t>
      </w:r>
      <w:r w:rsidR="00B77538" w:rsidRPr="00F45A1F">
        <w:rPr>
          <w:rFonts w:ascii="Arial" w:hAnsi="Arial" w:cs="Arial"/>
          <w:color w:val="auto"/>
        </w:rPr>
        <w:t>a cada intervalo de três anos;</w:t>
      </w:r>
    </w:p>
    <w:p w14:paraId="42AB0D4B" w14:textId="77777777" w:rsidR="003F4719" w:rsidRPr="00F45A1F" w:rsidRDefault="003F4719" w:rsidP="005144E2">
      <w:pPr>
        <w:pStyle w:val="PargrafodaLista"/>
        <w:widowControl/>
        <w:numPr>
          <w:ilvl w:val="0"/>
          <w:numId w:val="15"/>
        </w:numPr>
        <w:autoSpaceDE w:val="0"/>
        <w:autoSpaceDN w:val="0"/>
        <w:jc w:val="both"/>
        <w:rPr>
          <w:rFonts w:ascii="Arial" w:hAnsi="Arial" w:cs="Arial"/>
        </w:rPr>
      </w:pPr>
      <w:r w:rsidRPr="00F45A1F">
        <w:rPr>
          <w:rFonts w:ascii="Arial" w:hAnsi="Arial" w:cs="Arial"/>
        </w:rPr>
        <w:t xml:space="preserve">Revisões extraordinárias poderão ser realizadas por solicitação da </w:t>
      </w:r>
      <w:r w:rsidR="00E51010" w:rsidRPr="00F45A1F">
        <w:rPr>
          <w:rFonts w:ascii="Arial" w:hAnsi="Arial" w:cs="Arial"/>
        </w:rPr>
        <w:t>ELETRONUCLEAR</w:t>
      </w:r>
      <w:r w:rsidRPr="00F45A1F">
        <w:rPr>
          <w:rFonts w:ascii="Arial" w:hAnsi="Arial" w:cs="Arial"/>
        </w:rPr>
        <w:t xml:space="preserve"> ou por iniciativa da A</w:t>
      </w:r>
      <w:r w:rsidR="00904EEC" w:rsidRPr="00F45A1F">
        <w:rPr>
          <w:rFonts w:ascii="Arial" w:hAnsi="Arial" w:cs="Arial"/>
        </w:rPr>
        <w:t>neel</w:t>
      </w:r>
      <w:r w:rsidRPr="00F45A1F">
        <w:rPr>
          <w:rFonts w:ascii="Arial" w:hAnsi="Arial" w:cs="Arial"/>
        </w:rPr>
        <w:t>, para cobertura de custos excepcionais, visando restabelecer o equilíbrio econômico-financeiro dos empreendimentos.</w:t>
      </w:r>
    </w:p>
    <w:p w14:paraId="343B7B0E" w14:textId="77777777" w:rsidR="0048542F" w:rsidRDefault="0048542F" w:rsidP="005144E2">
      <w:pPr>
        <w:widowControl/>
        <w:autoSpaceDE w:val="0"/>
        <w:autoSpaceDN w:val="0"/>
        <w:ind w:left="3"/>
        <w:jc w:val="both"/>
        <w:rPr>
          <w:rFonts w:ascii="Arial" w:hAnsi="Arial" w:cs="Arial"/>
        </w:rPr>
      </w:pPr>
    </w:p>
    <w:p w14:paraId="68EC9629" w14:textId="77777777" w:rsidR="0048542F" w:rsidRDefault="0048542F" w:rsidP="005144E2">
      <w:pPr>
        <w:widowControl/>
        <w:autoSpaceDE w:val="0"/>
        <w:autoSpaceDN w:val="0"/>
        <w:ind w:left="3"/>
        <w:jc w:val="both"/>
        <w:rPr>
          <w:rFonts w:ascii="Arial" w:hAnsi="Arial" w:cs="Arial"/>
        </w:rPr>
      </w:pPr>
    </w:p>
    <w:p w14:paraId="3729CB24" w14:textId="003ED7B7" w:rsidR="002D5DE4" w:rsidRPr="00F45A1F" w:rsidRDefault="0048542F" w:rsidP="005144E2">
      <w:pPr>
        <w:widowControl/>
        <w:autoSpaceDE w:val="0"/>
        <w:autoSpaceDN w:val="0"/>
        <w:ind w:left="3"/>
        <w:jc w:val="both"/>
        <w:rPr>
          <w:rFonts w:ascii="Arial" w:hAnsi="Arial" w:cs="Arial"/>
        </w:rPr>
      </w:pPr>
      <w:r w:rsidRPr="0048542F">
        <w:rPr>
          <w:noProof/>
        </w:rPr>
        <w:drawing>
          <wp:inline distT="0" distB="0" distL="0" distR="0" wp14:anchorId="007BE2CC" wp14:editId="0950F23C">
            <wp:extent cx="6073140" cy="4348427"/>
            <wp:effectExtent l="0" t="0" r="381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73140" cy="4348427"/>
                    </a:xfrm>
                    <a:prstGeom prst="rect">
                      <a:avLst/>
                    </a:prstGeom>
                    <a:noFill/>
                    <a:ln>
                      <a:noFill/>
                    </a:ln>
                  </pic:spPr>
                </pic:pic>
              </a:graphicData>
            </a:graphic>
          </wp:inline>
        </w:drawing>
      </w:r>
    </w:p>
    <w:p w14:paraId="5962F633" w14:textId="77777777" w:rsidR="00A2435E" w:rsidRPr="00F45A1F" w:rsidRDefault="00A2435E" w:rsidP="005144E2">
      <w:pPr>
        <w:widowControl/>
        <w:autoSpaceDE w:val="0"/>
        <w:autoSpaceDN w:val="0"/>
        <w:jc w:val="both"/>
        <w:rPr>
          <w:rFonts w:ascii="Arial" w:hAnsi="Arial" w:cs="Arial"/>
          <w:noProof/>
        </w:rPr>
      </w:pPr>
    </w:p>
    <w:p w14:paraId="4504CEA6" w14:textId="77777777" w:rsidR="003F4719" w:rsidRPr="00F45A1F" w:rsidRDefault="003F4719" w:rsidP="005144E2">
      <w:pPr>
        <w:widowControl/>
        <w:tabs>
          <w:tab w:val="left" w:pos="180"/>
          <w:tab w:val="left" w:pos="360"/>
        </w:tabs>
        <w:jc w:val="both"/>
        <w:rPr>
          <w:rFonts w:ascii="Arial" w:hAnsi="Arial" w:cs="Arial"/>
          <w:b/>
        </w:rPr>
      </w:pPr>
      <w:r w:rsidRPr="00F45A1F">
        <w:rPr>
          <w:rFonts w:ascii="Arial" w:hAnsi="Arial" w:cs="Arial"/>
          <w:b/>
        </w:rPr>
        <w:t>3</w:t>
      </w:r>
      <w:r w:rsidR="00A63DE3" w:rsidRPr="00F45A1F">
        <w:rPr>
          <w:rFonts w:ascii="Arial" w:hAnsi="Arial" w:cs="Arial"/>
          <w:b/>
        </w:rPr>
        <w:t>8</w:t>
      </w:r>
      <w:r w:rsidRPr="00F45A1F">
        <w:rPr>
          <w:rFonts w:ascii="Arial" w:hAnsi="Arial" w:cs="Arial"/>
          <w:b/>
        </w:rPr>
        <w:t>.2 – Combustível nuclear</w:t>
      </w:r>
    </w:p>
    <w:p w14:paraId="6478844E" w14:textId="77777777" w:rsidR="00680B4F" w:rsidRPr="00F45A1F" w:rsidRDefault="00680B4F" w:rsidP="005144E2">
      <w:pPr>
        <w:widowControl/>
        <w:tabs>
          <w:tab w:val="left" w:pos="180"/>
          <w:tab w:val="left" w:pos="360"/>
        </w:tabs>
        <w:jc w:val="both"/>
        <w:rPr>
          <w:rFonts w:ascii="Arial" w:hAnsi="Arial" w:cs="Arial"/>
          <w:b/>
          <w:sz w:val="16"/>
          <w:szCs w:val="16"/>
        </w:rPr>
      </w:pPr>
    </w:p>
    <w:p w14:paraId="7E78818B" w14:textId="77777777" w:rsidR="003F4719" w:rsidRPr="00F45A1F" w:rsidRDefault="003F4719" w:rsidP="005144E2">
      <w:pPr>
        <w:widowControl/>
        <w:tabs>
          <w:tab w:val="center" w:pos="4782"/>
          <w:tab w:val="right" w:pos="9564"/>
        </w:tabs>
        <w:jc w:val="both"/>
        <w:rPr>
          <w:rFonts w:ascii="Arial" w:hAnsi="Arial" w:cs="Arial"/>
        </w:rPr>
      </w:pPr>
      <w:r w:rsidRPr="00F45A1F">
        <w:rPr>
          <w:rFonts w:ascii="Arial" w:hAnsi="Arial" w:cs="Arial"/>
        </w:rPr>
        <w:t xml:space="preserve">Contratos assinados com a INB - Indústrias Nucleares Brasileiras, para aquisição de matéria-prima para produção de energia elétrica e combustível nuclear para as próximas recargas das </w:t>
      </w:r>
      <w:r w:rsidR="002636AE" w:rsidRPr="00F45A1F">
        <w:rPr>
          <w:rFonts w:ascii="Arial" w:hAnsi="Arial" w:cs="Arial"/>
        </w:rPr>
        <w:t>U</w:t>
      </w:r>
      <w:r w:rsidRPr="00F45A1F">
        <w:rPr>
          <w:rFonts w:ascii="Arial" w:hAnsi="Arial" w:cs="Arial"/>
        </w:rPr>
        <w:t xml:space="preserve">sinas Angra 1 e Angra 2, bem como a carga inicial e futuras recargas de Angra 3, conforme </w:t>
      </w:r>
      <w:r w:rsidR="00C17C30" w:rsidRPr="00F45A1F">
        <w:rPr>
          <w:rFonts w:ascii="Arial" w:hAnsi="Arial" w:cs="Arial"/>
        </w:rPr>
        <w:t>quadro demonstrativo a seguir</w:t>
      </w:r>
      <w:r w:rsidRPr="00F45A1F">
        <w:rPr>
          <w:rFonts w:ascii="Arial" w:hAnsi="Arial" w:cs="Arial"/>
        </w:rPr>
        <w:t>:</w:t>
      </w:r>
    </w:p>
    <w:p w14:paraId="700EB032" w14:textId="77777777" w:rsidR="001B6E08" w:rsidRPr="00F45A1F" w:rsidRDefault="001B6E08" w:rsidP="005144E2">
      <w:pPr>
        <w:widowControl/>
        <w:tabs>
          <w:tab w:val="center" w:pos="4782"/>
          <w:tab w:val="right" w:pos="9564"/>
        </w:tabs>
        <w:jc w:val="both"/>
        <w:rPr>
          <w:rFonts w:ascii="Arial" w:hAnsi="Arial" w:cs="Arial"/>
          <w:sz w:val="16"/>
          <w:szCs w:val="16"/>
        </w:rPr>
      </w:pPr>
    </w:p>
    <w:p w14:paraId="7E8A745B" w14:textId="77777777" w:rsidR="005A6310" w:rsidRPr="00F45A1F" w:rsidRDefault="008613A3" w:rsidP="005144E2">
      <w:pPr>
        <w:widowControl/>
        <w:tabs>
          <w:tab w:val="center" w:pos="4782"/>
          <w:tab w:val="right" w:pos="9564"/>
        </w:tabs>
        <w:jc w:val="both"/>
        <w:rPr>
          <w:rFonts w:ascii="Arial" w:hAnsi="Arial" w:cs="Arial"/>
        </w:rPr>
      </w:pPr>
      <w:r w:rsidRPr="00F45A1F">
        <w:rPr>
          <w:noProof/>
        </w:rPr>
        <w:drawing>
          <wp:inline distT="0" distB="0" distL="0" distR="0" wp14:anchorId="0644832A" wp14:editId="0D689357">
            <wp:extent cx="3457575" cy="2409825"/>
            <wp:effectExtent l="0" t="0" r="9525" b="9525"/>
            <wp:docPr id="130" name="Image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57575" cy="2409825"/>
                    </a:xfrm>
                    <a:prstGeom prst="rect">
                      <a:avLst/>
                    </a:prstGeom>
                    <a:noFill/>
                    <a:ln>
                      <a:noFill/>
                    </a:ln>
                  </pic:spPr>
                </pic:pic>
              </a:graphicData>
            </a:graphic>
          </wp:inline>
        </w:drawing>
      </w:r>
    </w:p>
    <w:p w14:paraId="209ED38D" w14:textId="7C10CC33" w:rsidR="005F6B89" w:rsidRPr="00F45A1F" w:rsidRDefault="005F6B89" w:rsidP="005144E2">
      <w:pPr>
        <w:widowControl/>
        <w:ind w:left="360" w:hanging="360"/>
        <w:jc w:val="both"/>
        <w:rPr>
          <w:rFonts w:ascii="Arial" w:hAnsi="Arial" w:cs="Arial"/>
          <w:i/>
          <w:sz w:val="16"/>
          <w:szCs w:val="16"/>
        </w:rPr>
      </w:pPr>
      <w:r w:rsidRPr="00F45A1F">
        <w:rPr>
          <w:rFonts w:ascii="Arial" w:hAnsi="Arial" w:cs="Arial"/>
          <w:i/>
          <w:sz w:val="16"/>
          <w:szCs w:val="16"/>
        </w:rPr>
        <w:t xml:space="preserve">*Informação não </w:t>
      </w:r>
      <w:r w:rsidR="00950652">
        <w:rPr>
          <w:rFonts w:ascii="Arial" w:hAnsi="Arial" w:cs="Arial"/>
          <w:i/>
          <w:sz w:val="16"/>
          <w:szCs w:val="16"/>
        </w:rPr>
        <w:t>revisada</w:t>
      </w:r>
      <w:r w:rsidRPr="00F45A1F">
        <w:rPr>
          <w:rFonts w:ascii="Arial" w:hAnsi="Arial" w:cs="Arial"/>
          <w:i/>
          <w:sz w:val="16"/>
          <w:szCs w:val="16"/>
        </w:rPr>
        <w:t xml:space="preserve"> p</w:t>
      </w:r>
      <w:r w:rsidR="00C17C30" w:rsidRPr="00F45A1F">
        <w:rPr>
          <w:rFonts w:ascii="Arial" w:hAnsi="Arial" w:cs="Arial"/>
          <w:i/>
          <w:sz w:val="16"/>
          <w:szCs w:val="16"/>
        </w:rPr>
        <w:t>elo</w:t>
      </w:r>
      <w:r w:rsidRPr="00F45A1F">
        <w:rPr>
          <w:rFonts w:ascii="Arial" w:hAnsi="Arial" w:cs="Arial"/>
          <w:i/>
          <w:sz w:val="16"/>
          <w:szCs w:val="16"/>
        </w:rPr>
        <w:t xml:space="preserve"> auditor </w:t>
      </w:r>
      <w:r w:rsidR="00C17C30" w:rsidRPr="00F45A1F">
        <w:rPr>
          <w:rFonts w:ascii="Arial" w:hAnsi="Arial" w:cs="Arial"/>
          <w:i/>
          <w:sz w:val="16"/>
          <w:szCs w:val="16"/>
        </w:rPr>
        <w:t>independente</w:t>
      </w:r>
    </w:p>
    <w:p w14:paraId="082691E2" w14:textId="77777777" w:rsidR="00A227C7" w:rsidRPr="00F45A1F" w:rsidRDefault="00A227C7" w:rsidP="005144E2">
      <w:pPr>
        <w:widowControl/>
        <w:ind w:left="360" w:hanging="360"/>
        <w:jc w:val="both"/>
        <w:rPr>
          <w:rFonts w:ascii="Arial" w:hAnsi="Arial" w:cs="Arial"/>
          <w:i/>
          <w:sz w:val="16"/>
          <w:szCs w:val="16"/>
        </w:rPr>
      </w:pPr>
    </w:p>
    <w:p w14:paraId="4AB72D6B" w14:textId="77777777" w:rsidR="003F4719" w:rsidRPr="00F45A1F" w:rsidRDefault="003F4719" w:rsidP="005144E2">
      <w:pPr>
        <w:widowControl/>
        <w:tabs>
          <w:tab w:val="center" w:pos="4782"/>
          <w:tab w:val="right" w:pos="9564"/>
        </w:tabs>
        <w:rPr>
          <w:rFonts w:ascii="Arial" w:hAnsi="Arial" w:cs="Arial"/>
          <w:b/>
        </w:rPr>
      </w:pPr>
      <w:r w:rsidRPr="00F45A1F">
        <w:rPr>
          <w:rFonts w:ascii="Arial" w:hAnsi="Arial" w:cs="Arial"/>
          <w:b/>
        </w:rPr>
        <w:t>3</w:t>
      </w:r>
      <w:r w:rsidR="00A63DE3" w:rsidRPr="00F45A1F">
        <w:rPr>
          <w:rFonts w:ascii="Arial" w:hAnsi="Arial" w:cs="Arial"/>
          <w:b/>
        </w:rPr>
        <w:t>8</w:t>
      </w:r>
      <w:r w:rsidRPr="00F45A1F">
        <w:rPr>
          <w:rFonts w:ascii="Arial" w:hAnsi="Arial" w:cs="Arial"/>
          <w:b/>
        </w:rPr>
        <w:t>.3 – Compromissos socioambientais</w:t>
      </w:r>
    </w:p>
    <w:p w14:paraId="7056430D" w14:textId="77777777" w:rsidR="003F4719" w:rsidRPr="00F45A1F" w:rsidRDefault="003F4719" w:rsidP="005144E2">
      <w:pPr>
        <w:widowControl/>
        <w:jc w:val="both"/>
        <w:rPr>
          <w:rFonts w:ascii="Arial" w:hAnsi="Arial" w:cs="Arial"/>
        </w:rPr>
      </w:pPr>
    </w:p>
    <w:p w14:paraId="38573A1E" w14:textId="77777777" w:rsidR="00D05990" w:rsidRPr="00F45A1F" w:rsidRDefault="003F4719" w:rsidP="005144E2">
      <w:pPr>
        <w:widowControl/>
        <w:jc w:val="both"/>
        <w:rPr>
          <w:rFonts w:ascii="Arial" w:hAnsi="Arial" w:cs="Arial"/>
        </w:rPr>
      </w:pPr>
      <w:r w:rsidRPr="00F45A1F">
        <w:rPr>
          <w:rFonts w:ascii="Arial" w:hAnsi="Arial" w:cs="Arial"/>
        </w:rPr>
        <w:t xml:space="preserve">Termos de compromissos assumidos com os Municípios, nos quais a ELETRONUCLEAR se compromete a celebrar convênios específicos de portes socioambientais, vinculados ao empreendimento Angra 3, visando à execução dos programas e projetos em consonância com as condicionantes </w:t>
      </w:r>
      <w:r w:rsidR="00C17C30" w:rsidRPr="00F45A1F">
        <w:rPr>
          <w:rFonts w:ascii="Arial" w:hAnsi="Arial" w:cs="Arial"/>
        </w:rPr>
        <w:t xml:space="preserve">estabelecidas pelo Instituto Brasileiro do Meio Ambiente e dos Recursos Naturais Renováveis </w:t>
      </w:r>
      <w:r w:rsidR="002426D1" w:rsidRPr="00F45A1F">
        <w:rPr>
          <w:rFonts w:ascii="Arial" w:hAnsi="Arial" w:cs="Arial"/>
        </w:rPr>
        <w:t>–</w:t>
      </w:r>
      <w:r w:rsidR="00C17C30" w:rsidRPr="00F45A1F">
        <w:rPr>
          <w:rFonts w:ascii="Arial" w:hAnsi="Arial" w:cs="Arial"/>
        </w:rPr>
        <w:t xml:space="preserve"> I</w:t>
      </w:r>
      <w:r w:rsidR="005064DD" w:rsidRPr="00F45A1F">
        <w:rPr>
          <w:rFonts w:ascii="Arial" w:hAnsi="Arial" w:cs="Arial"/>
        </w:rPr>
        <w:t>bama</w:t>
      </w:r>
      <w:r w:rsidR="002426D1" w:rsidRPr="00F45A1F">
        <w:rPr>
          <w:rFonts w:ascii="Arial" w:hAnsi="Arial" w:cs="Arial"/>
        </w:rPr>
        <w:t>,</w:t>
      </w:r>
      <w:r w:rsidR="00C209FF" w:rsidRPr="00F45A1F">
        <w:rPr>
          <w:rFonts w:ascii="Arial" w:hAnsi="Arial" w:cs="Arial"/>
        </w:rPr>
        <w:t xml:space="preserve"> </w:t>
      </w:r>
      <w:r w:rsidRPr="00F45A1F">
        <w:rPr>
          <w:rFonts w:ascii="Arial" w:hAnsi="Arial" w:cs="Arial"/>
        </w:rPr>
        <w:t>conforme quadro demonstrativo a seguir:</w:t>
      </w:r>
    </w:p>
    <w:p w14:paraId="055D5610" w14:textId="77777777" w:rsidR="008D0035" w:rsidRPr="00F45A1F" w:rsidRDefault="008D0035" w:rsidP="005144E2">
      <w:pPr>
        <w:widowControl/>
        <w:jc w:val="both"/>
        <w:rPr>
          <w:rFonts w:ascii="Arial" w:hAnsi="Arial" w:cs="Arial"/>
          <w:sz w:val="16"/>
          <w:szCs w:val="16"/>
        </w:rPr>
      </w:pPr>
    </w:p>
    <w:p w14:paraId="68BB4A06" w14:textId="77777777" w:rsidR="00A227C7" w:rsidRPr="00F45A1F" w:rsidRDefault="00FE7B2B" w:rsidP="005144E2">
      <w:pPr>
        <w:widowControl/>
        <w:jc w:val="both"/>
        <w:rPr>
          <w:rFonts w:ascii="Arial" w:hAnsi="Arial" w:cs="Arial"/>
          <w:noProof/>
        </w:rPr>
      </w:pPr>
      <w:r w:rsidRPr="00F45A1F">
        <w:rPr>
          <w:noProof/>
        </w:rPr>
        <w:drawing>
          <wp:inline distT="0" distB="0" distL="0" distR="0" wp14:anchorId="7FE9231B" wp14:editId="2DF4ACFC">
            <wp:extent cx="3457575" cy="2609850"/>
            <wp:effectExtent l="0" t="0" r="9525" b="0"/>
            <wp:docPr id="129" name="Image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57575" cy="2609850"/>
                    </a:xfrm>
                    <a:prstGeom prst="rect">
                      <a:avLst/>
                    </a:prstGeom>
                    <a:noFill/>
                    <a:ln>
                      <a:noFill/>
                    </a:ln>
                  </pic:spPr>
                </pic:pic>
              </a:graphicData>
            </a:graphic>
          </wp:inline>
        </w:drawing>
      </w:r>
    </w:p>
    <w:p w14:paraId="7413BA71" w14:textId="0AA87803" w:rsidR="008D0035" w:rsidRPr="00F45A1F" w:rsidRDefault="008D0035" w:rsidP="005144E2">
      <w:pPr>
        <w:widowControl/>
        <w:ind w:left="360" w:hanging="360"/>
        <w:jc w:val="both"/>
        <w:rPr>
          <w:rFonts w:ascii="Arial" w:hAnsi="Arial" w:cs="Arial"/>
          <w:i/>
          <w:sz w:val="16"/>
          <w:szCs w:val="16"/>
        </w:rPr>
      </w:pPr>
      <w:r w:rsidRPr="00F45A1F">
        <w:rPr>
          <w:rFonts w:ascii="Arial" w:hAnsi="Arial" w:cs="Arial"/>
          <w:i/>
          <w:sz w:val="16"/>
          <w:szCs w:val="16"/>
        </w:rPr>
        <w:t xml:space="preserve">*Informação não </w:t>
      </w:r>
      <w:r w:rsidR="00950652">
        <w:rPr>
          <w:rFonts w:ascii="Arial" w:hAnsi="Arial" w:cs="Arial"/>
          <w:i/>
          <w:sz w:val="16"/>
          <w:szCs w:val="16"/>
        </w:rPr>
        <w:t>revisada</w:t>
      </w:r>
      <w:r w:rsidR="006E44A4" w:rsidRPr="00F45A1F">
        <w:rPr>
          <w:rFonts w:ascii="Arial" w:hAnsi="Arial" w:cs="Arial"/>
          <w:i/>
          <w:sz w:val="16"/>
          <w:szCs w:val="16"/>
        </w:rPr>
        <w:t xml:space="preserve"> </w:t>
      </w:r>
      <w:r w:rsidRPr="00F45A1F">
        <w:rPr>
          <w:rFonts w:ascii="Arial" w:hAnsi="Arial" w:cs="Arial"/>
          <w:i/>
          <w:sz w:val="16"/>
          <w:szCs w:val="16"/>
        </w:rPr>
        <w:t>pelo auditor independente</w:t>
      </w:r>
    </w:p>
    <w:p w14:paraId="33E48154" w14:textId="77777777" w:rsidR="00A73BC4" w:rsidRPr="00F45A1F" w:rsidRDefault="00A73BC4" w:rsidP="005144E2">
      <w:pPr>
        <w:widowControl/>
        <w:ind w:left="360" w:hanging="360"/>
        <w:jc w:val="both"/>
        <w:rPr>
          <w:rFonts w:ascii="Arial" w:hAnsi="Arial" w:cs="Arial"/>
        </w:rPr>
      </w:pPr>
    </w:p>
    <w:p w14:paraId="60424C27" w14:textId="77777777" w:rsidR="003F4719" w:rsidRPr="00F45A1F" w:rsidRDefault="00983AA5" w:rsidP="005144E2">
      <w:pPr>
        <w:widowControl/>
        <w:tabs>
          <w:tab w:val="left" w:pos="360"/>
        </w:tabs>
        <w:jc w:val="both"/>
        <w:rPr>
          <w:rFonts w:ascii="Arial" w:hAnsi="Arial" w:cs="Arial"/>
          <w:b/>
        </w:rPr>
      </w:pPr>
      <w:r w:rsidRPr="00F45A1F">
        <w:rPr>
          <w:rFonts w:ascii="Arial" w:hAnsi="Arial" w:cs="Arial"/>
          <w:b/>
        </w:rPr>
        <w:t>3</w:t>
      </w:r>
      <w:r w:rsidR="00A63DE3" w:rsidRPr="00F45A1F">
        <w:rPr>
          <w:rFonts w:ascii="Arial" w:hAnsi="Arial" w:cs="Arial"/>
          <w:b/>
        </w:rPr>
        <w:t>8</w:t>
      </w:r>
      <w:r w:rsidR="003F4719" w:rsidRPr="00F45A1F">
        <w:rPr>
          <w:rFonts w:ascii="Arial" w:hAnsi="Arial" w:cs="Arial"/>
          <w:b/>
        </w:rPr>
        <w:t>.4 – Aquisições de bens e serviços</w:t>
      </w:r>
    </w:p>
    <w:p w14:paraId="6A706FCC" w14:textId="77777777" w:rsidR="003F4719" w:rsidRPr="00F45A1F" w:rsidRDefault="003F4719" w:rsidP="005144E2">
      <w:pPr>
        <w:widowControl/>
        <w:jc w:val="both"/>
        <w:rPr>
          <w:rFonts w:ascii="Arial" w:hAnsi="Arial" w:cs="Arial"/>
        </w:rPr>
      </w:pPr>
    </w:p>
    <w:p w14:paraId="767DDA12" w14:textId="77777777" w:rsidR="003F4719" w:rsidRPr="00F45A1F" w:rsidRDefault="003F4719" w:rsidP="005144E2">
      <w:pPr>
        <w:widowControl/>
        <w:jc w:val="both"/>
        <w:rPr>
          <w:rFonts w:ascii="Arial" w:hAnsi="Arial" w:cs="Arial"/>
        </w:rPr>
      </w:pPr>
      <w:r w:rsidRPr="00F45A1F">
        <w:rPr>
          <w:rFonts w:ascii="Arial" w:hAnsi="Arial" w:cs="Arial"/>
        </w:rPr>
        <w:t xml:space="preserve">Contratos assinados com fornecedores diversos para aquisição de bens e serviços das </w:t>
      </w:r>
      <w:r w:rsidR="00025E68" w:rsidRPr="00F45A1F">
        <w:rPr>
          <w:rFonts w:ascii="Arial" w:hAnsi="Arial" w:cs="Arial"/>
        </w:rPr>
        <w:t>U</w:t>
      </w:r>
      <w:r w:rsidRPr="00F45A1F">
        <w:rPr>
          <w:rFonts w:ascii="Arial" w:hAnsi="Arial" w:cs="Arial"/>
        </w:rPr>
        <w:t>sinas Angra 1, Angra 2 e Angra 3, necessários à garantia de performance operacional desses ativos</w:t>
      </w:r>
      <w:r w:rsidR="002426D1" w:rsidRPr="00F45A1F">
        <w:rPr>
          <w:rFonts w:ascii="Arial" w:hAnsi="Arial" w:cs="Arial"/>
        </w:rPr>
        <w:t>,</w:t>
      </w:r>
      <w:r w:rsidRPr="00F45A1F">
        <w:rPr>
          <w:rFonts w:ascii="Arial" w:hAnsi="Arial" w:cs="Arial"/>
        </w:rPr>
        <w:t xml:space="preserve"> conforme quadro </w:t>
      </w:r>
      <w:r w:rsidR="00C17C30" w:rsidRPr="00F45A1F">
        <w:rPr>
          <w:rFonts w:ascii="Arial" w:hAnsi="Arial" w:cs="Arial"/>
        </w:rPr>
        <w:t>demonstrativo</w:t>
      </w:r>
      <w:r w:rsidRPr="00F45A1F">
        <w:rPr>
          <w:rFonts w:ascii="Arial" w:hAnsi="Arial" w:cs="Arial"/>
        </w:rPr>
        <w:t xml:space="preserve"> a seguir:</w:t>
      </w:r>
    </w:p>
    <w:p w14:paraId="5523D322" w14:textId="77777777" w:rsidR="00EF3016" w:rsidRPr="00F45A1F" w:rsidRDefault="00EF3016" w:rsidP="005144E2">
      <w:pPr>
        <w:widowControl/>
        <w:jc w:val="both"/>
        <w:rPr>
          <w:rFonts w:ascii="Arial" w:hAnsi="Arial" w:cs="Arial"/>
          <w:sz w:val="16"/>
          <w:szCs w:val="16"/>
        </w:rPr>
      </w:pPr>
    </w:p>
    <w:p w14:paraId="5A679D16" w14:textId="77777777" w:rsidR="008D0035" w:rsidRPr="00F45A1F" w:rsidRDefault="0086361F" w:rsidP="005144E2">
      <w:pPr>
        <w:widowControl/>
        <w:jc w:val="both"/>
        <w:rPr>
          <w:rFonts w:ascii="Arial" w:hAnsi="Arial" w:cs="Arial"/>
        </w:rPr>
      </w:pPr>
      <w:r w:rsidRPr="00F45A1F">
        <w:rPr>
          <w:noProof/>
        </w:rPr>
        <w:drawing>
          <wp:inline distT="0" distB="0" distL="0" distR="0" wp14:anchorId="1E9D01DC" wp14:editId="085D2540">
            <wp:extent cx="3457575" cy="2609850"/>
            <wp:effectExtent l="0" t="0" r="9525" b="0"/>
            <wp:docPr id="131" name="Image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57575" cy="2609850"/>
                    </a:xfrm>
                    <a:prstGeom prst="rect">
                      <a:avLst/>
                    </a:prstGeom>
                    <a:noFill/>
                    <a:ln>
                      <a:noFill/>
                    </a:ln>
                  </pic:spPr>
                </pic:pic>
              </a:graphicData>
            </a:graphic>
          </wp:inline>
        </w:drawing>
      </w:r>
    </w:p>
    <w:p w14:paraId="540237BF" w14:textId="14F15DCF" w:rsidR="00515D9B" w:rsidRPr="00F45A1F" w:rsidRDefault="000A7823" w:rsidP="005144E2">
      <w:pPr>
        <w:widowControl/>
        <w:ind w:left="360" w:hanging="360"/>
        <w:jc w:val="both"/>
        <w:rPr>
          <w:rFonts w:ascii="Arial" w:hAnsi="Arial" w:cs="Arial"/>
          <w:i/>
          <w:sz w:val="16"/>
          <w:szCs w:val="16"/>
        </w:rPr>
      </w:pPr>
      <w:r w:rsidRPr="00F45A1F">
        <w:rPr>
          <w:rFonts w:ascii="Arial" w:hAnsi="Arial" w:cs="Arial"/>
          <w:i/>
          <w:sz w:val="16"/>
          <w:szCs w:val="16"/>
        </w:rPr>
        <w:t xml:space="preserve">*Informação não </w:t>
      </w:r>
      <w:r w:rsidR="00950652">
        <w:rPr>
          <w:rFonts w:ascii="Arial" w:hAnsi="Arial" w:cs="Arial"/>
          <w:i/>
          <w:sz w:val="16"/>
          <w:szCs w:val="16"/>
        </w:rPr>
        <w:t>revisada</w:t>
      </w:r>
      <w:r w:rsidRPr="00F45A1F">
        <w:rPr>
          <w:rFonts w:ascii="Arial" w:hAnsi="Arial" w:cs="Arial"/>
          <w:i/>
          <w:sz w:val="16"/>
          <w:szCs w:val="16"/>
        </w:rPr>
        <w:t xml:space="preserve"> p</w:t>
      </w:r>
      <w:r w:rsidR="00C17C30" w:rsidRPr="00F45A1F">
        <w:rPr>
          <w:rFonts w:ascii="Arial" w:hAnsi="Arial" w:cs="Arial"/>
          <w:i/>
          <w:sz w:val="16"/>
          <w:szCs w:val="16"/>
        </w:rPr>
        <w:t>elo</w:t>
      </w:r>
      <w:r w:rsidRPr="00F45A1F">
        <w:rPr>
          <w:rFonts w:ascii="Arial" w:hAnsi="Arial" w:cs="Arial"/>
          <w:i/>
          <w:sz w:val="16"/>
          <w:szCs w:val="16"/>
        </w:rPr>
        <w:t xml:space="preserve"> auditor independente</w:t>
      </w:r>
    </w:p>
    <w:p w14:paraId="742183A8" w14:textId="77777777" w:rsidR="002636AA" w:rsidRPr="00F45A1F" w:rsidRDefault="007A0988" w:rsidP="005144E2">
      <w:pPr>
        <w:widowControl/>
        <w:jc w:val="both"/>
        <w:rPr>
          <w:rFonts w:ascii="Arial" w:hAnsi="Arial" w:cs="Arial"/>
          <w:b/>
          <w:sz w:val="26"/>
          <w:szCs w:val="26"/>
        </w:rPr>
      </w:pPr>
      <w:r w:rsidRPr="00F45A1F">
        <w:rPr>
          <w:rFonts w:ascii="Arial" w:hAnsi="Arial" w:cs="Arial"/>
          <w:b/>
          <w:sz w:val="26"/>
          <w:szCs w:val="26"/>
        </w:rPr>
        <w:t>3</w:t>
      </w:r>
      <w:r w:rsidR="00A63DE3" w:rsidRPr="00F45A1F">
        <w:rPr>
          <w:rFonts w:ascii="Arial" w:hAnsi="Arial" w:cs="Arial"/>
          <w:b/>
          <w:sz w:val="26"/>
          <w:szCs w:val="26"/>
        </w:rPr>
        <w:t>9</w:t>
      </w:r>
      <w:r w:rsidRPr="00F45A1F">
        <w:rPr>
          <w:rFonts w:ascii="Arial" w:hAnsi="Arial" w:cs="Arial"/>
          <w:b/>
          <w:sz w:val="26"/>
          <w:szCs w:val="26"/>
        </w:rPr>
        <w:t xml:space="preserve"> – EVENTOS SUBSEQUENTES</w:t>
      </w:r>
    </w:p>
    <w:p w14:paraId="4CD6D5E4" w14:textId="77777777" w:rsidR="009543C1" w:rsidRPr="00F45A1F" w:rsidRDefault="009543C1" w:rsidP="005144E2">
      <w:pPr>
        <w:widowControl/>
        <w:tabs>
          <w:tab w:val="left" w:pos="360"/>
        </w:tabs>
        <w:jc w:val="both"/>
        <w:rPr>
          <w:rFonts w:ascii="Arial" w:hAnsi="Arial" w:cs="Arial"/>
          <w:color w:val="212121"/>
        </w:rPr>
      </w:pPr>
    </w:p>
    <w:p w14:paraId="68D85A80" w14:textId="50DA376B" w:rsidR="00137B00" w:rsidRPr="00F45A1F" w:rsidRDefault="00F1273C" w:rsidP="00137B00">
      <w:pPr>
        <w:widowControl/>
        <w:tabs>
          <w:tab w:val="num" w:pos="360"/>
        </w:tabs>
        <w:jc w:val="both"/>
        <w:rPr>
          <w:rFonts w:ascii="Arial" w:hAnsi="Arial" w:cs="Arial"/>
          <w:color w:val="00B0F0"/>
        </w:rPr>
      </w:pPr>
      <w:r w:rsidRPr="00F45A1F">
        <w:rPr>
          <w:rFonts w:ascii="Arial" w:hAnsi="Arial" w:cs="Arial"/>
          <w:color w:val="000000" w:themeColor="text1"/>
        </w:rPr>
        <w:t>Em 15 de abril de 2020</w:t>
      </w:r>
      <w:r>
        <w:rPr>
          <w:rFonts w:ascii="Arial" w:hAnsi="Arial" w:cs="Arial"/>
          <w:color w:val="000000" w:themeColor="text1"/>
        </w:rPr>
        <w:t xml:space="preserve"> e 20 de maio de 2020</w:t>
      </w:r>
      <w:r w:rsidRPr="00F45A1F">
        <w:rPr>
          <w:rFonts w:ascii="Arial" w:hAnsi="Arial" w:cs="Arial"/>
          <w:color w:val="000000" w:themeColor="text1"/>
        </w:rPr>
        <w:t>, a Eletrobras efetuou a</w:t>
      </w:r>
      <w:r>
        <w:rPr>
          <w:rFonts w:ascii="Arial" w:hAnsi="Arial" w:cs="Arial"/>
          <w:color w:val="000000" w:themeColor="text1"/>
        </w:rPr>
        <w:t>s</w:t>
      </w:r>
      <w:r w:rsidRPr="00F45A1F">
        <w:rPr>
          <w:rFonts w:ascii="Arial" w:hAnsi="Arial" w:cs="Arial"/>
          <w:color w:val="000000" w:themeColor="text1"/>
        </w:rPr>
        <w:t xml:space="preserve"> liberaç</w:t>
      </w:r>
      <w:r>
        <w:rPr>
          <w:rFonts w:ascii="Arial" w:hAnsi="Arial" w:cs="Arial"/>
          <w:color w:val="000000" w:themeColor="text1"/>
        </w:rPr>
        <w:t xml:space="preserve">ões </w:t>
      </w:r>
      <w:r w:rsidRPr="00F45A1F">
        <w:rPr>
          <w:rFonts w:ascii="Arial" w:hAnsi="Arial" w:cs="Arial"/>
          <w:color w:val="000000" w:themeColor="text1"/>
        </w:rPr>
        <w:t>da</w:t>
      </w:r>
      <w:r>
        <w:rPr>
          <w:rFonts w:ascii="Arial" w:hAnsi="Arial" w:cs="Arial"/>
          <w:color w:val="000000" w:themeColor="text1"/>
        </w:rPr>
        <w:t>s</w:t>
      </w:r>
      <w:r w:rsidRPr="00F45A1F">
        <w:rPr>
          <w:rFonts w:ascii="Arial" w:hAnsi="Arial" w:cs="Arial"/>
          <w:color w:val="000000" w:themeColor="text1"/>
        </w:rPr>
        <w:t xml:space="preserve"> quarta </w:t>
      </w:r>
      <w:r>
        <w:rPr>
          <w:rFonts w:ascii="Arial" w:hAnsi="Arial" w:cs="Arial"/>
          <w:color w:val="000000" w:themeColor="text1"/>
        </w:rPr>
        <w:t xml:space="preserve">e quinta </w:t>
      </w:r>
      <w:r w:rsidRPr="00F45A1F">
        <w:rPr>
          <w:rFonts w:ascii="Arial" w:hAnsi="Arial" w:cs="Arial"/>
          <w:color w:val="000000" w:themeColor="text1"/>
        </w:rPr>
        <w:t>parcela</w:t>
      </w:r>
      <w:r>
        <w:rPr>
          <w:rFonts w:ascii="Arial" w:hAnsi="Arial" w:cs="Arial"/>
          <w:color w:val="000000" w:themeColor="text1"/>
        </w:rPr>
        <w:t>s</w:t>
      </w:r>
      <w:r w:rsidRPr="00F45A1F">
        <w:rPr>
          <w:rFonts w:ascii="Arial" w:hAnsi="Arial" w:cs="Arial"/>
          <w:color w:val="000000" w:themeColor="text1"/>
        </w:rPr>
        <w:t>, no</w:t>
      </w:r>
      <w:r>
        <w:rPr>
          <w:rFonts w:ascii="Arial" w:hAnsi="Arial" w:cs="Arial"/>
          <w:color w:val="000000" w:themeColor="text1"/>
        </w:rPr>
        <w:t xml:space="preserve">s respectivos </w:t>
      </w:r>
      <w:r w:rsidRPr="00F45A1F">
        <w:rPr>
          <w:rFonts w:ascii="Arial" w:hAnsi="Arial" w:cs="Arial"/>
          <w:color w:val="000000" w:themeColor="text1"/>
        </w:rPr>
        <w:t>valor</w:t>
      </w:r>
      <w:r>
        <w:rPr>
          <w:rFonts w:ascii="Arial" w:hAnsi="Arial" w:cs="Arial"/>
          <w:color w:val="000000" w:themeColor="text1"/>
        </w:rPr>
        <w:t>es</w:t>
      </w:r>
      <w:r w:rsidRPr="00F45A1F">
        <w:rPr>
          <w:rFonts w:ascii="Arial" w:hAnsi="Arial" w:cs="Arial"/>
          <w:color w:val="000000" w:themeColor="text1"/>
        </w:rPr>
        <w:t xml:space="preserve"> de R$ 30.000</w:t>
      </w:r>
      <w:r>
        <w:rPr>
          <w:rFonts w:ascii="Arial" w:hAnsi="Arial" w:cs="Arial"/>
          <w:color w:val="000000" w:themeColor="text1"/>
        </w:rPr>
        <w:t xml:space="preserve"> e R$ 21.284</w:t>
      </w:r>
      <w:r w:rsidRPr="00F45A1F">
        <w:rPr>
          <w:rFonts w:ascii="Arial" w:hAnsi="Arial" w:cs="Arial"/>
          <w:color w:val="000000" w:themeColor="text1"/>
        </w:rPr>
        <w:t>, do Contrato nº ECF 3384/19</w:t>
      </w:r>
      <w:r>
        <w:rPr>
          <w:rFonts w:ascii="Arial" w:hAnsi="Arial" w:cs="Arial"/>
          <w:color w:val="000000" w:themeColor="text1"/>
        </w:rPr>
        <w:t xml:space="preserve"> (AFAC, nota 25)</w:t>
      </w:r>
      <w:r w:rsidRPr="00F45A1F">
        <w:rPr>
          <w:rFonts w:ascii="Arial" w:hAnsi="Arial" w:cs="Arial"/>
          <w:color w:val="000000" w:themeColor="text1"/>
        </w:rPr>
        <w:t>, mediante solicitaç</w:t>
      </w:r>
      <w:r>
        <w:rPr>
          <w:rFonts w:ascii="Arial" w:hAnsi="Arial" w:cs="Arial"/>
          <w:color w:val="000000" w:themeColor="text1"/>
        </w:rPr>
        <w:t>ões</w:t>
      </w:r>
      <w:r w:rsidRPr="00F45A1F">
        <w:rPr>
          <w:rFonts w:ascii="Arial" w:hAnsi="Arial" w:cs="Arial"/>
          <w:color w:val="000000" w:themeColor="text1"/>
        </w:rPr>
        <w:t xml:space="preserve"> de desembolso</w:t>
      </w:r>
      <w:r>
        <w:rPr>
          <w:rFonts w:ascii="Arial" w:hAnsi="Arial" w:cs="Arial"/>
          <w:color w:val="000000" w:themeColor="text1"/>
        </w:rPr>
        <w:t>s</w:t>
      </w:r>
      <w:r w:rsidRPr="00F45A1F">
        <w:rPr>
          <w:rFonts w:ascii="Arial" w:hAnsi="Arial" w:cs="Arial"/>
          <w:color w:val="000000" w:themeColor="text1"/>
        </w:rPr>
        <w:t xml:space="preserve"> enviada</w:t>
      </w:r>
      <w:r>
        <w:rPr>
          <w:rFonts w:ascii="Arial" w:hAnsi="Arial" w:cs="Arial"/>
          <w:color w:val="000000" w:themeColor="text1"/>
        </w:rPr>
        <w:t>s</w:t>
      </w:r>
      <w:r w:rsidRPr="00F45A1F">
        <w:rPr>
          <w:rFonts w:ascii="Arial" w:hAnsi="Arial" w:cs="Arial"/>
          <w:color w:val="000000" w:themeColor="text1"/>
        </w:rPr>
        <w:t xml:space="preserve"> pela ELETRONUCLEAR</w:t>
      </w:r>
      <w:r w:rsidR="00137B00" w:rsidRPr="00F45A1F">
        <w:rPr>
          <w:rFonts w:ascii="Arial" w:hAnsi="Arial" w:cs="Arial"/>
          <w:color w:val="00B0F0"/>
        </w:rPr>
        <w:t>.</w:t>
      </w:r>
    </w:p>
    <w:p w14:paraId="1A2CC764" w14:textId="34706527" w:rsidR="00170932" w:rsidRPr="00837D5A" w:rsidRDefault="00170932" w:rsidP="00837D5A">
      <w:pPr>
        <w:pStyle w:val="yiv6459758197msolistparagraph"/>
        <w:shd w:val="clear" w:color="auto" w:fill="FFFFFF"/>
        <w:spacing w:before="0" w:beforeAutospacing="0" w:after="0" w:afterAutospacing="0"/>
        <w:ind w:left="720" w:firstLine="60"/>
        <w:jc w:val="both"/>
        <w:rPr>
          <w:rFonts w:ascii="Arial" w:hAnsi="Arial" w:cs="Arial"/>
          <w:color w:val="000000" w:themeColor="text1"/>
        </w:rPr>
      </w:pPr>
    </w:p>
    <w:p w14:paraId="42EA1794" w14:textId="503274F6" w:rsidR="00170932" w:rsidRPr="00837D5A" w:rsidRDefault="00877734" w:rsidP="009D3311">
      <w:pPr>
        <w:widowControl/>
        <w:tabs>
          <w:tab w:val="num" w:pos="360"/>
        </w:tabs>
        <w:jc w:val="both"/>
        <w:rPr>
          <w:rFonts w:ascii="Arial" w:hAnsi="Arial" w:cs="Arial"/>
          <w:color w:val="000000" w:themeColor="text1"/>
        </w:rPr>
      </w:pPr>
      <w:r w:rsidRPr="008E418F">
        <w:rPr>
          <w:rFonts w:ascii="Arial" w:hAnsi="Arial" w:cs="Arial"/>
          <w:color w:val="000000" w:themeColor="text1"/>
        </w:rPr>
        <w:t xml:space="preserve">Em 06 de Maio de 2020, a ELETRONUCLEAR recebeu comunicação formal do Banco Nacional de Desenvolvimento Econômico e Social – BNDES, por meio da Carta AE/DEENE1 nº 056/2020, aprovando o pedido, encaminhado pela Companhia em 26 de março de 2020, para a suspensão do pagamento por 6 (seis) meses, no período de 15.05.2020 a 15.10.2020, do serviço da dívida contratado com esta instituição financeira conforme </w:t>
      </w:r>
      <w:r>
        <w:rPr>
          <w:rFonts w:ascii="Arial" w:hAnsi="Arial" w:cs="Arial"/>
          <w:color w:val="000000" w:themeColor="text1"/>
        </w:rPr>
        <w:t>c</w:t>
      </w:r>
      <w:r w:rsidRPr="008E418F">
        <w:rPr>
          <w:rFonts w:ascii="Arial" w:hAnsi="Arial" w:cs="Arial"/>
          <w:color w:val="000000" w:themeColor="text1"/>
        </w:rPr>
        <w:t xml:space="preserve">ontrato nº 10.2.2023.1. Em 22 de março de 2020, o BNDES havia anunciado medidas em caráter emergencial para auxiliar a mitigar os efeitos da pandemia do novo </w:t>
      </w:r>
      <w:proofErr w:type="spellStart"/>
      <w:r w:rsidRPr="008E418F">
        <w:rPr>
          <w:rFonts w:ascii="Arial" w:hAnsi="Arial" w:cs="Arial"/>
          <w:color w:val="000000" w:themeColor="text1"/>
        </w:rPr>
        <w:t>coronavírus</w:t>
      </w:r>
      <w:proofErr w:type="spellEnd"/>
      <w:r w:rsidRPr="008E418F">
        <w:rPr>
          <w:rFonts w:ascii="Arial" w:hAnsi="Arial" w:cs="Arial"/>
          <w:color w:val="000000" w:themeColor="text1"/>
        </w:rPr>
        <w:t xml:space="preserve"> na economia brasileira. Uma das medidas adotadas pelo banco de fomento foi a possibilidade de suspensão temporária por até 6 (seis) meses do pagamento das parcelas mensais (principal e juros remuneratórios), operação esta denominada no mercado de “</w:t>
      </w:r>
      <w:proofErr w:type="spellStart"/>
      <w:r w:rsidRPr="008E418F">
        <w:rPr>
          <w:rFonts w:ascii="Arial" w:hAnsi="Arial" w:cs="Arial"/>
          <w:color w:val="000000" w:themeColor="text1"/>
        </w:rPr>
        <w:t>standstill</w:t>
      </w:r>
      <w:proofErr w:type="spellEnd"/>
      <w:r w:rsidRPr="008E418F">
        <w:rPr>
          <w:rFonts w:ascii="Arial" w:hAnsi="Arial" w:cs="Arial"/>
          <w:color w:val="000000" w:themeColor="text1"/>
        </w:rPr>
        <w:t xml:space="preserve">”, dos contratos de financiamentos diretos firmados junto ao BNDES, no qual se enquadra o </w:t>
      </w:r>
      <w:r>
        <w:rPr>
          <w:rFonts w:ascii="Arial" w:hAnsi="Arial" w:cs="Arial"/>
          <w:color w:val="000000" w:themeColor="text1"/>
        </w:rPr>
        <w:t>c</w:t>
      </w:r>
      <w:r w:rsidRPr="008E418F">
        <w:rPr>
          <w:rFonts w:ascii="Arial" w:hAnsi="Arial" w:cs="Arial"/>
          <w:color w:val="000000" w:themeColor="text1"/>
        </w:rPr>
        <w:t xml:space="preserve">ontrato nº 10.2.2032.1 e para o qual a Companhia aderiu, oportunamente, adotando como uma de suas medidas de preservação de caixa. Concomitantemente </w:t>
      </w:r>
      <w:r>
        <w:rPr>
          <w:rFonts w:ascii="Arial" w:hAnsi="Arial" w:cs="Arial"/>
          <w:color w:val="000000" w:themeColor="text1"/>
        </w:rPr>
        <w:t>à</w:t>
      </w:r>
      <w:r w:rsidRPr="008E418F">
        <w:rPr>
          <w:rFonts w:ascii="Arial" w:hAnsi="Arial" w:cs="Arial"/>
          <w:color w:val="000000" w:themeColor="text1"/>
        </w:rPr>
        <w:t xml:space="preserve"> suspensão do pagamento do serviço da dívida, foi comunicado pelo BNDES, na mesma carta, que houve a prorrogação até a data de 15/10/2020 do prazo para o cumprimento pela ELETRONUCLEAR da obrigação do preenchimento da Conta Reserva</w:t>
      </w:r>
      <w:r w:rsidR="008E418F">
        <w:rPr>
          <w:rFonts w:ascii="Arial" w:hAnsi="Arial" w:cs="Arial"/>
          <w:color w:val="000000" w:themeColor="text1"/>
        </w:rPr>
        <w:t>.</w:t>
      </w:r>
    </w:p>
    <w:p w14:paraId="299750D9" w14:textId="77777777" w:rsidR="00170932" w:rsidRDefault="00170932" w:rsidP="00837D5A">
      <w:pPr>
        <w:pStyle w:val="yiv6459758197msolistparagraph"/>
        <w:shd w:val="clear" w:color="auto" w:fill="FFFFFF"/>
        <w:spacing w:before="0" w:beforeAutospacing="0" w:after="0" w:afterAutospacing="0"/>
        <w:jc w:val="both"/>
        <w:rPr>
          <w:rFonts w:ascii="Arial" w:hAnsi="Arial" w:cs="Arial"/>
          <w:color w:val="000000" w:themeColor="text1"/>
        </w:rPr>
      </w:pPr>
      <w:r w:rsidRPr="00837D5A">
        <w:rPr>
          <w:rFonts w:ascii="Arial" w:hAnsi="Arial" w:cs="Arial"/>
          <w:color w:val="000000" w:themeColor="text1"/>
        </w:rPr>
        <w:t> </w:t>
      </w:r>
    </w:p>
    <w:p w14:paraId="6F98D467" w14:textId="77777777" w:rsidR="001B7721" w:rsidRPr="00D525DB" w:rsidRDefault="001B7721" w:rsidP="001B7721">
      <w:pPr>
        <w:jc w:val="both"/>
        <w:rPr>
          <w:rFonts w:ascii="Calibri" w:hAnsi="Calibri" w:cs="Calibri"/>
          <w:sz w:val="22"/>
          <w:szCs w:val="22"/>
        </w:rPr>
      </w:pPr>
      <w:r w:rsidRPr="00D525DB">
        <w:rPr>
          <w:rFonts w:ascii="Calibri" w:hAnsi="Calibri" w:cs="Calibri"/>
          <w:sz w:val="22"/>
          <w:szCs w:val="22"/>
        </w:rPr>
        <w:t> </w:t>
      </w:r>
    </w:p>
    <w:p w14:paraId="334E3DE3" w14:textId="5BA900C9" w:rsidR="003D6B86" w:rsidRDefault="003D6B86" w:rsidP="005144E2">
      <w:pPr>
        <w:widowControl/>
        <w:tabs>
          <w:tab w:val="num" w:pos="360"/>
        </w:tabs>
        <w:jc w:val="both"/>
        <w:rPr>
          <w:rFonts w:ascii="Arial" w:hAnsi="Arial" w:cs="Arial"/>
        </w:rPr>
      </w:pPr>
    </w:p>
    <w:p w14:paraId="3A139720" w14:textId="77777777" w:rsidR="00970145" w:rsidRPr="00F45A1F" w:rsidRDefault="00970145" w:rsidP="005144E2">
      <w:pPr>
        <w:widowControl/>
        <w:tabs>
          <w:tab w:val="left" w:pos="360"/>
        </w:tabs>
        <w:jc w:val="both"/>
        <w:rPr>
          <w:rFonts w:ascii="Arial" w:hAnsi="Arial" w:cs="Arial"/>
          <w:color w:val="212121"/>
        </w:rPr>
      </w:pPr>
    </w:p>
    <w:p w14:paraId="46BCFF8F" w14:textId="77777777" w:rsidR="00942580" w:rsidRPr="00F45A1F" w:rsidRDefault="00942580" w:rsidP="005144E2">
      <w:pPr>
        <w:jc w:val="both"/>
        <w:rPr>
          <w:rFonts w:ascii="Arial" w:hAnsi="Arial" w:cs="Arial"/>
        </w:rPr>
      </w:pPr>
      <w:r w:rsidRPr="00F45A1F">
        <w:rPr>
          <w:rFonts w:ascii="Arial" w:hAnsi="Arial" w:cs="Arial"/>
        </w:rPr>
        <w:t>EDVALDO LUÍS RISSO </w:t>
      </w:r>
    </w:p>
    <w:p w14:paraId="5BA4E0AC" w14:textId="77777777" w:rsidR="00970145" w:rsidRPr="00F45A1F" w:rsidRDefault="00970145" w:rsidP="005144E2">
      <w:pPr>
        <w:jc w:val="both"/>
        <w:rPr>
          <w:rFonts w:ascii="Arial" w:hAnsi="Arial" w:cs="Arial"/>
        </w:rPr>
      </w:pPr>
      <w:r w:rsidRPr="00F45A1F">
        <w:rPr>
          <w:rFonts w:ascii="Arial" w:hAnsi="Arial" w:cs="Arial"/>
        </w:rPr>
        <w:t xml:space="preserve">Diretor de Administração e Finanças </w:t>
      </w:r>
    </w:p>
    <w:p w14:paraId="5F4C0A83" w14:textId="77777777" w:rsidR="00970145" w:rsidRPr="00F45A1F" w:rsidRDefault="00970145" w:rsidP="005144E2">
      <w:pPr>
        <w:widowControl/>
        <w:tabs>
          <w:tab w:val="center" w:pos="4782"/>
          <w:tab w:val="right" w:pos="9564"/>
        </w:tabs>
        <w:rPr>
          <w:rFonts w:ascii="Arial" w:hAnsi="Arial" w:cs="Arial"/>
        </w:rPr>
      </w:pPr>
      <w:r w:rsidRPr="00F45A1F">
        <w:rPr>
          <w:rFonts w:ascii="Arial" w:hAnsi="Arial" w:cs="Arial"/>
        </w:rPr>
        <w:t xml:space="preserve">CPF: </w:t>
      </w:r>
      <w:r w:rsidR="00942580" w:rsidRPr="00F45A1F">
        <w:rPr>
          <w:rFonts w:ascii="Arial" w:hAnsi="Arial" w:cs="Arial"/>
        </w:rPr>
        <w:t>005.199.978-16</w:t>
      </w:r>
    </w:p>
    <w:p w14:paraId="033C303D" w14:textId="58AAB1C7" w:rsidR="00970145" w:rsidRDefault="00970145" w:rsidP="005144E2">
      <w:pPr>
        <w:widowControl/>
        <w:tabs>
          <w:tab w:val="center" w:pos="4782"/>
          <w:tab w:val="right" w:pos="9564"/>
        </w:tabs>
        <w:rPr>
          <w:rFonts w:ascii="Arial" w:hAnsi="Arial" w:cs="Arial"/>
        </w:rPr>
      </w:pPr>
    </w:p>
    <w:p w14:paraId="02D478A6" w14:textId="77777777" w:rsidR="00970145" w:rsidRPr="00F45A1F" w:rsidRDefault="00970145" w:rsidP="005144E2">
      <w:pPr>
        <w:widowControl/>
        <w:tabs>
          <w:tab w:val="center" w:pos="4782"/>
          <w:tab w:val="right" w:pos="9564"/>
        </w:tabs>
        <w:rPr>
          <w:rFonts w:ascii="Arial" w:hAnsi="Arial" w:cs="Arial"/>
        </w:rPr>
      </w:pPr>
    </w:p>
    <w:p w14:paraId="2C253992" w14:textId="77777777" w:rsidR="00970145" w:rsidRPr="00F45A1F" w:rsidRDefault="00970145" w:rsidP="005144E2">
      <w:pPr>
        <w:widowControl/>
        <w:tabs>
          <w:tab w:val="center" w:pos="4782"/>
          <w:tab w:val="right" w:pos="9564"/>
        </w:tabs>
        <w:rPr>
          <w:rFonts w:ascii="Arial" w:hAnsi="Arial" w:cs="Arial"/>
        </w:rPr>
      </w:pPr>
      <w:r w:rsidRPr="00F45A1F">
        <w:rPr>
          <w:rFonts w:ascii="Arial" w:hAnsi="Arial" w:cs="Arial"/>
        </w:rPr>
        <w:t>RONALDO NETO ALCÂNTARA</w:t>
      </w:r>
    </w:p>
    <w:p w14:paraId="2B1E5189" w14:textId="77777777" w:rsidR="00970145" w:rsidRPr="00F45A1F" w:rsidRDefault="00970145" w:rsidP="005144E2">
      <w:pPr>
        <w:widowControl/>
        <w:tabs>
          <w:tab w:val="center" w:pos="4782"/>
          <w:tab w:val="right" w:pos="9564"/>
        </w:tabs>
        <w:rPr>
          <w:rFonts w:ascii="Arial" w:hAnsi="Arial" w:cs="Arial"/>
        </w:rPr>
      </w:pPr>
      <w:r w:rsidRPr="00F45A1F">
        <w:rPr>
          <w:rFonts w:ascii="Arial" w:hAnsi="Arial" w:cs="Arial"/>
        </w:rPr>
        <w:t>Superintendente Financeiro</w:t>
      </w:r>
    </w:p>
    <w:p w14:paraId="452AC7CA" w14:textId="77777777" w:rsidR="00970145" w:rsidRPr="00F45A1F" w:rsidRDefault="00970145" w:rsidP="005144E2">
      <w:pPr>
        <w:widowControl/>
        <w:tabs>
          <w:tab w:val="center" w:pos="4782"/>
          <w:tab w:val="right" w:pos="9564"/>
        </w:tabs>
        <w:rPr>
          <w:rFonts w:ascii="Arial" w:hAnsi="Arial" w:cs="Arial"/>
        </w:rPr>
      </w:pPr>
      <w:r w:rsidRPr="00F45A1F">
        <w:rPr>
          <w:rFonts w:ascii="Arial" w:hAnsi="Arial" w:cs="Arial"/>
        </w:rPr>
        <w:t>CPF: 085.658.417-74 – CRC: RJ – 086615/O-4</w:t>
      </w:r>
    </w:p>
    <w:p w14:paraId="76F2B8DB" w14:textId="77777777" w:rsidR="003D6B86" w:rsidRDefault="003D6B86" w:rsidP="005144E2">
      <w:pPr>
        <w:widowControl/>
        <w:tabs>
          <w:tab w:val="center" w:pos="4782"/>
          <w:tab w:val="right" w:pos="9564"/>
        </w:tabs>
        <w:rPr>
          <w:rFonts w:ascii="Arial" w:hAnsi="Arial" w:cs="Arial"/>
        </w:rPr>
      </w:pPr>
    </w:p>
    <w:p w14:paraId="35283466" w14:textId="77777777" w:rsidR="00F91813" w:rsidRPr="00F45A1F" w:rsidRDefault="00F91813" w:rsidP="005144E2">
      <w:pPr>
        <w:widowControl/>
        <w:tabs>
          <w:tab w:val="center" w:pos="4782"/>
          <w:tab w:val="right" w:pos="9564"/>
        </w:tabs>
        <w:rPr>
          <w:rFonts w:ascii="Arial" w:hAnsi="Arial" w:cs="Arial"/>
        </w:rPr>
      </w:pPr>
    </w:p>
    <w:p w14:paraId="37BB317B" w14:textId="77777777" w:rsidR="00970145" w:rsidRPr="00F45A1F" w:rsidRDefault="00970145" w:rsidP="005144E2">
      <w:pPr>
        <w:widowControl/>
        <w:tabs>
          <w:tab w:val="center" w:pos="4782"/>
          <w:tab w:val="right" w:pos="9564"/>
        </w:tabs>
        <w:rPr>
          <w:rFonts w:ascii="Arial" w:hAnsi="Arial" w:cs="Arial"/>
        </w:rPr>
      </w:pPr>
    </w:p>
    <w:p w14:paraId="236602F1" w14:textId="77777777" w:rsidR="00970145" w:rsidRPr="00F45A1F" w:rsidRDefault="00970145" w:rsidP="005144E2">
      <w:pPr>
        <w:widowControl/>
        <w:tabs>
          <w:tab w:val="center" w:pos="4782"/>
          <w:tab w:val="right" w:pos="9564"/>
        </w:tabs>
        <w:rPr>
          <w:rFonts w:ascii="Arial" w:hAnsi="Arial" w:cs="Arial"/>
        </w:rPr>
      </w:pPr>
      <w:r w:rsidRPr="00F45A1F">
        <w:rPr>
          <w:rFonts w:ascii="Arial" w:hAnsi="Arial" w:cs="Arial"/>
        </w:rPr>
        <w:t>BEATRIZ ALBINO DA SILVA</w:t>
      </w:r>
    </w:p>
    <w:p w14:paraId="1B8BA76D" w14:textId="77777777" w:rsidR="00970145" w:rsidRPr="00F45A1F" w:rsidRDefault="00970145" w:rsidP="005144E2">
      <w:pPr>
        <w:widowControl/>
        <w:tabs>
          <w:tab w:val="center" w:pos="4782"/>
          <w:tab w:val="right" w:pos="9564"/>
        </w:tabs>
        <w:rPr>
          <w:rFonts w:ascii="Arial" w:hAnsi="Arial" w:cs="Arial"/>
        </w:rPr>
      </w:pPr>
      <w:r w:rsidRPr="00F45A1F">
        <w:rPr>
          <w:rFonts w:ascii="Arial" w:hAnsi="Arial" w:cs="Arial"/>
        </w:rPr>
        <w:t>Chefe de Departamento de Contabilidade</w:t>
      </w:r>
    </w:p>
    <w:p w14:paraId="57A2CC33" w14:textId="77777777" w:rsidR="003A18DA" w:rsidRPr="00904E12" w:rsidRDefault="00970145" w:rsidP="005144E2">
      <w:pPr>
        <w:jc w:val="both"/>
        <w:rPr>
          <w:rFonts w:ascii="Arial" w:hAnsi="Arial" w:cs="Arial"/>
        </w:rPr>
      </w:pPr>
      <w:r w:rsidRPr="00F45A1F">
        <w:rPr>
          <w:rFonts w:ascii="Arial" w:hAnsi="Arial" w:cs="Arial"/>
        </w:rPr>
        <w:t>CPF: 090.436.427-54 – CRC: RJ – 098430/O-2</w:t>
      </w:r>
    </w:p>
    <w:sectPr w:rsidR="003A18DA" w:rsidRPr="00904E12" w:rsidSect="00B97C3A">
      <w:headerReference w:type="default" r:id="rId74"/>
      <w:footerReference w:type="even" r:id="rId75"/>
      <w:footerReference w:type="default" r:id="rId76"/>
      <w:footerReference w:type="first" r:id="rId77"/>
      <w:pgSz w:w="11906" w:h="16838" w:code="9"/>
      <w:pgMar w:top="284" w:right="924" w:bottom="0" w:left="1418" w:header="454"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49BB3A" w15:done="0"/>
  <w15:commentEx w15:paraId="29922A0F" w15:paraIdParent="6249BB3A" w15:done="0"/>
  <w15:commentEx w15:paraId="2BD6944F" w15:done="0"/>
  <w15:commentEx w15:paraId="6204561E" w15:paraIdParent="2BD6944F" w15:done="0"/>
  <w15:commentEx w15:paraId="3119C8EE" w15:done="0"/>
  <w15:commentEx w15:paraId="3F622063" w15:done="0"/>
  <w15:commentEx w15:paraId="38F93960" w15:done="0"/>
  <w15:commentEx w15:paraId="281D2230" w15:done="0"/>
  <w15:commentEx w15:paraId="0F951792" w15:done="0"/>
  <w15:commentEx w15:paraId="58743504" w15:paraIdParent="0F951792" w15:done="0"/>
  <w15:commentEx w15:paraId="57B2118F" w15:done="0"/>
  <w15:commentEx w15:paraId="7EEB83AC" w15:done="0"/>
  <w15:commentEx w15:paraId="3F944488" w15:done="0"/>
  <w15:commentEx w15:paraId="4EB71387" w15:done="0"/>
  <w15:commentEx w15:paraId="0F744CCF" w15:done="0"/>
  <w15:commentEx w15:paraId="449D1CD6" w15:done="0"/>
  <w15:commentEx w15:paraId="32B97091" w15:done="0"/>
  <w15:commentEx w15:paraId="2C8D77B9" w15:done="0"/>
  <w15:commentEx w15:paraId="77A7C17D" w15:paraIdParent="2C8D77B9" w15:done="0"/>
  <w15:commentEx w15:paraId="4B50CA89" w15:done="0"/>
  <w15:commentEx w15:paraId="4CC1A6F7" w15:done="0"/>
  <w15:commentEx w15:paraId="06F48840" w15:done="0"/>
  <w15:commentEx w15:paraId="04C75A01" w15:done="0"/>
  <w15:commentEx w15:paraId="7E4B9BA0" w15:paraIdParent="04C75A01" w15:done="0"/>
  <w15:commentEx w15:paraId="525BDD98" w15:done="0"/>
  <w15:commentEx w15:paraId="135872E0" w15:done="0"/>
  <w15:commentEx w15:paraId="481A44B0" w15:done="0"/>
  <w15:commentEx w15:paraId="0AC8E55D" w15:paraIdParent="481A44B0" w15:done="0"/>
  <w15:commentEx w15:paraId="1ABC7E3E" w15:done="0"/>
  <w15:commentEx w15:paraId="4B753240" w15:done="0"/>
  <w15:commentEx w15:paraId="263B5317" w15:done="0"/>
  <w15:commentEx w15:paraId="159BE3E3" w15:done="0"/>
  <w15:commentEx w15:paraId="72EE09E6" w15:done="0"/>
  <w15:commentEx w15:paraId="33A28D7C" w15:paraIdParent="72EE09E6" w15:done="0"/>
  <w15:commentEx w15:paraId="26C78F2B" w15:done="0"/>
  <w15:commentEx w15:paraId="3D6C46D8" w15:done="0"/>
  <w15:commentEx w15:paraId="33A53C76" w15:done="0"/>
  <w15:commentEx w15:paraId="7BC24F65" w15:done="0"/>
  <w15:commentEx w15:paraId="4E58F11C" w15:paraIdParent="7BC24F65" w15:done="0"/>
  <w15:commentEx w15:paraId="395C62B3" w15:done="0"/>
  <w15:commentEx w15:paraId="55FB3C56" w15:paraIdParent="395C62B3" w15:done="0"/>
  <w15:commentEx w15:paraId="4AE2EC81" w15:done="0"/>
  <w15:commentEx w15:paraId="52510FA0" w15:done="0"/>
  <w15:commentEx w15:paraId="4A11DC8C" w15:done="0"/>
  <w15:commentEx w15:paraId="592BF0E6" w15:done="0"/>
  <w15:commentEx w15:paraId="2BEFD95A" w15:done="0"/>
  <w15:commentEx w15:paraId="11FB26AD" w15:done="0"/>
  <w15:commentEx w15:paraId="2AB42F0B" w15:done="0"/>
  <w15:commentEx w15:paraId="7305DFF7" w15:done="0"/>
  <w15:commentEx w15:paraId="751B3815" w15:done="0"/>
  <w15:commentEx w15:paraId="3D05A543" w15:done="0"/>
  <w15:commentEx w15:paraId="38B36799" w15:done="0"/>
  <w15:commentEx w15:paraId="13C60922" w15:done="0"/>
  <w15:commentEx w15:paraId="72E5DB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9BB3A" w16cid:durableId="2276128D"/>
  <w16cid:commentId w16cid:paraId="29922A0F" w16cid:durableId="2276628F"/>
  <w16cid:commentId w16cid:paraId="0F951792" w16cid:durableId="22763246"/>
  <w16cid:commentId w16cid:paraId="58743504" w16cid:durableId="22765C53"/>
  <w16cid:commentId w16cid:paraId="3F944488" w16cid:durableId="22763266"/>
  <w16cid:commentId w16cid:paraId="22CA8D5D" w16cid:durableId="227662A4"/>
  <w16cid:commentId w16cid:paraId="2C8D77B9" w16cid:durableId="22763FFE"/>
  <w16cid:commentId w16cid:paraId="77A7C17D" w16cid:durableId="22765E8A"/>
  <w16cid:commentId w16cid:paraId="4B50CA89" w16cid:durableId="22764021"/>
  <w16cid:commentId w16cid:paraId="3E4FE433" w16cid:durableId="22766593"/>
  <w16cid:commentId w16cid:paraId="04C75A01" w16cid:durableId="22764075"/>
  <w16cid:commentId w16cid:paraId="7E4B9BA0" w16cid:durableId="22766476"/>
  <w16cid:commentId w16cid:paraId="481A44B0" w16cid:durableId="22764126"/>
  <w16cid:commentId w16cid:paraId="0AC8E55D" w16cid:durableId="227665EE"/>
  <w16cid:commentId w16cid:paraId="72EE09E6" w16cid:durableId="227641CC"/>
  <w16cid:commentId w16cid:paraId="08DCD006" w16cid:durableId="2276662C"/>
  <w16cid:commentId w16cid:paraId="3D6C46D8" w16cid:durableId="227641FC"/>
  <w16cid:commentId w16cid:paraId="6D0FF794" w16cid:durableId="22766922"/>
  <w16cid:commentId w16cid:paraId="170E479E" w16cid:durableId="227642BA"/>
  <w16cid:commentId w16cid:paraId="15465D6E" w16cid:durableId="22766943"/>
  <w16cid:commentId w16cid:paraId="7BC24F65" w16cid:durableId="2276433A"/>
  <w16cid:commentId w16cid:paraId="4E58F11C" w16cid:durableId="2276698F"/>
  <w16cid:commentId w16cid:paraId="395C62B3" w16cid:durableId="22764365"/>
  <w16cid:commentId w16cid:paraId="55FB3C56" w16cid:durableId="22766999"/>
  <w16cid:commentId w16cid:paraId="78C0D82D" w16cid:durableId="227644CC"/>
  <w16cid:commentId w16cid:paraId="7305DFF7" w16cid:durableId="2276451A"/>
  <w16cid:commentId w16cid:paraId="325C897D" w16cid:durableId="227669C3"/>
  <w16cid:commentId w16cid:paraId="3D05A543" w16cid:durableId="22764501"/>
  <w16cid:commentId w16cid:paraId="5EDB6FAB" w16cid:durableId="227669C7"/>
  <w16cid:commentId w16cid:paraId="740E68B6" w16cid:durableId="227645CA"/>
  <w16cid:commentId w16cid:paraId="09C29B2C" w16cid:durableId="227669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53948" w14:textId="77777777" w:rsidR="00934CC9" w:rsidRDefault="00934CC9">
      <w:r>
        <w:separator/>
      </w:r>
    </w:p>
  </w:endnote>
  <w:endnote w:type="continuationSeparator" w:id="0">
    <w:p w14:paraId="328F6908" w14:textId="77777777" w:rsidR="00934CC9" w:rsidRDefault="0093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wC_Logo">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84A96" w14:textId="77777777" w:rsidR="00934CC9" w:rsidRDefault="00934CC9">
    <w:pPr>
      <w:pStyle w:val="Rodap"/>
    </w:pPr>
  </w:p>
  <w:p w14:paraId="63B247F0" w14:textId="77777777" w:rsidR="00934CC9" w:rsidRDefault="00934CC9" w:rsidP="00C55DAA">
    <w:pPr>
      <w:pStyle w:val="DSLxSty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1EAA9" w14:textId="77777777" w:rsidR="00934CC9" w:rsidRDefault="00934CC9" w:rsidP="00C6723C">
    <w:pPr>
      <w:pStyle w:val="Rodap"/>
      <w:jc w:val="center"/>
      <w:rPr>
        <w:rStyle w:val="Nmerodepgina"/>
        <w:sz w:val="20"/>
        <w:szCs w:val="20"/>
      </w:rPr>
    </w:pPr>
    <w:r w:rsidRPr="00C6723C">
      <w:rPr>
        <w:rStyle w:val="Nmerodepgina"/>
        <w:sz w:val="20"/>
        <w:szCs w:val="20"/>
      </w:rPr>
      <w:fldChar w:fldCharType="begin"/>
    </w:r>
    <w:r w:rsidRPr="00C6723C">
      <w:rPr>
        <w:rStyle w:val="Nmerodepgina"/>
        <w:sz w:val="20"/>
        <w:szCs w:val="20"/>
      </w:rPr>
      <w:instrText xml:space="preserve"> PAGE </w:instrText>
    </w:r>
    <w:r w:rsidRPr="00C6723C">
      <w:rPr>
        <w:rStyle w:val="Nmerodepgina"/>
        <w:sz w:val="20"/>
        <w:szCs w:val="20"/>
      </w:rPr>
      <w:fldChar w:fldCharType="separate"/>
    </w:r>
    <w:r w:rsidR="00A06E95">
      <w:rPr>
        <w:rStyle w:val="Nmerodepgina"/>
        <w:noProof/>
        <w:sz w:val="20"/>
        <w:szCs w:val="20"/>
      </w:rPr>
      <w:t>6</w:t>
    </w:r>
    <w:r w:rsidRPr="00C6723C">
      <w:rPr>
        <w:rStyle w:val="Nmerodepgina"/>
        <w:sz w:val="20"/>
        <w:szCs w:val="20"/>
      </w:rPr>
      <w:fldChar w:fldCharType="end"/>
    </w:r>
  </w:p>
  <w:p w14:paraId="2AC426B1" w14:textId="77777777" w:rsidR="00934CC9" w:rsidRPr="00C6723C" w:rsidRDefault="00934CC9" w:rsidP="00C55DAA">
    <w:pPr>
      <w:pStyle w:val="DSLxSty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5C773" w14:textId="77777777" w:rsidR="00934CC9" w:rsidRDefault="00934CC9">
    <w:pPr>
      <w:pStyle w:val="Rodap"/>
    </w:pPr>
  </w:p>
  <w:p w14:paraId="376150A8" w14:textId="77777777" w:rsidR="00934CC9" w:rsidRDefault="00934CC9" w:rsidP="00C55DAA">
    <w:pPr>
      <w:pStyle w:val="DSLxSty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73489" w14:textId="77777777" w:rsidR="00934CC9" w:rsidRDefault="00934CC9">
      <w:r>
        <w:separator/>
      </w:r>
    </w:p>
  </w:footnote>
  <w:footnote w:type="continuationSeparator" w:id="0">
    <w:p w14:paraId="6D700B8C" w14:textId="77777777" w:rsidR="00934CC9" w:rsidRDefault="00934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AB7A4" w14:textId="77777777" w:rsidR="00934CC9" w:rsidRDefault="00934CC9">
    <w:pPr>
      <w:pStyle w:val="Cabealho"/>
    </w:pPr>
  </w:p>
  <w:p w14:paraId="7A93DD40" w14:textId="77777777" w:rsidR="00934CC9" w:rsidRDefault="00934CC9">
    <w:pPr>
      <w:pStyle w:val="Cabealho"/>
    </w:pPr>
  </w:p>
  <w:p w14:paraId="159BD5D1" w14:textId="77777777" w:rsidR="00934CC9" w:rsidRPr="0033104E" w:rsidRDefault="00934CC9">
    <w:pPr>
      <w:pStyle w:val="Cabealho"/>
    </w:pPr>
    <w:r>
      <w:rPr>
        <w:noProof/>
      </w:rPr>
      <w:drawing>
        <wp:anchor distT="0" distB="0" distL="114300" distR="114300" simplePos="0" relativeHeight="251660288" behindDoc="0" locked="0" layoutInCell="1" allowOverlap="1" wp14:anchorId="4A4AD37F" wp14:editId="33A09018">
          <wp:simplePos x="0" y="0"/>
          <wp:positionH relativeFrom="column">
            <wp:posOffset>0</wp:posOffset>
          </wp:positionH>
          <wp:positionV relativeFrom="paragraph">
            <wp:posOffset>-107950</wp:posOffset>
          </wp:positionV>
          <wp:extent cx="3440430" cy="85915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430" cy="859155"/>
                  </a:xfrm>
                  <a:prstGeom prst="rect">
                    <a:avLst/>
                  </a:prstGeom>
                  <a:noFill/>
                </pic:spPr>
              </pic:pic>
            </a:graphicData>
          </a:graphic>
        </wp:anchor>
      </w:drawing>
    </w:r>
  </w:p>
  <w:p w14:paraId="16666641" w14:textId="77777777" w:rsidR="00934CC9" w:rsidRDefault="00934CC9">
    <w:pPr>
      <w:pStyle w:val="Cabealho"/>
    </w:pPr>
  </w:p>
  <w:p w14:paraId="716D8F59" w14:textId="77777777" w:rsidR="00934CC9" w:rsidRDefault="00934CC9" w:rsidP="00F679A9">
    <w:pPr>
      <w:pStyle w:val="Cabealho"/>
      <w:tabs>
        <w:tab w:val="clear" w:pos="4513"/>
        <w:tab w:val="clear" w:pos="9026"/>
        <w:tab w:val="left" w:pos="3390"/>
      </w:tabs>
    </w:pPr>
    <w:r>
      <w:tab/>
    </w:r>
  </w:p>
  <w:p w14:paraId="13212AF7" w14:textId="77777777" w:rsidR="00934CC9" w:rsidRDefault="00934CC9">
    <w:pPr>
      <w:pStyle w:val="Cabealho"/>
    </w:pPr>
  </w:p>
  <w:p w14:paraId="7A7A1347" w14:textId="77777777" w:rsidR="00934CC9" w:rsidRDefault="00934C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C3480"/>
    <w:lvl w:ilvl="0">
      <w:start w:val="1"/>
      <w:numFmt w:val="bullet"/>
      <w:pStyle w:val="Marcador"/>
      <w:lvlText w:val=""/>
      <w:lvlJc w:val="left"/>
      <w:pPr>
        <w:tabs>
          <w:tab w:val="num" w:pos="360"/>
        </w:tabs>
        <w:ind w:left="360" w:hanging="360"/>
      </w:pPr>
      <w:rPr>
        <w:rFonts w:ascii="Symbol" w:hAnsi="Symbol" w:hint="default"/>
      </w:rPr>
    </w:lvl>
  </w:abstractNum>
  <w:abstractNum w:abstractNumId="1">
    <w:nsid w:val="01A12EB1"/>
    <w:multiLevelType w:val="hybridMultilevel"/>
    <w:tmpl w:val="B26A3B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64F2670"/>
    <w:multiLevelType w:val="hybridMultilevel"/>
    <w:tmpl w:val="0F1AAFE6"/>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984408E"/>
    <w:multiLevelType w:val="multilevel"/>
    <w:tmpl w:val="CF020DFA"/>
    <w:name w:val="PwCListNumbers1"/>
    <w:styleLink w:val="PwCListNumbers1"/>
    <w:lvl w:ilvl="0">
      <w:start w:val="1"/>
      <w:numFmt w:val="decimal"/>
      <w:pStyle w:val="Numerada"/>
      <w:lvlText w:val="%1."/>
      <w:lvlJc w:val="left"/>
      <w:pPr>
        <w:tabs>
          <w:tab w:val="num" w:pos="397"/>
        </w:tabs>
        <w:ind w:left="397" w:hanging="397"/>
      </w:pPr>
      <w:rPr>
        <w:rFonts w:cs="Times New Roman" w:hint="default"/>
      </w:rPr>
    </w:lvl>
    <w:lvl w:ilvl="1">
      <w:start w:val="1"/>
      <w:numFmt w:val="lowerLetter"/>
      <w:pStyle w:val="Numerada2"/>
      <w:lvlText w:val="%2."/>
      <w:lvlJc w:val="left"/>
      <w:pPr>
        <w:tabs>
          <w:tab w:val="num" w:pos="794"/>
        </w:tabs>
        <w:ind w:left="794" w:hanging="397"/>
      </w:pPr>
      <w:rPr>
        <w:rFonts w:cs="Times New Roman" w:hint="default"/>
      </w:rPr>
    </w:lvl>
    <w:lvl w:ilvl="2">
      <w:start w:val="1"/>
      <w:numFmt w:val="lowerRoman"/>
      <w:pStyle w:val="Numerada3"/>
      <w:lvlText w:val="%3."/>
      <w:lvlJc w:val="left"/>
      <w:pPr>
        <w:tabs>
          <w:tab w:val="num" w:pos="1191"/>
        </w:tabs>
        <w:ind w:left="1191" w:hanging="397"/>
      </w:pPr>
      <w:rPr>
        <w:rFonts w:cs="Times New Roman" w:hint="default"/>
      </w:rPr>
    </w:lvl>
    <w:lvl w:ilvl="3">
      <w:start w:val="1"/>
      <w:numFmt w:val="decimal"/>
      <w:pStyle w:val="Numerada4"/>
      <w:lvlText w:val="%4."/>
      <w:lvlJc w:val="left"/>
      <w:pPr>
        <w:tabs>
          <w:tab w:val="num" w:pos="1588"/>
        </w:tabs>
        <w:ind w:left="1588" w:hanging="397"/>
      </w:pPr>
      <w:rPr>
        <w:rFonts w:cs="Times New Roman" w:hint="default"/>
      </w:rPr>
    </w:lvl>
    <w:lvl w:ilvl="4">
      <w:start w:val="1"/>
      <w:numFmt w:val="lowerLetter"/>
      <w:pStyle w:val="Numerada5"/>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4">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5">
    <w:nsid w:val="1029172C"/>
    <w:multiLevelType w:val="hybridMultilevel"/>
    <w:tmpl w:val="5950B7D0"/>
    <w:lvl w:ilvl="0" w:tplc="4106E062">
      <w:start w:val="1"/>
      <w:numFmt w:val="lowerLetter"/>
      <w:lvlText w:val="%1)"/>
      <w:lvlJc w:val="left"/>
      <w:pPr>
        <w:ind w:left="502"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0F703B1"/>
    <w:multiLevelType w:val="hybridMultilevel"/>
    <w:tmpl w:val="F92E108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11A239DE"/>
    <w:multiLevelType w:val="hybridMultilevel"/>
    <w:tmpl w:val="3A984EC8"/>
    <w:lvl w:ilvl="0" w:tplc="9E0A89A0">
      <w:start w:val="1"/>
      <w:numFmt w:val="lowerLetter"/>
      <w:lvlText w:val="%1)"/>
      <w:lvlJc w:val="left"/>
      <w:pPr>
        <w:ind w:left="720" w:hanging="360"/>
      </w:pPr>
      <w:rPr>
        <w:rFonts w:hint="default"/>
        <w:b/>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EF1D05"/>
    <w:multiLevelType w:val="multilevel"/>
    <w:tmpl w:val="A892789E"/>
    <w:styleLink w:val="EstiloCommarcadoresSymbolsmboloAzulesquerda063cm"/>
    <w:lvl w:ilvl="0">
      <w:start w:val="1"/>
      <w:numFmt w:val="bullet"/>
      <w:lvlText w:val=""/>
      <w:lvlJc w:val="left"/>
      <w:pPr>
        <w:tabs>
          <w:tab w:val="num" w:pos="720"/>
        </w:tabs>
        <w:ind w:left="720" w:hanging="360"/>
      </w:pPr>
      <w:rPr>
        <w:rFonts w:ascii="Symbol" w:hAnsi="Symbol"/>
        <w:color w:val="1F497D"/>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EB3842"/>
    <w:multiLevelType w:val="hybridMultilevel"/>
    <w:tmpl w:val="98740CCA"/>
    <w:lvl w:ilvl="0" w:tplc="254891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1C6507"/>
    <w:multiLevelType w:val="hybridMultilevel"/>
    <w:tmpl w:val="7BE0A594"/>
    <w:lvl w:ilvl="0" w:tplc="C05E5A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AA099C"/>
    <w:multiLevelType w:val="hybridMultilevel"/>
    <w:tmpl w:val="A65EEBBC"/>
    <w:lvl w:ilvl="0" w:tplc="04160001">
      <w:start w:val="1"/>
      <w:numFmt w:val="bullet"/>
      <w:lvlText w:val=""/>
      <w:lvlJc w:val="left"/>
      <w:pPr>
        <w:ind w:left="45" w:hanging="360"/>
      </w:pPr>
      <w:rPr>
        <w:rFonts w:ascii="Symbol" w:hAnsi="Symbol" w:hint="default"/>
      </w:rPr>
    </w:lvl>
    <w:lvl w:ilvl="1" w:tplc="04160003" w:tentative="1">
      <w:start w:val="1"/>
      <w:numFmt w:val="bullet"/>
      <w:lvlText w:val="o"/>
      <w:lvlJc w:val="left"/>
      <w:pPr>
        <w:ind w:left="765" w:hanging="360"/>
      </w:pPr>
      <w:rPr>
        <w:rFonts w:ascii="Courier New" w:hAnsi="Courier New" w:cs="Courier New" w:hint="default"/>
      </w:rPr>
    </w:lvl>
    <w:lvl w:ilvl="2" w:tplc="04160005" w:tentative="1">
      <w:start w:val="1"/>
      <w:numFmt w:val="bullet"/>
      <w:lvlText w:val=""/>
      <w:lvlJc w:val="left"/>
      <w:pPr>
        <w:ind w:left="1485" w:hanging="360"/>
      </w:pPr>
      <w:rPr>
        <w:rFonts w:ascii="Wingdings" w:hAnsi="Wingdings" w:hint="default"/>
      </w:rPr>
    </w:lvl>
    <w:lvl w:ilvl="3" w:tplc="04160001" w:tentative="1">
      <w:start w:val="1"/>
      <w:numFmt w:val="bullet"/>
      <w:lvlText w:val=""/>
      <w:lvlJc w:val="left"/>
      <w:pPr>
        <w:ind w:left="2205" w:hanging="360"/>
      </w:pPr>
      <w:rPr>
        <w:rFonts w:ascii="Symbol" w:hAnsi="Symbol" w:hint="default"/>
      </w:rPr>
    </w:lvl>
    <w:lvl w:ilvl="4" w:tplc="04160003" w:tentative="1">
      <w:start w:val="1"/>
      <w:numFmt w:val="bullet"/>
      <w:lvlText w:val="o"/>
      <w:lvlJc w:val="left"/>
      <w:pPr>
        <w:ind w:left="2925" w:hanging="360"/>
      </w:pPr>
      <w:rPr>
        <w:rFonts w:ascii="Courier New" w:hAnsi="Courier New" w:cs="Courier New" w:hint="default"/>
      </w:rPr>
    </w:lvl>
    <w:lvl w:ilvl="5" w:tplc="04160005" w:tentative="1">
      <w:start w:val="1"/>
      <w:numFmt w:val="bullet"/>
      <w:lvlText w:val=""/>
      <w:lvlJc w:val="left"/>
      <w:pPr>
        <w:ind w:left="3645" w:hanging="360"/>
      </w:pPr>
      <w:rPr>
        <w:rFonts w:ascii="Wingdings" w:hAnsi="Wingdings" w:hint="default"/>
      </w:rPr>
    </w:lvl>
    <w:lvl w:ilvl="6" w:tplc="04160001" w:tentative="1">
      <w:start w:val="1"/>
      <w:numFmt w:val="bullet"/>
      <w:lvlText w:val=""/>
      <w:lvlJc w:val="left"/>
      <w:pPr>
        <w:ind w:left="4365" w:hanging="360"/>
      </w:pPr>
      <w:rPr>
        <w:rFonts w:ascii="Symbol" w:hAnsi="Symbol" w:hint="default"/>
      </w:rPr>
    </w:lvl>
    <w:lvl w:ilvl="7" w:tplc="04160003" w:tentative="1">
      <w:start w:val="1"/>
      <w:numFmt w:val="bullet"/>
      <w:lvlText w:val="o"/>
      <w:lvlJc w:val="left"/>
      <w:pPr>
        <w:ind w:left="5085" w:hanging="360"/>
      </w:pPr>
      <w:rPr>
        <w:rFonts w:ascii="Courier New" w:hAnsi="Courier New" w:cs="Courier New" w:hint="default"/>
      </w:rPr>
    </w:lvl>
    <w:lvl w:ilvl="8" w:tplc="04160005" w:tentative="1">
      <w:start w:val="1"/>
      <w:numFmt w:val="bullet"/>
      <w:lvlText w:val=""/>
      <w:lvlJc w:val="left"/>
      <w:pPr>
        <w:ind w:left="5805" w:hanging="360"/>
      </w:pPr>
      <w:rPr>
        <w:rFonts w:ascii="Wingdings" w:hAnsi="Wingdings" w:hint="default"/>
      </w:rPr>
    </w:lvl>
  </w:abstractNum>
  <w:abstractNum w:abstractNumId="12">
    <w:nsid w:val="2D6C464A"/>
    <w:multiLevelType w:val="hybridMultilevel"/>
    <w:tmpl w:val="17BC0F18"/>
    <w:lvl w:ilvl="0" w:tplc="E12A9E6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02B2A5C"/>
    <w:multiLevelType w:val="hybridMultilevel"/>
    <w:tmpl w:val="81D8D5CE"/>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nsid w:val="31B17D7E"/>
    <w:multiLevelType w:val="hybridMultilevel"/>
    <w:tmpl w:val="ECF294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DC61AB"/>
    <w:multiLevelType w:val="hybridMultilevel"/>
    <w:tmpl w:val="C9348A7C"/>
    <w:lvl w:ilvl="0" w:tplc="8D52F16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731C37"/>
    <w:multiLevelType w:val="hybridMultilevel"/>
    <w:tmpl w:val="67FCCB96"/>
    <w:lvl w:ilvl="0" w:tplc="29088B16">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E87206"/>
    <w:multiLevelType w:val="singleLevel"/>
    <w:tmpl w:val="7D9EB328"/>
    <w:lvl w:ilvl="0">
      <w:start w:val="1"/>
      <w:numFmt w:val="bullet"/>
      <w:lvlText w:val=""/>
      <w:lvlJc w:val="left"/>
      <w:pPr>
        <w:tabs>
          <w:tab w:val="num" w:pos="340"/>
        </w:tabs>
        <w:ind w:left="340" w:hanging="340"/>
      </w:pPr>
      <w:rPr>
        <w:rFonts w:ascii="Symbol" w:hAnsi="Symbol" w:hint="default"/>
        <w:color w:val="auto"/>
        <w:sz w:val="22"/>
      </w:rPr>
    </w:lvl>
  </w:abstractNum>
  <w:abstractNum w:abstractNumId="18">
    <w:nsid w:val="3BFC7F74"/>
    <w:multiLevelType w:val="hybridMultilevel"/>
    <w:tmpl w:val="90CEA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FFC5E89"/>
    <w:multiLevelType w:val="hybridMultilevel"/>
    <w:tmpl w:val="5288AA9A"/>
    <w:lvl w:ilvl="0" w:tplc="8EE20300">
      <w:start w:val="1"/>
      <w:numFmt w:val="lowerLetter"/>
      <w:lvlText w:val="%1)"/>
      <w:lvlJc w:val="left"/>
      <w:pPr>
        <w:ind w:left="360" w:hanging="360"/>
      </w:pPr>
      <w:rPr>
        <w:rFonts w:ascii="Arial" w:hAnsi="Arial" w:cs="Arial" w:hint="default"/>
        <w:b/>
        <w:color w:val="00000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42130430"/>
    <w:multiLevelType w:val="hybridMultilevel"/>
    <w:tmpl w:val="8EBAD6DE"/>
    <w:lvl w:ilvl="0" w:tplc="7CF0A5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3850B21"/>
    <w:multiLevelType w:val="hybridMultilevel"/>
    <w:tmpl w:val="4EB4DAEA"/>
    <w:lvl w:ilvl="0" w:tplc="E7BCDD94">
      <w:start w:val="1"/>
      <w:numFmt w:val="lowerLetter"/>
      <w:lvlText w:val="%1)"/>
      <w:lvlJc w:val="left"/>
      <w:pPr>
        <w:ind w:left="36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39D2FA4"/>
    <w:multiLevelType w:val="hybridMultilevel"/>
    <w:tmpl w:val="A832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063F58"/>
    <w:multiLevelType w:val="hybridMultilevel"/>
    <w:tmpl w:val="84680CF0"/>
    <w:lvl w:ilvl="0" w:tplc="4BE2817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4D463C02"/>
    <w:multiLevelType w:val="hybridMultilevel"/>
    <w:tmpl w:val="CAF499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11965D9"/>
    <w:multiLevelType w:val="hybridMultilevel"/>
    <w:tmpl w:val="255CBB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9B7B39"/>
    <w:multiLevelType w:val="hybridMultilevel"/>
    <w:tmpl w:val="0BD67D7A"/>
    <w:lvl w:ilvl="0" w:tplc="E7BCDD94">
      <w:start w:val="1"/>
      <w:numFmt w:val="lowerLetter"/>
      <w:lvlText w:val="%1)"/>
      <w:lvlJc w:val="left"/>
      <w:pPr>
        <w:ind w:left="36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262B03"/>
    <w:multiLevelType w:val="hybridMultilevel"/>
    <w:tmpl w:val="D7660110"/>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4AE5557"/>
    <w:multiLevelType w:val="multilevel"/>
    <w:tmpl w:val="646E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DB08D5"/>
    <w:multiLevelType w:val="singleLevel"/>
    <w:tmpl w:val="62524A7A"/>
    <w:lvl w:ilvl="0">
      <w:start w:val="1"/>
      <w:numFmt w:val="bullet"/>
      <w:lvlText w:val=""/>
      <w:lvlJc w:val="left"/>
      <w:pPr>
        <w:tabs>
          <w:tab w:val="num" w:pos="360"/>
        </w:tabs>
        <w:ind w:left="360" w:hanging="360"/>
      </w:pPr>
      <w:rPr>
        <w:rFonts w:ascii="Symbol" w:hAnsi="Symbol" w:hint="default"/>
      </w:rPr>
    </w:lvl>
  </w:abstractNum>
  <w:abstractNum w:abstractNumId="30">
    <w:nsid w:val="59236E0D"/>
    <w:multiLevelType w:val="hybridMultilevel"/>
    <w:tmpl w:val="AF3AD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D834665"/>
    <w:multiLevelType w:val="multilevel"/>
    <w:tmpl w:val="B2FCDBA8"/>
    <w:lvl w:ilvl="0">
      <w:start w:val="3"/>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156352"/>
    <w:multiLevelType w:val="hybridMultilevel"/>
    <w:tmpl w:val="8C54FCC4"/>
    <w:lvl w:ilvl="0" w:tplc="04160017">
      <w:start w:val="6"/>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nsid w:val="644D2662"/>
    <w:multiLevelType w:val="hybridMultilevel"/>
    <w:tmpl w:val="8B7EF3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600503A"/>
    <w:multiLevelType w:val="hybridMultilevel"/>
    <w:tmpl w:val="DA6C0C2E"/>
    <w:lvl w:ilvl="0" w:tplc="63E0F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BA14F34"/>
    <w:multiLevelType w:val="hybridMultilevel"/>
    <w:tmpl w:val="BBEE2D9E"/>
    <w:lvl w:ilvl="0" w:tplc="5662539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444433"/>
    <w:multiLevelType w:val="hybridMultilevel"/>
    <w:tmpl w:val="3E00D9A8"/>
    <w:lvl w:ilvl="0" w:tplc="5A6C40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F485D1C"/>
    <w:multiLevelType w:val="hybridMultilevel"/>
    <w:tmpl w:val="5210C50A"/>
    <w:lvl w:ilvl="0" w:tplc="04160001">
      <w:start w:val="1"/>
      <w:numFmt w:val="bullet"/>
      <w:lvlText w:val=""/>
      <w:lvlJc w:val="left"/>
      <w:pPr>
        <w:tabs>
          <w:tab w:val="num" w:pos="720"/>
        </w:tabs>
        <w:ind w:left="720" w:hanging="360"/>
      </w:pPr>
      <w:rPr>
        <w:rFonts w:ascii="Symbol" w:hAnsi="Symbol" w:hint="default"/>
      </w:rPr>
    </w:lvl>
    <w:lvl w:ilvl="1" w:tplc="BA7CD348">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72591CA9"/>
    <w:multiLevelType w:val="multilevel"/>
    <w:tmpl w:val="B790A32C"/>
    <w:name w:val="PwCListBullets1"/>
    <w:styleLink w:val="PwCListBullets1"/>
    <w:lvl w:ilvl="0">
      <w:start w:val="1"/>
      <w:numFmt w:val="bullet"/>
      <w:pStyle w:val="Commarcadores"/>
      <w:lvlText w:val=""/>
      <w:lvlJc w:val="left"/>
      <w:pPr>
        <w:tabs>
          <w:tab w:val="num" w:pos="397"/>
        </w:tabs>
        <w:ind w:left="397" w:hanging="397"/>
      </w:pPr>
      <w:rPr>
        <w:rFonts w:ascii="Symbol" w:hAnsi="Symbol" w:hint="default"/>
      </w:rPr>
    </w:lvl>
    <w:lvl w:ilvl="1">
      <w:start w:val="1"/>
      <w:numFmt w:val="bullet"/>
      <w:pStyle w:val="Commarcadores2"/>
      <w:lvlText w:val=""/>
      <w:lvlJc w:val="left"/>
      <w:pPr>
        <w:tabs>
          <w:tab w:val="num" w:pos="794"/>
        </w:tabs>
        <w:ind w:left="794" w:hanging="397"/>
      </w:pPr>
      <w:rPr>
        <w:rFonts w:ascii="Symbol" w:hAnsi="Symbol" w:hint="default"/>
      </w:rPr>
    </w:lvl>
    <w:lvl w:ilvl="2">
      <w:start w:val="1"/>
      <w:numFmt w:val="bullet"/>
      <w:pStyle w:val="Commarcadores3"/>
      <w:lvlText w:val=""/>
      <w:lvlJc w:val="left"/>
      <w:pPr>
        <w:tabs>
          <w:tab w:val="num" w:pos="1191"/>
        </w:tabs>
        <w:ind w:left="1191" w:hanging="397"/>
      </w:pPr>
      <w:rPr>
        <w:rFonts w:ascii="Symbol" w:hAnsi="Symbol" w:hint="default"/>
      </w:rPr>
    </w:lvl>
    <w:lvl w:ilvl="3">
      <w:start w:val="1"/>
      <w:numFmt w:val="bullet"/>
      <w:pStyle w:val="Commarcadores4"/>
      <w:lvlText w:val=""/>
      <w:lvlJc w:val="left"/>
      <w:pPr>
        <w:tabs>
          <w:tab w:val="num" w:pos="1588"/>
        </w:tabs>
        <w:ind w:left="1588" w:hanging="397"/>
      </w:pPr>
      <w:rPr>
        <w:rFonts w:ascii="Symbol" w:hAnsi="Symbol" w:hint="default"/>
      </w:rPr>
    </w:lvl>
    <w:lvl w:ilvl="4">
      <w:start w:val="1"/>
      <w:numFmt w:val="bullet"/>
      <w:pStyle w:val="Commarcadores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39">
    <w:nsid w:val="7A0B571E"/>
    <w:multiLevelType w:val="hybridMultilevel"/>
    <w:tmpl w:val="E2FC9A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nsid w:val="7C941DB1"/>
    <w:multiLevelType w:val="hybridMultilevel"/>
    <w:tmpl w:val="FE964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E1D76B8"/>
    <w:multiLevelType w:val="hybridMultilevel"/>
    <w:tmpl w:val="63A066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
  </w:num>
  <w:num w:numId="4">
    <w:abstractNumId w:val="29"/>
  </w:num>
  <w:num w:numId="5">
    <w:abstractNumId w:val="37"/>
  </w:num>
  <w:num w:numId="6">
    <w:abstractNumId w:val="8"/>
  </w:num>
  <w:num w:numId="7">
    <w:abstractNumId w:val="32"/>
  </w:num>
  <w:num w:numId="8">
    <w:abstractNumId w:val="21"/>
  </w:num>
  <w:num w:numId="9">
    <w:abstractNumId w:val="26"/>
  </w:num>
  <w:num w:numId="10">
    <w:abstractNumId w:val="18"/>
  </w:num>
  <w:num w:numId="11">
    <w:abstractNumId w:val="17"/>
  </w:num>
  <w:num w:numId="12">
    <w:abstractNumId w:val="14"/>
  </w:num>
  <w:num w:numId="13">
    <w:abstractNumId w:val="27"/>
  </w:num>
  <w:num w:numId="14">
    <w:abstractNumId w:val="16"/>
  </w:num>
  <w:num w:numId="15">
    <w:abstractNumId w:val="4"/>
  </w:num>
  <w:num w:numId="16">
    <w:abstractNumId w:val="30"/>
  </w:num>
  <w:num w:numId="17">
    <w:abstractNumId w:val="2"/>
  </w:num>
  <w:num w:numId="18">
    <w:abstractNumId w:val="5"/>
  </w:num>
  <w:num w:numId="19">
    <w:abstractNumId w:val="41"/>
  </w:num>
  <w:num w:numId="20">
    <w:abstractNumId w:val="6"/>
  </w:num>
  <w:num w:numId="21">
    <w:abstractNumId w:val="24"/>
  </w:num>
  <w:num w:numId="22">
    <w:abstractNumId w:val="9"/>
  </w:num>
  <w:num w:numId="23">
    <w:abstractNumId w:val="40"/>
  </w:num>
  <w:num w:numId="24">
    <w:abstractNumId w:val="33"/>
  </w:num>
  <w:num w:numId="25">
    <w:abstractNumId w:val="20"/>
  </w:num>
  <w:num w:numId="26">
    <w:abstractNumId w:val="1"/>
  </w:num>
  <w:num w:numId="27">
    <w:abstractNumId w:val="22"/>
  </w:num>
  <w:num w:numId="28">
    <w:abstractNumId w:val="25"/>
  </w:num>
  <w:num w:numId="29">
    <w:abstractNumId w:val="19"/>
  </w:num>
  <w:num w:numId="30">
    <w:abstractNumId w:val="39"/>
  </w:num>
  <w:num w:numId="31">
    <w:abstractNumId w:val="7"/>
  </w:num>
  <w:num w:numId="32">
    <w:abstractNumId w:val="36"/>
  </w:num>
  <w:num w:numId="33">
    <w:abstractNumId w:val="35"/>
  </w:num>
  <w:num w:numId="34">
    <w:abstractNumId w:val="34"/>
  </w:num>
  <w:num w:numId="35">
    <w:abstractNumId w:val="31"/>
  </w:num>
  <w:num w:numId="36">
    <w:abstractNumId w:val="23"/>
  </w:num>
  <w:num w:numId="37">
    <w:abstractNumId w:val="10"/>
  </w:num>
  <w:num w:numId="38">
    <w:abstractNumId w:val="12"/>
  </w:num>
  <w:num w:numId="39">
    <w:abstractNumId w:val="15"/>
  </w:num>
  <w:num w:numId="40">
    <w:abstractNumId w:val="13"/>
  </w:num>
  <w:num w:numId="41">
    <w:abstractNumId w:val="11"/>
  </w:num>
  <w:num w:numId="42">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herme Valle">
    <w15:presenceInfo w15:providerId="AD" w15:userId="S::guilherme.valle@pwc.com::b8dfe833-689e-45cf-ac9e-2a5a0492cafa"/>
  </w15:person>
  <w15:person w15:author="Icaro Abreu">
    <w15:presenceInfo w15:providerId="AD" w15:userId="S::icaro.abreu@pwc.com::856b736c-2180-4004-850f-fffa855f24dc"/>
  </w15:person>
  <w15:person w15:author="m024484a">
    <w15:presenceInfo w15:providerId="None" w15:userId="m02448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1F"/>
    <w:rsid w:val="0000038B"/>
    <w:rsid w:val="000005BF"/>
    <w:rsid w:val="000007FC"/>
    <w:rsid w:val="0000106D"/>
    <w:rsid w:val="00001398"/>
    <w:rsid w:val="00001934"/>
    <w:rsid w:val="0000200C"/>
    <w:rsid w:val="00002958"/>
    <w:rsid w:val="00002E01"/>
    <w:rsid w:val="000032CE"/>
    <w:rsid w:val="000032F5"/>
    <w:rsid w:val="00003341"/>
    <w:rsid w:val="0000337E"/>
    <w:rsid w:val="000035C3"/>
    <w:rsid w:val="00003648"/>
    <w:rsid w:val="00003C0F"/>
    <w:rsid w:val="0000444E"/>
    <w:rsid w:val="00004949"/>
    <w:rsid w:val="00004EAA"/>
    <w:rsid w:val="00004EF9"/>
    <w:rsid w:val="00004F5D"/>
    <w:rsid w:val="000056D9"/>
    <w:rsid w:val="000057F5"/>
    <w:rsid w:val="00006019"/>
    <w:rsid w:val="000063A0"/>
    <w:rsid w:val="00006743"/>
    <w:rsid w:val="00006BF9"/>
    <w:rsid w:val="00006D47"/>
    <w:rsid w:val="00006D84"/>
    <w:rsid w:val="000070E3"/>
    <w:rsid w:val="00007111"/>
    <w:rsid w:val="00007382"/>
    <w:rsid w:val="0000744F"/>
    <w:rsid w:val="0000758B"/>
    <w:rsid w:val="00007709"/>
    <w:rsid w:val="000078AC"/>
    <w:rsid w:val="00010198"/>
    <w:rsid w:val="00010390"/>
    <w:rsid w:val="00010463"/>
    <w:rsid w:val="0001072E"/>
    <w:rsid w:val="00010734"/>
    <w:rsid w:val="00010890"/>
    <w:rsid w:val="00010CB8"/>
    <w:rsid w:val="00010DAF"/>
    <w:rsid w:val="00011150"/>
    <w:rsid w:val="000116E0"/>
    <w:rsid w:val="000117F9"/>
    <w:rsid w:val="00012721"/>
    <w:rsid w:val="00012CEF"/>
    <w:rsid w:val="00013110"/>
    <w:rsid w:val="000136BD"/>
    <w:rsid w:val="000137E5"/>
    <w:rsid w:val="00013971"/>
    <w:rsid w:val="00013CD1"/>
    <w:rsid w:val="00013E29"/>
    <w:rsid w:val="000140F7"/>
    <w:rsid w:val="00014678"/>
    <w:rsid w:val="000146C6"/>
    <w:rsid w:val="00014BBF"/>
    <w:rsid w:val="00014CB2"/>
    <w:rsid w:val="000154FF"/>
    <w:rsid w:val="0001554B"/>
    <w:rsid w:val="00015C89"/>
    <w:rsid w:val="00015C9A"/>
    <w:rsid w:val="00015E50"/>
    <w:rsid w:val="0001602E"/>
    <w:rsid w:val="000160BA"/>
    <w:rsid w:val="00016118"/>
    <w:rsid w:val="0001613E"/>
    <w:rsid w:val="000167BA"/>
    <w:rsid w:val="00016AC6"/>
    <w:rsid w:val="00016C75"/>
    <w:rsid w:val="00016CA9"/>
    <w:rsid w:val="00016D85"/>
    <w:rsid w:val="00016F0C"/>
    <w:rsid w:val="0001752C"/>
    <w:rsid w:val="00017974"/>
    <w:rsid w:val="00017FC2"/>
    <w:rsid w:val="000200DC"/>
    <w:rsid w:val="000207E0"/>
    <w:rsid w:val="00020A34"/>
    <w:rsid w:val="00020A62"/>
    <w:rsid w:val="00020B0B"/>
    <w:rsid w:val="00020D42"/>
    <w:rsid w:val="00020D63"/>
    <w:rsid w:val="00021142"/>
    <w:rsid w:val="000213E3"/>
    <w:rsid w:val="0002142B"/>
    <w:rsid w:val="00021630"/>
    <w:rsid w:val="00021D6A"/>
    <w:rsid w:val="00021DF2"/>
    <w:rsid w:val="00021E38"/>
    <w:rsid w:val="00021E87"/>
    <w:rsid w:val="00022145"/>
    <w:rsid w:val="0002246C"/>
    <w:rsid w:val="00022490"/>
    <w:rsid w:val="00022AC9"/>
    <w:rsid w:val="00022B28"/>
    <w:rsid w:val="00022E29"/>
    <w:rsid w:val="00023071"/>
    <w:rsid w:val="00023093"/>
    <w:rsid w:val="0002321A"/>
    <w:rsid w:val="0002328A"/>
    <w:rsid w:val="0002352F"/>
    <w:rsid w:val="0002361E"/>
    <w:rsid w:val="00023620"/>
    <w:rsid w:val="000236C9"/>
    <w:rsid w:val="00023CA0"/>
    <w:rsid w:val="00023E2A"/>
    <w:rsid w:val="00023F57"/>
    <w:rsid w:val="000244E3"/>
    <w:rsid w:val="0002467E"/>
    <w:rsid w:val="000247B6"/>
    <w:rsid w:val="0002484A"/>
    <w:rsid w:val="00024B94"/>
    <w:rsid w:val="00024BE8"/>
    <w:rsid w:val="00024C1A"/>
    <w:rsid w:val="00024D21"/>
    <w:rsid w:val="00025169"/>
    <w:rsid w:val="00025633"/>
    <w:rsid w:val="00025D69"/>
    <w:rsid w:val="00025E68"/>
    <w:rsid w:val="00025F13"/>
    <w:rsid w:val="00025F45"/>
    <w:rsid w:val="00026777"/>
    <w:rsid w:val="00026BD1"/>
    <w:rsid w:val="00026C0A"/>
    <w:rsid w:val="00026E1C"/>
    <w:rsid w:val="00026F2F"/>
    <w:rsid w:val="00027056"/>
    <w:rsid w:val="00027073"/>
    <w:rsid w:val="0002711B"/>
    <w:rsid w:val="0002719F"/>
    <w:rsid w:val="00027205"/>
    <w:rsid w:val="00027743"/>
    <w:rsid w:val="00027EF9"/>
    <w:rsid w:val="00027F42"/>
    <w:rsid w:val="00027FEA"/>
    <w:rsid w:val="0003026D"/>
    <w:rsid w:val="0003031D"/>
    <w:rsid w:val="00030502"/>
    <w:rsid w:val="00030572"/>
    <w:rsid w:val="00030668"/>
    <w:rsid w:val="00030C7B"/>
    <w:rsid w:val="00030EB6"/>
    <w:rsid w:val="000310C8"/>
    <w:rsid w:val="0003116E"/>
    <w:rsid w:val="00031B84"/>
    <w:rsid w:val="00031F31"/>
    <w:rsid w:val="000321B1"/>
    <w:rsid w:val="00032340"/>
    <w:rsid w:val="0003242A"/>
    <w:rsid w:val="00032882"/>
    <w:rsid w:val="000329BB"/>
    <w:rsid w:val="00032D19"/>
    <w:rsid w:val="00032DC0"/>
    <w:rsid w:val="00032DD4"/>
    <w:rsid w:val="0003321E"/>
    <w:rsid w:val="00033398"/>
    <w:rsid w:val="00033864"/>
    <w:rsid w:val="00033B3F"/>
    <w:rsid w:val="00033E97"/>
    <w:rsid w:val="000345FE"/>
    <w:rsid w:val="00034896"/>
    <w:rsid w:val="00034AD7"/>
    <w:rsid w:val="00034C1F"/>
    <w:rsid w:val="0003579E"/>
    <w:rsid w:val="000359DB"/>
    <w:rsid w:val="00036470"/>
    <w:rsid w:val="0003657D"/>
    <w:rsid w:val="00036997"/>
    <w:rsid w:val="00036BD4"/>
    <w:rsid w:val="00036FC7"/>
    <w:rsid w:val="000371CF"/>
    <w:rsid w:val="000372A9"/>
    <w:rsid w:val="0003763B"/>
    <w:rsid w:val="00037A76"/>
    <w:rsid w:val="00037BA2"/>
    <w:rsid w:val="000404A8"/>
    <w:rsid w:val="0004051D"/>
    <w:rsid w:val="0004058C"/>
    <w:rsid w:val="00040953"/>
    <w:rsid w:val="00040B47"/>
    <w:rsid w:val="00040C30"/>
    <w:rsid w:val="00040F69"/>
    <w:rsid w:val="000410D2"/>
    <w:rsid w:val="0004137E"/>
    <w:rsid w:val="00041398"/>
    <w:rsid w:val="000414C9"/>
    <w:rsid w:val="00041D9B"/>
    <w:rsid w:val="00041F1A"/>
    <w:rsid w:val="00041FC3"/>
    <w:rsid w:val="00041FE1"/>
    <w:rsid w:val="000420F1"/>
    <w:rsid w:val="00042405"/>
    <w:rsid w:val="000426F0"/>
    <w:rsid w:val="000427B2"/>
    <w:rsid w:val="00042911"/>
    <w:rsid w:val="00042A17"/>
    <w:rsid w:val="00042B7D"/>
    <w:rsid w:val="00043692"/>
    <w:rsid w:val="000438C2"/>
    <w:rsid w:val="00043E2F"/>
    <w:rsid w:val="00044029"/>
    <w:rsid w:val="000442A6"/>
    <w:rsid w:val="000446E1"/>
    <w:rsid w:val="00044839"/>
    <w:rsid w:val="00044850"/>
    <w:rsid w:val="00044F64"/>
    <w:rsid w:val="00044FEF"/>
    <w:rsid w:val="0004515B"/>
    <w:rsid w:val="000453A9"/>
    <w:rsid w:val="000457B7"/>
    <w:rsid w:val="00045931"/>
    <w:rsid w:val="00045B5E"/>
    <w:rsid w:val="00046167"/>
    <w:rsid w:val="000465A6"/>
    <w:rsid w:val="000468E1"/>
    <w:rsid w:val="00046A7B"/>
    <w:rsid w:val="00046C05"/>
    <w:rsid w:val="00046C3D"/>
    <w:rsid w:val="00046DF1"/>
    <w:rsid w:val="00046FB2"/>
    <w:rsid w:val="00047758"/>
    <w:rsid w:val="000477FB"/>
    <w:rsid w:val="0004781A"/>
    <w:rsid w:val="00047ABE"/>
    <w:rsid w:val="00047B13"/>
    <w:rsid w:val="00047E0A"/>
    <w:rsid w:val="00047F28"/>
    <w:rsid w:val="00050E3A"/>
    <w:rsid w:val="00050F8E"/>
    <w:rsid w:val="00051174"/>
    <w:rsid w:val="0005146A"/>
    <w:rsid w:val="000527BC"/>
    <w:rsid w:val="0005295D"/>
    <w:rsid w:val="00052B16"/>
    <w:rsid w:val="00052DC9"/>
    <w:rsid w:val="0005322C"/>
    <w:rsid w:val="0005345B"/>
    <w:rsid w:val="00053906"/>
    <w:rsid w:val="00053A19"/>
    <w:rsid w:val="00053D5E"/>
    <w:rsid w:val="0005442A"/>
    <w:rsid w:val="0005473D"/>
    <w:rsid w:val="00054A5C"/>
    <w:rsid w:val="00054AA6"/>
    <w:rsid w:val="00054C20"/>
    <w:rsid w:val="00054EB0"/>
    <w:rsid w:val="00054FCA"/>
    <w:rsid w:val="00055377"/>
    <w:rsid w:val="00055380"/>
    <w:rsid w:val="00055463"/>
    <w:rsid w:val="00055ABA"/>
    <w:rsid w:val="00056215"/>
    <w:rsid w:val="00056323"/>
    <w:rsid w:val="000564BD"/>
    <w:rsid w:val="00056615"/>
    <w:rsid w:val="00056621"/>
    <w:rsid w:val="00056840"/>
    <w:rsid w:val="000568DA"/>
    <w:rsid w:val="00056B03"/>
    <w:rsid w:val="00056B09"/>
    <w:rsid w:val="00056C2A"/>
    <w:rsid w:val="0005705D"/>
    <w:rsid w:val="000572BA"/>
    <w:rsid w:val="000572C3"/>
    <w:rsid w:val="000576C7"/>
    <w:rsid w:val="00057730"/>
    <w:rsid w:val="00057A7F"/>
    <w:rsid w:val="00060EAB"/>
    <w:rsid w:val="0006108F"/>
    <w:rsid w:val="0006127F"/>
    <w:rsid w:val="0006187C"/>
    <w:rsid w:val="00061A8B"/>
    <w:rsid w:val="00061D8A"/>
    <w:rsid w:val="00061DB1"/>
    <w:rsid w:val="000620B8"/>
    <w:rsid w:val="00062268"/>
    <w:rsid w:val="000622F5"/>
    <w:rsid w:val="0006258B"/>
    <w:rsid w:val="000627C3"/>
    <w:rsid w:val="000627DC"/>
    <w:rsid w:val="00062A22"/>
    <w:rsid w:val="000631AA"/>
    <w:rsid w:val="00063E1E"/>
    <w:rsid w:val="00064290"/>
    <w:rsid w:val="00064E30"/>
    <w:rsid w:val="00064F40"/>
    <w:rsid w:val="00064F4C"/>
    <w:rsid w:val="00065048"/>
    <w:rsid w:val="000651A0"/>
    <w:rsid w:val="0006525A"/>
    <w:rsid w:val="000653BD"/>
    <w:rsid w:val="00065EE8"/>
    <w:rsid w:val="0006603C"/>
    <w:rsid w:val="00066040"/>
    <w:rsid w:val="00066183"/>
    <w:rsid w:val="000663DC"/>
    <w:rsid w:val="0006650C"/>
    <w:rsid w:val="00066D17"/>
    <w:rsid w:val="0006712F"/>
    <w:rsid w:val="000671E1"/>
    <w:rsid w:val="000672D0"/>
    <w:rsid w:val="0006786C"/>
    <w:rsid w:val="000678F1"/>
    <w:rsid w:val="00067ABE"/>
    <w:rsid w:val="00067DAF"/>
    <w:rsid w:val="00067E54"/>
    <w:rsid w:val="00070260"/>
    <w:rsid w:val="000713B8"/>
    <w:rsid w:val="000714CA"/>
    <w:rsid w:val="00071624"/>
    <w:rsid w:val="00071A33"/>
    <w:rsid w:val="0007278F"/>
    <w:rsid w:val="000728FA"/>
    <w:rsid w:val="00072DE9"/>
    <w:rsid w:val="00072E60"/>
    <w:rsid w:val="00072E9D"/>
    <w:rsid w:val="000731A5"/>
    <w:rsid w:val="000732D2"/>
    <w:rsid w:val="000732FB"/>
    <w:rsid w:val="000738C8"/>
    <w:rsid w:val="000738D1"/>
    <w:rsid w:val="00073E14"/>
    <w:rsid w:val="00074008"/>
    <w:rsid w:val="00074377"/>
    <w:rsid w:val="00074477"/>
    <w:rsid w:val="00074982"/>
    <w:rsid w:val="00074B53"/>
    <w:rsid w:val="00074C63"/>
    <w:rsid w:val="000757F9"/>
    <w:rsid w:val="000758BA"/>
    <w:rsid w:val="0007595B"/>
    <w:rsid w:val="00075B33"/>
    <w:rsid w:val="00075DC6"/>
    <w:rsid w:val="000761DD"/>
    <w:rsid w:val="000767AF"/>
    <w:rsid w:val="000768EE"/>
    <w:rsid w:val="00076A15"/>
    <w:rsid w:val="00076CD0"/>
    <w:rsid w:val="00076D64"/>
    <w:rsid w:val="000770A5"/>
    <w:rsid w:val="000772FB"/>
    <w:rsid w:val="000776CA"/>
    <w:rsid w:val="00077ADF"/>
    <w:rsid w:val="00077C3B"/>
    <w:rsid w:val="00080609"/>
    <w:rsid w:val="00080679"/>
    <w:rsid w:val="00080D02"/>
    <w:rsid w:val="00080EE1"/>
    <w:rsid w:val="000815B4"/>
    <w:rsid w:val="000816D2"/>
    <w:rsid w:val="000819DE"/>
    <w:rsid w:val="00081AD5"/>
    <w:rsid w:val="0008233A"/>
    <w:rsid w:val="00082382"/>
    <w:rsid w:val="000823E7"/>
    <w:rsid w:val="0008252E"/>
    <w:rsid w:val="000825F7"/>
    <w:rsid w:val="00082759"/>
    <w:rsid w:val="0008275E"/>
    <w:rsid w:val="00082CBF"/>
    <w:rsid w:val="00082D80"/>
    <w:rsid w:val="00082DEB"/>
    <w:rsid w:val="00082F77"/>
    <w:rsid w:val="000830D9"/>
    <w:rsid w:val="000835B1"/>
    <w:rsid w:val="0008392D"/>
    <w:rsid w:val="00083A01"/>
    <w:rsid w:val="00084F3C"/>
    <w:rsid w:val="00085289"/>
    <w:rsid w:val="0008538F"/>
    <w:rsid w:val="00085438"/>
    <w:rsid w:val="0008560C"/>
    <w:rsid w:val="00085628"/>
    <w:rsid w:val="00085B58"/>
    <w:rsid w:val="00085D72"/>
    <w:rsid w:val="00085E8D"/>
    <w:rsid w:val="00085F88"/>
    <w:rsid w:val="00085FED"/>
    <w:rsid w:val="00086342"/>
    <w:rsid w:val="00086717"/>
    <w:rsid w:val="00086900"/>
    <w:rsid w:val="00086D6F"/>
    <w:rsid w:val="00086E5F"/>
    <w:rsid w:val="000872C7"/>
    <w:rsid w:val="000877AF"/>
    <w:rsid w:val="000877D6"/>
    <w:rsid w:val="00087864"/>
    <w:rsid w:val="000879A5"/>
    <w:rsid w:val="00087D56"/>
    <w:rsid w:val="00087F84"/>
    <w:rsid w:val="0009000D"/>
    <w:rsid w:val="000900CB"/>
    <w:rsid w:val="000905F3"/>
    <w:rsid w:val="00090622"/>
    <w:rsid w:val="00091085"/>
    <w:rsid w:val="000910DB"/>
    <w:rsid w:val="000911EA"/>
    <w:rsid w:val="0009145C"/>
    <w:rsid w:val="000916EA"/>
    <w:rsid w:val="00091A69"/>
    <w:rsid w:val="00091DED"/>
    <w:rsid w:val="000925B5"/>
    <w:rsid w:val="00092F5C"/>
    <w:rsid w:val="000930ED"/>
    <w:rsid w:val="00093453"/>
    <w:rsid w:val="0009346C"/>
    <w:rsid w:val="0009358B"/>
    <w:rsid w:val="000935E8"/>
    <w:rsid w:val="000937B0"/>
    <w:rsid w:val="0009381B"/>
    <w:rsid w:val="00093A86"/>
    <w:rsid w:val="00093A97"/>
    <w:rsid w:val="00093FC8"/>
    <w:rsid w:val="0009403C"/>
    <w:rsid w:val="000940E3"/>
    <w:rsid w:val="0009423D"/>
    <w:rsid w:val="000945B3"/>
    <w:rsid w:val="00094A91"/>
    <w:rsid w:val="00095217"/>
    <w:rsid w:val="00095301"/>
    <w:rsid w:val="000953F7"/>
    <w:rsid w:val="00095439"/>
    <w:rsid w:val="000954BC"/>
    <w:rsid w:val="00095D65"/>
    <w:rsid w:val="00095E2F"/>
    <w:rsid w:val="0009626E"/>
    <w:rsid w:val="00096464"/>
    <w:rsid w:val="00096853"/>
    <w:rsid w:val="00096BB7"/>
    <w:rsid w:val="00097058"/>
    <w:rsid w:val="0009712B"/>
    <w:rsid w:val="00097250"/>
    <w:rsid w:val="00097911"/>
    <w:rsid w:val="0009797E"/>
    <w:rsid w:val="00097A3B"/>
    <w:rsid w:val="00097F03"/>
    <w:rsid w:val="000A058F"/>
    <w:rsid w:val="000A0766"/>
    <w:rsid w:val="000A0E2F"/>
    <w:rsid w:val="000A0FCD"/>
    <w:rsid w:val="000A1128"/>
    <w:rsid w:val="000A11B5"/>
    <w:rsid w:val="000A11E1"/>
    <w:rsid w:val="000A1528"/>
    <w:rsid w:val="000A2073"/>
    <w:rsid w:val="000A266F"/>
    <w:rsid w:val="000A2775"/>
    <w:rsid w:val="000A27E7"/>
    <w:rsid w:val="000A2979"/>
    <w:rsid w:val="000A29CF"/>
    <w:rsid w:val="000A30DC"/>
    <w:rsid w:val="000A3206"/>
    <w:rsid w:val="000A3404"/>
    <w:rsid w:val="000A3504"/>
    <w:rsid w:val="000A3523"/>
    <w:rsid w:val="000A37FD"/>
    <w:rsid w:val="000A3DE0"/>
    <w:rsid w:val="000A4127"/>
    <w:rsid w:val="000A4128"/>
    <w:rsid w:val="000A480A"/>
    <w:rsid w:val="000A4B6D"/>
    <w:rsid w:val="000A4E33"/>
    <w:rsid w:val="000A4E7A"/>
    <w:rsid w:val="000A5027"/>
    <w:rsid w:val="000A5242"/>
    <w:rsid w:val="000A54C0"/>
    <w:rsid w:val="000A581A"/>
    <w:rsid w:val="000A5944"/>
    <w:rsid w:val="000A5A97"/>
    <w:rsid w:val="000A5E4A"/>
    <w:rsid w:val="000A640F"/>
    <w:rsid w:val="000A6687"/>
    <w:rsid w:val="000A6C04"/>
    <w:rsid w:val="000A6C05"/>
    <w:rsid w:val="000A6CA3"/>
    <w:rsid w:val="000A70AB"/>
    <w:rsid w:val="000A715D"/>
    <w:rsid w:val="000A7321"/>
    <w:rsid w:val="000A7522"/>
    <w:rsid w:val="000A757F"/>
    <w:rsid w:val="000A7700"/>
    <w:rsid w:val="000A7823"/>
    <w:rsid w:val="000A78C5"/>
    <w:rsid w:val="000A7DBE"/>
    <w:rsid w:val="000A7DD4"/>
    <w:rsid w:val="000A7E32"/>
    <w:rsid w:val="000B0A16"/>
    <w:rsid w:val="000B0C2F"/>
    <w:rsid w:val="000B0E85"/>
    <w:rsid w:val="000B1296"/>
    <w:rsid w:val="000B136E"/>
    <w:rsid w:val="000B14E5"/>
    <w:rsid w:val="000B15D6"/>
    <w:rsid w:val="000B1AF5"/>
    <w:rsid w:val="000B1ECA"/>
    <w:rsid w:val="000B25BA"/>
    <w:rsid w:val="000B2B3D"/>
    <w:rsid w:val="000B31A8"/>
    <w:rsid w:val="000B332E"/>
    <w:rsid w:val="000B35BF"/>
    <w:rsid w:val="000B3ADB"/>
    <w:rsid w:val="000B3B1B"/>
    <w:rsid w:val="000B3E1B"/>
    <w:rsid w:val="000B3E91"/>
    <w:rsid w:val="000B4539"/>
    <w:rsid w:val="000B4618"/>
    <w:rsid w:val="000B463F"/>
    <w:rsid w:val="000B4680"/>
    <w:rsid w:val="000B47D9"/>
    <w:rsid w:val="000B4BB7"/>
    <w:rsid w:val="000B4DFD"/>
    <w:rsid w:val="000B4E4A"/>
    <w:rsid w:val="000B4E8F"/>
    <w:rsid w:val="000B4F0A"/>
    <w:rsid w:val="000B53AF"/>
    <w:rsid w:val="000B580E"/>
    <w:rsid w:val="000B593F"/>
    <w:rsid w:val="000B5DE4"/>
    <w:rsid w:val="000B6218"/>
    <w:rsid w:val="000B6905"/>
    <w:rsid w:val="000B6AD3"/>
    <w:rsid w:val="000B6E36"/>
    <w:rsid w:val="000B6EBB"/>
    <w:rsid w:val="000B7122"/>
    <w:rsid w:val="000B7387"/>
    <w:rsid w:val="000B789F"/>
    <w:rsid w:val="000B7A08"/>
    <w:rsid w:val="000B7B0A"/>
    <w:rsid w:val="000B7CB5"/>
    <w:rsid w:val="000B7EFA"/>
    <w:rsid w:val="000C00F3"/>
    <w:rsid w:val="000C0134"/>
    <w:rsid w:val="000C066E"/>
    <w:rsid w:val="000C0728"/>
    <w:rsid w:val="000C0B17"/>
    <w:rsid w:val="000C1203"/>
    <w:rsid w:val="000C1346"/>
    <w:rsid w:val="000C151B"/>
    <w:rsid w:val="000C160A"/>
    <w:rsid w:val="000C17CB"/>
    <w:rsid w:val="000C183A"/>
    <w:rsid w:val="000C1CF9"/>
    <w:rsid w:val="000C1D9B"/>
    <w:rsid w:val="000C1E4B"/>
    <w:rsid w:val="000C2316"/>
    <w:rsid w:val="000C2747"/>
    <w:rsid w:val="000C2820"/>
    <w:rsid w:val="000C28F3"/>
    <w:rsid w:val="000C2CEE"/>
    <w:rsid w:val="000C2D97"/>
    <w:rsid w:val="000C3353"/>
    <w:rsid w:val="000C38DD"/>
    <w:rsid w:val="000C39CC"/>
    <w:rsid w:val="000C3B91"/>
    <w:rsid w:val="000C3D56"/>
    <w:rsid w:val="000C3EC5"/>
    <w:rsid w:val="000C3FF3"/>
    <w:rsid w:val="000C43DC"/>
    <w:rsid w:val="000C46A9"/>
    <w:rsid w:val="000C49E0"/>
    <w:rsid w:val="000C4A33"/>
    <w:rsid w:val="000C4EB2"/>
    <w:rsid w:val="000C5799"/>
    <w:rsid w:val="000C57D7"/>
    <w:rsid w:val="000C58FA"/>
    <w:rsid w:val="000C5986"/>
    <w:rsid w:val="000C5BA2"/>
    <w:rsid w:val="000C5E78"/>
    <w:rsid w:val="000C611C"/>
    <w:rsid w:val="000C63FD"/>
    <w:rsid w:val="000C66BD"/>
    <w:rsid w:val="000C6951"/>
    <w:rsid w:val="000C6952"/>
    <w:rsid w:val="000C6A68"/>
    <w:rsid w:val="000C7423"/>
    <w:rsid w:val="000C7653"/>
    <w:rsid w:val="000C7900"/>
    <w:rsid w:val="000C7959"/>
    <w:rsid w:val="000C7DE8"/>
    <w:rsid w:val="000D00A2"/>
    <w:rsid w:val="000D0448"/>
    <w:rsid w:val="000D0844"/>
    <w:rsid w:val="000D0DED"/>
    <w:rsid w:val="000D1004"/>
    <w:rsid w:val="000D1192"/>
    <w:rsid w:val="000D11D3"/>
    <w:rsid w:val="000D1257"/>
    <w:rsid w:val="000D12FB"/>
    <w:rsid w:val="000D1873"/>
    <w:rsid w:val="000D1A78"/>
    <w:rsid w:val="000D1AE8"/>
    <w:rsid w:val="000D1CE2"/>
    <w:rsid w:val="000D1D4C"/>
    <w:rsid w:val="000D2036"/>
    <w:rsid w:val="000D206C"/>
    <w:rsid w:val="000D225D"/>
    <w:rsid w:val="000D23E0"/>
    <w:rsid w:val="000D28A8"/>
    <w:rsid w:val="000D3421"/>
    <w:rsid w:val="000D3622"/>
    <w:rsid w:val="000D38EF"/>
    <w:rsid w:val="000D390A"/>
    <w:rsid w:val="000D3A17"/>
    <w:rsid w:val="000D3B00"/>
    <w:rsid w:val="000D3D07"/>
    <w:rsid w:val="000D3DB8"/>
    <w:rsid w:val="000D3DD3"/>
    <w:rsid w:val="000D4283"/>
    <w:rsid w:val="000D442C"/>
    <w:rsid w:val="000D4979"/>
    <w:rsid w:val="000D4BDB"/>
    <w:rsid w:val="000D5054"/>
    <w:rsid w:val="000D5191"/>
    <w:rsid w:val="000D53FC"/>
    <w:rsid w:val="000D56B4"/>
    <w:rsid w:val="000D5834"/>
    <w:rsid w:val="000D5BC0"/>
    <w:rsid w:val="000D5DC4"/>
    <w:rsid w:val="000D5FB3"/>
    <w:rsid w:val="000D6474"/>
    <w:rsid w:val="000D648B"/>
    <w:rsid w:val="000D6531"/>
    <w:rsid w:val="000D6894"/>
    <w:rsid w:val="000D6976"/>
    <w:rsid w:val="000D6FFB"/>
    <w:rsid w:val="000D78BD"/>
    <w:rsid w:val="000D7D34"/>
    <w:rsid w:val="000D7E83"/>
    <w:rsid w:val="000E02FE"/>
    <w:rsid w:val="000E047F"/>
    <w:rsid w:val="000E04C9"/>
    <w:rsid w:val="000E068B"/>
    <w:rsid w:val="000E0CB2"/>
    <w:rsid w:val="000E15BE"/>
    <w:rsid w:val="000E16B7"/>
    <w:rsid w:val="000E189E"/>
    <w:rsid w:val="000E193D"/>
    <w:rsid w:val="000E2E79"/>
    <w:rsid w:val="000E3043"/>
    <w:rsid w:val="000E307D"/>
    <w:rsid w:val="000E31C6"/>
    <w:rsid w:val="000E3A42"/>
    <w:rsid w:val="000E3BC3"/>
    <w:rsid w:val="000E3E4E"/>
    <w:rsid w:val="000E4096"/>
    <w:rsid w:val="000E41C8"/>
    <w:rsid w:val="000E43DF"/>
    <w:rsid w:val="000E4758"/>
    <w:rsid w:val="000E4C1E"/>
    <w:rsid w:val="000E4F17"/>
    <w:rsid w:val="000E5260"/>
    <w:rsid w:val="000E54F6"/>
    <w:rsid w:val="000E5B74"/>
    <w:rsid w:val="000E5C7C"/>
    <w:rsid w:val="000E5ECB"/>
    <w:rsid w:val="000E61DB"/>
    <w:rsid w:val="000E640D"/>
    <w:rsid w:val="000E65CD"/>
    <w:rsid w:val="000E6CDB"/>
    <w:rsid w:val="000E6FEE"/>
    <w:rsid w:val="000E70A3"/>
    <w:rsid w:val="000E721E"/>
    <w:rsid w:val="000E7835"/>
    <w:rsid w:val="000E7955"/>
    <w:rsid w:val="000E7972"/>
    <w:rsid w:val="000E7B0A"/>
    <w:rsid w:val="000E7C72"/>
    <w:rsid w:val="000E7E99"/>
    <w:rsid w:val="000F0047"/>
    <w:rsid w:val="000F015B"/>
    <w:rsid w:val="000F080A"/>
    <w:rsid w:val="000F09CA"/>
    <w:rsid w:val="000F0A79"/>
    <w:rsid w:val="000F0CE4"/>
    <w:rsid w:val="000F0D0E"/>
    <w:rsid w:val="000F0DF4"/>
    <w:rsid w:val="000F0E72"/>
    <w:rsid w:val="000F1008"/>
    <w:rsid w:val="000F12A4"/>
    <w:rsid w:val="000F136E"/>
    <w:rsid w:val="000F1571"/>
    <w:rsid w:val="000F161D"/>
    <w:rsid w:val="000F16C5"/>
    <w:rsid w:val="000F18FB"/>
    <w:rsid w:val="000F1CC5"/>
    <w:rsid w:val="000F2026"/>
    <w:rsid w:val="000F23C9"/>
    <w:rsid w:val="000F27C1"/>
    <w:rsid w:val="000F2C65"/>
    <w:rsid w:val="000F358B"/>
    <w:rsid w:val="000F368E"/>
    <w:rsid w:val="000F38E1"/>
    <w:rsid w:val="000F3BBB"/>
    <w:rsid w:val="000F3C52"/>
    <w:rsid w:val="000F3CDF"/>
    <w:rsid w:val="000F4043"/>
    <w:rsid w:val="000F414F"/>
    <w:rsid w:val="000F46A0"/>
    <w:rsid w:val="000F46D6"/>
    <w:rsid w:val="000F484F"/>
    <w:rsid w:val="000F4BC4"/>
    <w:rsid w:val="000F4DDB"/>
    <w:rsid w:val="000F4ED9"/>
    <w:rsid w:val="000F4F4B"/>
    <w:rsid w:val="000F4FF0"/>
    <w:rsid w:val="000F5533"/>
    <w:rsid w:val="000F5755"/>
    <w:rsid w:val="000F5A6F"/>
    <w:rsid w:val="000F5C15"/>
    <w:rsid w:val="000F5CED"/>
    <w:rsid w:val="000F5F45"/>
    <w:rsid w:val="000F62D0"/>
    <w:rsid w:val="000F6335"/>
    <w:rsid w:val="000F659A"/>
    <w:rsid w:val="000F66B4"/>
    <w:rsid w:val="000F6937"/>
    <w:rsid w:val="000F6A36"/>
    <w:rsid w:val="000F6AFA"/>
    <w:rsid w:val="000F6F07"/>
    <w:rsid w:val="000F6F1C"/>
    <w:rsid w:val="000F7181"/>
    <w:rsid w:val="000F7A98"/>
    <w:rsid w:val="000F7FDC"/>
    <w:rsid w:val="0010011D"/>
    <w:rsid w:val="00100153"/>
    <w:rsid w:val="001002C4"/>
    <w:rsid w:val="001004D0"/>
    <w:rsid w:val="001004D2"/>
    <w:rsid w:val="001009D6"/>
    <w:rsid w:val="00101010"/>
    <w:rsid w:val="00101622"/>
    <w:rsid w:val="00101820"/>
    <w:rsid w:val="00101D4F"/>
    <w:rsid w:val="001022F2"/>
    <w:rsid w:val="00102379"/>
    <w:rsid w:val="001027E4"/>
    <w:rsid w:val="00102A8C"/>
    <w:rsid w:val="00102AF8"/>
    <w:rsid w:val="00102E22"/>
    <w:rsid w:val="00102EA4"/>
    <w:rsid w:val="00102F4B"/>
    <w:rsid w:val="00103037"/>
    <w:rsid w:val="001035B8"/>
    <w:rsid w:val="001035C6"/>
    <w:rsid w:val="001039F7"/>
    <w:rsid w:val="00103BEA"/>
    <w:rsid w:val="00103C69"/>
    <w:rsid w:val="001042BA"/>
    <w:rsid w:val="00104344"/>
    <w:rsid w:val="001044F1"/>
    <w:rsid w:val="00104A1C"/>
    <w:rsid w:val="00104A8B"/>
    <w:rsid w:val="00104A95"/>
    <w:rsid w:val="00104E31"/>
    <w:rsid w:val="00104F6F"/>
    <w:rsid w:val="001050DD"/>
    <w:rsid w:val="0010513A"/>
    <w:rsid w:val="001054A9"/>
    <w:rsid w:val="00105505"/>
    <w:rsid w:val="00105752"/>
    <w:rsid w:val="001057B9"/>
    <w:rsid w:val="00105857"/>
    <w:rsid w:val="001058B4"/>
    <w:rsid w:val="00105B1A"/>
    <w:rsid w:val="00105EB0"/>
    <w:rsid w:val="00105FE3"/>
    <w:rsid w:val="0010613A"/>
    <w:rsid w:val="001061A3"/>
    <w:rsid w:val="001063C4"/>
    <w:rsid w:val="00106F4A"/>
    <w:rsid w:val="001070DF"/>
    <w:rsid w:val="00107127"/>
    <w:rsid w:val="001071BD"/>
    <w:rsid w:val="001072EC"/>
    <w:rsid w:val="001078A1"/>
    <w:rsid w:val="00107E32"/>
    <w:rsid w:val="00107E8C"/>
    <w:rsid w:val="00107F22"/>
    <w:rsid w:val="00107FEA"/>
    <w:rsid w:val="001108D1"/>
    <w:rsid w:val="0011091A"/>
    <w:rsid w:val="001116F1"/>
    <w:rsid w:val="00111B7C"/>
    <w:rsid w:val="0011247C"/>
    <w:rsid w:val="00112706"/>
    <w:rsid w:val="00112967"/>
    <w:rsid w:val="00112A05"/>
    <w:rsid w:val="00112D25"/>
    <w:rsid w:val="00112F69"/>
    <w:rsid w:val="0011300F"/>
    <w:rsid w:val="001130CD"/>
    <w:rsid w:val="00113237"/>
    <w:rsid w:val="001132C7"/>
    <w:rsid w:val="00113CD5"/>
    <w:rsid w:val="00113F46"/>
    <w:rsid w:val="00113FAF"/>
    <w:rsid w:val="001142E5"/>
    <w:rsid w:val="00114701"/>
    <w:rsid w:val="00114ADF"/>
    <w:rsid w:val="00114BF4"/>
    <w:rsid w:val="00115112"/>
    <w:rsid w:val="00115582"/>
    <w:rsid w:val="0011564E"/>
    <w:rsid w:val="00115956"/>
    <w:rsid w:val="00115EB3"/>
    <w:rsid w:val="00116358"/>
    <w:rsid w:val="001165F5"/>
    <w:rsid w:val="001168D2"/>
    <w:rsid w:val="00116A1A"/>
    <w:rsid w:val="00116B34"/>
    <w:rsid w:val="00116C3A"/>
    <w:rsid w:val="00116D11"/>
    <w:rsid w:val="001171CF"/>
    <w:rsid w:val="0011730E"/>
    <w:rsid w:val="0011761D"/>
    <w:rsid w:val="00120213"/>
    <w:rsid w:val="001202F4"/>
    <w:rsid w:val="00120374"/>
    <w:rsid w:val="00120579"/>
    <w:rsid w:val="0012068F"/>
    <w:rsid w:val="001206E4"/>
    <w:rsid w:val="001208D5"/>
    <w:rsid w:val="0012092A"/>
    <w:rsid w:val="00120A22"/>
    <w:rsid w:val="00120A5C"/>
    <w:rsid w:val="00120F8F"/>
    <w:rsid w:val="001210C1"/>
    <w:rsid w:val="0012111F"/>
    <w:rsid w:val="00121219"/>
    <w:rsid w:val="0012129C"/>
    <w:rsid w:val="001212ED"/>
    <w:rsid w:val="0012195F"/>
    <w:rsid w:val="001219AE"/>
    <w:rsid w:val="00121B10"/>
    <w:rsid w:val="00121B93"/>
    <w:rsid w:val="00121F09"/>
    <w:rsid w:val="00122103"/>
    <w:rsid w:val="00122387"/>
    <w:rsid w:val="00122711"/>
    <w:rsid w:val="001228B0"/>
    <w:rsid w:val="00122957"/>
    <w:rsid w:val="001229A4"/>
    <w:rsid w:val="00122A39"/>
    <w:rsid w:val="00122DBE"/>
    <w:rsid w:val="00122FB0"/>
    <w:rsid w:val="0012334C"/>
    <w:rsid w:val="001234FA"/>
    <w:rsid w:val="00123551"/>
    <w:rsid w:val="0012377A"/>
    <w:rsid w:val="00123832"/>
    <w:rsid w:val="0012390F"/>
    <w:rsid w:val="00123D28"/>
    <w:rsid w:val="00123E29"/>
    <w:rsid w:val="00123EF5"/>
    <w:rsid w:val="0012401B"/>
    <w:rsid w:val="0012447D"/>
    <w:rsid w:val="0012460D"/>
    <w:rsid w:val="00124808"/>
    <w:rsid w:val="00124914"/>
    <w:rsid w:val="00124C33"/>
    <w:rsid w:val="00124C77"/>
    <w:rsid w:val="0012520A"/>
    <w:rsid w:val="001252E6"/>
    <w:rsid w:val="00125539"/>
    <w:rsid w:val="00125D78"/>
    <w:rsid w:val="001260A9"/>
    <w:rsid w:val="001261AB"/>
    <w:rsid w:val="0012679A"/>
    <w:rsid w:val="0012695D"/>
    <w:rsid w:val="001269D0"/>
    <w:rsid w:val="00126C24"/>
    <w:rsid w:val="00126F04"/>
    <w:rsid w:val="00126F4F"/>
    <w:rsid w:val="001274E6"/>
    <w:rsid w:val="001277B7"/>
    <w:rsid w:val="00127F1D"/>
    <w:rsid w:val="00130045"/>
    <w:rsid w:val="001304E0"/>
    <w:rsid w:val="00130F3F"/>
    <w:rsid w:val="001312AD"/>
    <w:rsid w:val="001315FB"/>
    <w:rsid w:val="00131AA7"/>
    <w:rsid w:val="00131B78"/>
    <w:rsid w:val="00132178"/>
    <w:rsid w:val="00132377"/>
    <w:rsid w:val="0013283E"/>
    <w:rsid w:val="00132DB1"/>
    <w:rsid w:val="00132EEA"/>
    <w:rsid w:val="001331A3"/>
    <w:rsid w:val="0013331E"/>
    <w:rsid w:val="00133585"/>
    <w:rsid w:val="00133AAB"/>
    <w:rsid w:val="00133BBD"/>
    <w:rsid w:val="00133C2F"/>
    <w:rsid w:val="00134515"/>
    <w:rsid w:val="00134926"/>
    <w:rsid w:val="00134B17"/>
    <w:rsid w:val="00134BCC"/>
    <w:rsid w:val="00134EB0"/>
    <w:rsid w:val="00135177"/>
    <w:rsid w:val="001354F6"/>
    <w:rsid w:val="00135B88"/>
    <w:rsid w:val="00135FCF"/>
    <w:rsid w:val="00135FEB"/>
    <w:rsid w:val="00136684"/>
    <w:rsid w:val="00136A12"/>
    <w:rsid w:val="00136A2A"/>
    <w:rsid w:val="00136AE7"/>
    <w:rsid w:val="00136C5E"/>
    <w:rsid w:val="00137098"/>
    <w:rsid w:val="001373E1"/>
    <w:rsid w:val="0013768F"/>
    <w:rsid w:val="00137B00"/>
    <w:rsid w:val="00137B44"/>
    <w:rsid w:val="00137BC8"/>
    <w:rsid w:val="00137C6E"/>
    <w:rsid w:val="001400D5"/>
    <w:rsid w:val="001400E3"/>
    <w:rsid w:val="00140159"/>
    <w:rsid w:val="00140567"/>
    <w:rsid w:val="00140861"/>
    <w:rsid w:val="001409D7"/>
    <w:rsid w:val="00140A06"/>
    <w:rsid w:val="00140B96"/>
    <w:rsid w:val="00140CF3"/>
    <w:rsid w:val="00141122"/>
    <w:rsid w:val="001412B5"/>
    <w:rsid w:val="001412D8"/>
    <w:rsid w:val="00141485"/>
    <w:rsid w:val="0014152F"/>
    <w:rsid w:val="0014169E"/>
    <w:rsid w:val="001416AA"/>
    <w:rsid w:val="001417F7"/>
    <w:rsid w:val="0014205C"/>
    <w:rsid w:val="0014236F"/>
    <w:rsid w:val="001425AA"/>
    <w:rsid w:val="0014264F"/>
    <w:rsid w:val="00142D93"/>
    <w:rsid w:val="00142E8A"/>
    <w:rsid w:val="00142F43"/>
    <w:rsid w:val="00143095"/>
    <w:rsid w:val="001431F4"/>
    <w:rsid w:val="0014358D"/>
    <w:rsid w:val="0014368D"/>
    <w:rsid w:val="00143C9B"/>
    <w:rsid w:val="00143EE9"/>
    <w:rsid w:val="00144111"/>
    <w:rsid w:val="00144147"/>
    <w:rsid w:val="00144294"/>
    <w:rsid w:val="0014473B"/>
    <w:rsid w:val="00144A46"/>
    <w:rsid w:val="00144F4C"/>
    <w:rsid w:val="00145A76"/>
    <w:rsid w:val="0014642F"/>
    <w:rsid w:val="00146555"/>
    <w:rsid w:val="00146675"/>
    <w:rsid w:val="00146ABF"/>
    <w:rsid w:val="00146BC1"/>
    <w:rsid w:val="00146CA0"/>
    <w:rsid w:val="00146D49"/>
    <w:rsid w:val="00146FAE"/>
    <w:rsid w:val="00146FCE"/>
    <w:rsid w:val="001472B6"/>
    <w:rsid w:val="00147302"/>
    <w:rsid w:val="00147B24"/>
    <w:rsid w:val="00147F29"/>
    <w:rsid w:val="00150208"/>
    <w:rsid w:val="00150292"/>
    <w:rsid w:val="001504AD"/>
    <w:rsid w:val="001508FF"/>
    <w:rsid w:val="0015097C"/>
    <w:rsid w:val="00150D10"/>
    <w:rsid w:val="001510E9"/>
    <w:rsid w:val="00151108"/>
    <w:rsid w:val="00151BCB"/>
    <w:rsid w:val="00151CD8"/>
    <w:rsid w:val="00151F7F"/>
    <w:rsid w:val="00152373"/>
    <w:rsid w:val="001527A6"/>
    <w:rsid w:val="00152829"/>
    <w:rsid w:val="001528D3"/>
    <w:rsid w:val="00153167"/>
    <w:rsid w:val="0015321C"/>
    <w:rsid w:val="00153801"/>
    <w:rsid w:val="001539F6"/>
    <w:rsid w:val="0015404F"/>
    <w:rsid w:val="00154B12"/>
    <w:rsid w:val="00154D22"/>
    <w:rsid w:val="00155124"/>
    <w:rsid w:val="00155383"/>
    <w:rsid w:val="0015552F"/>
    <w:rsid w:val="0015640C"/>
    <w:rsid w:val="001566C9"/>
    <w:rsid w:val="0015684B"/>
    <w:rsid w:val="00156946"/>
    <w:rsid w:val="00156CD2"/>
    <w:rsid w:val="00156EAA"/>
    <w:rsid w:val="00156FC5"/>
    <w:rsid w:val="001573EF"/>
    <w:rsid w:val="00157635"/>
    <w:rsid w:val="00157759"/>
    <w:rsid w:val="001579C3"/>
    <w:rsid w:val="00157F97"/>
    <w:rsid w:val="00160145"/>
    <w:rsid w:val="001601DA"/>
    <w:rsid w:val="0016024B"/>
    <w:rsid w:val="001603FF"/>
    <w:rsid w:val="0016041A"/>
    <w:rsid w:val="00160948"/>
    <w:rsid w:val="001609C4"/>
    <w:rsid w:val="00160B0F"/>
    <w:rsid w:val="00160BCC"/>
    <w:rsid w:val="00160C87"/>
    <w:rsid w:val="00160FD9"/>
    <w:rsid w:val="001613C0"/>
    <w:rsid w:val="00161497"/>
    <w:rsid w:val="00161791"/>
    <w:rsid w:val="00161885"/>
    <w:rsid w:val="0016189F"/>
    <w:rsid w:val="00161921"/>
    <w:rsid w:val="00161BB0"/>
    <w:rsid w:val="00161C85"/>
    <w:rsid w:val="00161E3F"/>
    <w:rsid w:val="00161F18"/>
    <w:rsid w:val="00162190"/>
    <w:rsid w:val="0016254D"/>
    <w:rsid w:val="00162969"/>
    <w:rsid w:val="0016313A"/>
    <w:rsid w:val="0016323D"/>
    <w:rsid w:val="00163347"/>
    <w:rsid w:val="0016346B"/>
    <w:rsid w:val="00163C80"/>
    <w:rsid w:val="00163EB5"/>
    <w:rsid w:val="00163EF3"/>
    <w:rsid w:val="001641AE"/>
    <w:rsid w:val="001643B0"/>
    <w:rsid w:val="001643FF"/>
    <w:rsid w:val="001647D7"/>
    <w:rsid w:val="00164A7A"/>
    <w:rsid w:val="00164BA7"/>
    <w:rsid w:val="00164CEF"/>
    <w:rsid w:val="00165044"/>
    <w:rsid w:val="00165122"/>
    <w:rsid w:val="00165A6B"/>
    <w:rsid w:val="00165D90"/>
    <w:rsid w:val="001663CE"/>
    <w:rsid w:val="001664FE"/>
    <w:rsid w:val="00166CFE"/>
    <w:rsid w:val="00167144"/>
    <w:rsid w:val="00167A0A"/>
    <w:rsid w:val="001700E6"/>
    <w:rsid w:val="00170137"/>
    <w:rsid w:val="001703FD"/>
    <w:rsid w:val="00170419"/>
    <w:rsid w:val="001704B9"/>
    <w:rsid w:val="00170932"/>
    <w:rsid w:val="00170AB6"/>
    <w:rsid w:val="00170B54"/>
    <w:rsid w:val="00170DAE"/>
    <w:rsid w:val="00170DC3"/>
    <w:rsid w:val="00170FB7"/>
    <w:rsid w:val="00171531"/>
    <w:rsid w:val="00171536"/>
    <w:rsid w:val="00171E82"/>
    <w:rsid w:val="001720FC"/>
    <w:rsid w:val="0017211F"/>
    <w:rsid w:val="0017218C"/>
    <w:rsid w:val="0017269C"/>
    <w:rsid w:val="00172770"/>
    <w:rsid w:val="0017282D"/>
    <w:rsid w:val="001728F9"/>
    <w:rsid w:val="00173031"/>
    <w:rsid w:val="00173540"/>
    <w:rsid w:val="0017356B"/>
    <w:rsid w:val="001739E7"/>
    <w:rsid w:val="00173C79"/>
    <w:rsid w:val="00173DF2"/>
    <w:rsid w:val="00173E1C"/>
    <w:rsid w:val="0017431A"/>
    <w:rsid w:val="00174602"/>
    <w:rsid w:val="00174665"/>
    <w:rsid w:val="00174866"/>
    <w:rsid w:val="00174C78"/>
    <w:rsid w:val="00174E1E"/>
    <w:rsid w:val="0017515C"/>
    <w:rsid w:val="001751EB"/>
    <w:rsid w:val="00175395"/>
    <w:rsid w:val="00175858"/>
    <w:rsid w:val="001758B7"/>
    <w:rsid w:val="00175AAA"/>
    <w:rsid w:val="00175FCE"/>
    <w:rsid w:val="0017620F"/>
    <w:rsid w:val="0017685C"/>
    <w:rsid w:val="00176948"/>
    <w:rsid w:val="00177281"/>
    <w:rsid w:val="00177891"/>
    <w:rsid w:val="00177E12"/>
    <w:rsid w:val="0018061E"/>
    <w:rsid w:val="00180943"/>
    <w:rsid w:val="00180996"/>
    <w:rsid w:val="00180A5B"/>
    <w:rsid w:val="00180B58"/>
    <w:rsid w:val="00180FB5"/>
    <w:rsid w:val="00181034"/>
    <w:rsid w:val="00181181"/>
    <w:rsid w:val="0018134F"/>
    <w:rsid w:val="00181B10"/>
    <w:rsid w:val="001828C2"/>
    <w:rsid w:val="00182910"/>
    <w:rsid w:val="00182F5B"/>
    <w:rsid w:val="0018326C"/>
    <w:rsid w:val="0018351C"/>
    <w:rsid w:val="001835E7"/>
    <w:rsid w:val="00183813"/>
    <w:rsid w:val="00183887"/>
    <w:rsid w:val="001838D2"/>
    <w:rsid w:val="00183921"/>
    <w:rsid w:val="001839D3"/>
    <w:rsid w:val="00183A56"/>
    <w:rsid w:val="00183DCD"/>
    <w:rsid w:val="00183F26"/>
    <w:rsid w:val="001841DD"/>
    <w:rsid w:val="0018423B"/>
    <w:rsid w:val="001842AC"/>
    <w:rsid w:val="00184578"/>
    <w:rsid w:val="001846B9"/>
    <w:rsid w:val="00184966"/>
    <w:rsid w:val="00184CBF"/>
    <w:rsid w:val="00184DD9"/>
    <w:rsid w:val="0018549E"/>
    <w:rsid w:val="001854B1"/>
    <w:rsid w:val="001857DB"/>
    <w:rsid w:val="00185D63"/>
    <w:rsid w:val="00185DB2"/>
    <w:rsid w:val="001862AF"/>
    <w:rsid w:val="001866BF"/>
    <w:rsid w:val="00186760"/>
    <w:rsid w:val="0018690D"/>
    <w:rsid w:val="00186AAA"/>
    <w:rsid w:val="00186AC1"/>
    <w:rsid w:val="00186FDB"/>
    <w:rsid w:val="001870DD"/>
    <w:rsid w:val="00187167"/>
    <w:rsid w:val="00187815"/>
    <w:rsid w:val="00187B67"/>
    <w:rsid w:val="00187BA2"/>
    <w:rsid w:val="00190295"/>
    <w:rsid w:val="0019085C"/>
    <w:rsid w:val="00190A5F"/>
    <w:rsid w:val="00190C58"/>
    <w:rsid w:val="00190CA0"/>
    <w:rsid w:val="00190D52"/>
    <w:rsid w:val="00190F26"/>
    <w:rsid w:val="001912BA"/>
    <w:rsid w:val="001912F5"/>
    <w:rsid w:val="00191526"/>
    <w:rsid w:val="0019225F"/>
    <w:rsid w:val="00192428"/>
    <w:rsid w:val="001924B2"/>
    <w:rsid w:val="001925CE"/>
    <w:rsid w:val="00192FDF"/>
    <w:rsid w:val="0019339B"/>
    <w:rsid w:val="001933B3"/>
    <w:rsid w:val="0019377D"/>
    <w:rsid w:val="001939C2"/>
    <w:rsid w:val="00193B5C"/>
    <w:rsid w:val="00194339"/>
    <w:rsid w:val="001945C0"/>
    <w:rsid w:val="00194A45"/>
    <w:rsid w:val="00194B08"/>
    <w:rsid w:val="00194BD8"/>
    <w:rsid w:val="00194E8A"/>
    <w:rsid w:val="00195278"/>
    <w:rsid w:val="001959A1"/>
    <w:rsid w:val="00195BED"/>
    <w:rsid w:val="00195EFC"/>
    <w:rsid w:val="00196121"/>
    <w:rsid w:val="00196323"/>
    <w:rsid w:val="001963B0"/>
    <w:rsid w:val="00196551"/>
    <w:rsid w:val="001966B3"/>
    <w:rsid w:val="00196734"/>
    <w:rsid w:val="0019675C"/>
    <w:rsid w:val="0019682B"/>
    <w:rsid w:val="00196859"/>
    <w:rsid w:val="001968EF"/>
    <w:rsid w:val="00196A95"/>
    <w:rsid w:val="00196E3E"/>
    <w:rsid w:val="00196FE9"/>
    <w:rsid w:val="00197030"/>
    <w:rsid w:val="0019716A"/>
    <w:rsid w:val="001971B9"/>
    <w:rsid w:val="00197205"/>
    <w:rsid w:val="001973B7"/>
    <w:rsid w:val="0019757C"/>
    <w:rsid w:val="00197592"/>
    <w:rsid w:val="001977B1"/>
    <w:rsid w:val="001977B5"/>
    <w:rsid w:val="00197A5D"/>
    <w:rsid w:val="00197FB9"/>
    <w:rsid w:val="001A0032"/>
    <w:rsid w:val="001A00F6"/>
    <w:rsid w:val="001A0100"/>
    <w:rsid w:val="001A038C"/>
    <w:rsid w:val="001A0497"/>
    <w:rsid w:val="001A06F6"/>
    <w:rsid w:val="001A0A50"/>
    <w:rsid w:val="001A120C"/>
    <w:rsid w:val="001A125F"/>
    <w:rsid w:val="001A1541"/>
    <w:rsid w:val="001A199C"/>
    <w:rsid w:val="001A1CE4"/>
    <w:rsid w:val="001A1D9D"/>
    <w:rsid w:val="001A248B"/>
    <w:rsid w:val="001A25EC"/>
    <w:rsid w:val="001A2634"/>
    <w:rsid w:val="001A2879"/>
    <w:rsid w:val="001A2DFC"/>
    <w:rsid w:val="001A3253"/>
    <w:rsid w:val="001A32C2"/>
    <w:rsid w:val="001A3808"/>
    <w:rsid w:val="001A380B"/>
    <w:rsid w:val="001A3B2F"/>
    <w:rsid w:val="001A3EDE"/>
    <w:rsid w:val="001A42B9"/>
    <w:rsid w:val="001A42F2"/>
    <w:rsid w:val="001A44E5"/>
    <w:rsid w:val="001A4759"/>
    <w:rsid w:val="001A4806"/>
    <w:rsid w:val="001A4BAF"/>
    <w:rsid w:val="001A50AC"/>
    <w:rsid w:val="001A5101"/>
    <w:rsid w:val="001A54EA"/>
    <w:rsid w:val="001A5A90"/>
    <w:rsid w:val="001A63EF"/>
    <w:rsid w:val="001A6772"/>
    <w:rsid w:val="001A68DE"/>
    <w:rsid w:val="001A6A41"/>
    <w:rsid w:val="001A74F8"/>
    <w:rsid w:val="001A772A"/>
    <w:rsid w:val="001A77B0"/>
    <w:rsid w:val="001A78BC"/>
    <w:rsid w:val="001A793A"/>
    <w:rsid w:val="001A7C65"/>
    <w:rsid w:val="001A7E6E"/>
    <w:rsid w:val="001B01C9"/>
    <w:rsid w:val="001B0812"/>
    <w:rsid w:val="001B0916"/>
    <w:rsid w:val="001B0B7B"/>
    <w:rsid w:val="001B0B8B"/>
    <w:rsid w:val="001B0D6F"/>
    <w:rsid w:val="001B115A"/>
    <w:rsid w:val="001B116A"/>
    <w:rsid w:val="001B1E40"/>
    <w:rsid w:val="001B2015"/>
    <w:rsid w:val="001B256D"/>
    <w:rsid w:val="001B29BC"/>
    <w:rsid w:val="001B2D84"/>
    <w:rsid w:val="001B314B"/>
    <w:rsid w:val="001B3848"/>
    <w:rsid w:val="001B4489"/>
    <w:rsid w:val="001B457E"/>
    <w:rsid w:val="001B4875"/>
    <w:rsid w:val="001B504A"/>
    <w:rsid w:val="001B51FB"/>
    <w:rsid w:val="001B5672"/>
    <w:rsid w:val="001B5AED"/>
    <w:rsid w:val="001B5C93"/>
    <w:rsid w:val="001B5E14"/>
    <w:rsid w:val="001B61FC"/>
    <w:rsid w:val="001B642B"/>
    <w:rsid w:val="001B646E"/>
    <w:rsid w:val="001B6AF3"/>
    <w:rsid w:val="001B6E08"/>
    <w:rsid w:val="001B742F"/>
    <w:rsid w:val="001B7562"/>
    <w:rsid w:val="001B7721"/>
    <w:rsid w:val="001B7B5A"/>
    <w:rsid w:val="001B7BED"/>
    <w:rsid w:val="001B7F9E"/>
    <w:rsid w:val="001C05A0"/>
    <w:rsid w:val="001C0917"/>
    <w:rsid w:val="001C0DF7"/>
    <w:rsid w:val="001C1281"/>
    <w:rsid w:val="001C14C7"/>
    <w:rsid w:val="001C1579"/>
    <w:rsid w:val="001C1F4A"/>
    <w:rsid w:val="001C2001"/>
    <w:rsid w:val="001C2321"/>
    <w:rsid w:val="001C31C0"/>
    <w:rsid w:val="001C35E9"/>
    <w:rsid w:val="001C3A35"/>
    <w:rsid w:val="001C3A84"/>
    <w:rsid w:val="001C3B59"/>
    <w:rsid w:val="001C404B"/>
    <w:rsid w:val="001C413C"/>
    <w:rsid w:val="001C41BB"/>
    <w:rsid w:val="001C48A9"/>
    <w:rsid w:val="001C4C2F"/>
    <w:rsid w:val="001C4EBB"/>
    <w:rsid w:val="001C55D0"/>
    <w:rsid w:val="001C591F"/>
    <w:rsid w:val="001C5C2C"/>
    <w:rsid w:val="001C5CDA"/>
    <w:rsid w:val="001C6354"/>
    <w:rsid w:val="001C649D"/>
    <w:rsid w:val="001C694A"/>
    <w:rsid w:val="001C6AC7"/>
    <w:rsid w:val="001C6B95"/>
    <w:rsid w:val="001C6BF8"/>
    <w:rsid w:val="001C737F"/>
    <w:rsid w:val="001C79D9"/>
    <w:rsid w:val="001C7A15"/>
    <w:rsid w:val="001C7AAC"/>
    <w:rsid w:val="001C7B06"/>
    <w:rsid w:val="001C7E02"/>
    <w:rsid w:val="001C7EC1"/>
    <w:rsid w:val="001D005C"/>
    <w:rsid w:val="001D018B"/>
    <w:rsid w:val="001D029F"/>
    <w:rsid w:val="001D0469"/>
    <w:rsid w:val="001D0581"/>
    <w:rsid w:val="001D0773"/>
    <w:rsid w:val="001D0F4A"/>
    <w:rsid w:val="001D0F74"/>
    <w:rsid w:val="001D0F7D"/>
    <w:rsid w:val="001D0FEA"/>
    <w:rsid w:val="001D1096"/>
    <w:rsid w:val="001D136A"/>
    <w:rsid w:val="001D141A"/>
    <w:rsid w:val="001D1594"/>
    <w:rsid w:val="001D19E9"/>
    <w:rsid w:val="001D1A03"/>
    <w:rsid w:val="001D1F02"/>
    <w:rsid w:val="001D223E"/>
    <w:rsid w:val="001D266C"/>
    <w:rsid w:val="001D273F"/>
    <w:rsid w:val="001D287B"/>
    <w:rsid w:val="001D2CEC"/>
    <w:rsid w:val="001D2D16"/>
    <w:rsid w:val="001D2F3F"/>
    <w:rsid w:val="001D3830"/>
    <w:rsid w:val="001D3907"/>
    <w:rsid w:val="001D3CCB"/>
    <w:rsid w:val="001D3E12"/>
    <w:rsid w:val="001D3E9C"/>
    <w:rsid w:val="001D4068"/>
    <w:rsid w:val="001D422E"/>
    <w:rsid w:val="001D43D6"/>
    <w:rsid w:val="001D44F6"/>
    <w:rsid w:val="001D47CE"/>
    <w:rsid w:val="001D497B"/>
    <w:rsid w:val="001D49E3"/>
    <w:rsid w:val="001D4F50"/>
    <w:rsid w:val="001D5443"/>
    <w:rsid w:val="001D554F"/>
    <w:rsid w:val="001D57EE"/>
    <w:rsid w:val="001D5ED2"/>
    <w:rsid w:val="001D6188"/>
    <w:rsid w:val="001D62DD"/>
    <w:rsid w:val="001D6533"/>
    <w:rsid w:val="001D69E8"/>
    <w:rsid w:val="001D6D94"/>
    <w:rsid w:val="001D7513"/>
    <w:rsid w:val="001D7715"/>
    <w:rsid w:val="001D793D"/>
    <w:rsid w:val="001D7949"/>
    <w:rsid w:val="001E06A2"/>
    <w:rsid w:val="001E097A"/>
    <w:rsid w:val="001E105A"/>
    <w:rsid w:val="001E1207"/>
    <w:rsid w:val="001E1883"/>
    <w:rsid w:val="001E20E4"/>
    <w:rsid w:val="001E212B"/>
    <w:rsid w:val="001E24FC"/>
    <w:rsid w:val="001E2509"/>
    <w:rsid w:val="001E2874"/>
    <w:rsid w:val="001E28E7"/>
    <w:rsid w:val="001E2905"/>
    <w:rsid w:val="001E2FA2"/>
    <w:rsid w:val="001E304F"/>
    <w:rsid w:val="001E328E"/>
    <w:rsid w:val="001E347A"/>
    <w:rsid w:val="001E353C"/>
    <w:rsid w:val="001E360A"/>
    <w:rsid w:val="001E3A05"/>
    <w:rsid w:val="001E402F"/>
    <w:rsid w:val="001E432A"/>
    <w:rsid w:val="001E433C"/>
    <w:rsid w:val="001E460D"/>
    <w:rsid w:val="001E4A6A"/>
    <w:rsid w:val="001E4BA2"/>
    <w:rsid w:val="001E4FA6"/>
    <w:rsid w:val="001E514B"/>
    <w:rsid w:val="001E51F2"/>
    <w:rsid w:val="001E52E7"/>
    <w:rsid w:val="001E5505"/>
    <w:rsid w:val="001E563A"/>
    <w:rsid w:val="001E5687"/>
    <w:rsid w:val="001E57AA"/>
    <w:rsid w:val="001E58F1"/>
    <w:rsid w:val="001E5DCE"/>
    <w:rsid w:val="001E60B7"/>
    <w:rsid w:val="001E70C4"/>
    <w:rsid w:val="001E713C"/>
    <w:rsid w:val="001E7436"/>
    <w:rsid w:val="001E7AFF"/>
    <w:rsid w:val="001E7BEB"/>
    <w:rsid w:val="001E7C23"/>
    <w:rsid w:val="001E7F06"/>
    <w:rsid w:val="001F010E"/>
    <w:rsid w:val="001F0400"/>
    <w:rsid w:val="001F0526"/>
    <w:rsid w:val="001F0BC7"/>
    <w:rsid w:val="001F0C2E"/>
    <w:rsid w:val="001F0DAF"/>
    <w:rsid w:val="001F0F40"/>
    <w:rsid w:val="001F1961"/>
    <w:rsid w:val="001F1A89"/>
    <w:rsid w:val="001F1AB2"/>
    <w:rsid w:val="001F1B6F"/>
    <w:rsid w:val="001F1E64"/>
    <w:rsid w:val="001F1F3B"/>
    <w:rsid w:val="001F2180"/>
    <w:rsid w:val="001F2948"/>
    <w:rsid w:val="001F2A98"/>
    <w:rsid w:val="001F2C2F"/>
    <w:rsid w:val="001F2C87"/>
    <w:rsid w:val="001F3012"/>
    <w:rsid w:val="001F3153"/>
    <w:rsid w:val="001F34EC"/>
    <w:rsid w:val="001F3662"/>
    <w:rsid w:val="001F3665"/>
    <w:rsid w:val="001F3865"/>
    <w:rsid w:val="001F398F"/>
    <w:rsid w:val="001F3AF0"/>
    <w:rsid w:val="001F3D25"/>
    <w:rsid w:val="001F3F50"/>
    <w:rsid w:val="001F40A2"/>
    <w:rsid w:val="001F41F7"/>
    <w:rsid w:val="001F46D3"/>
    <w:rsid w:val="001F4F38"/>
    <w:rsid w:val="001F4FDC"/>
    <w:rsid w:val="001F537B"/>
    <w:rsid w:val="001F549E"/>
    <w:rsid w:val="001F59FE"/>
    <w:rsid w:val="001F5A37"/>
    <w:rsid w:val="001F5E38"/>
    <w:rsid w:val="001F5F8B"/>
    <w:rsid w:val="001F5FE3"/>
    <w:rsid w:val="001F664F"/>
    <w:rsid w:val="001F6952"/>
    <w:rsid w:val="001F69EB"/>
    <w:rsid w:val="001F6B08"/>
    <w:rsid w:val="001F6D6A"/>
    <w:rsid w:val="001F71E9"/>
    <w:rsid w:val="001F7B74"/>
    <w:rsid w:val="001F7C3B"/>
    <w:rsid w:val="001F7E39"/>
    <w:rsid w:val="001F7E9D"/>
    <w:rsid w:val="0020016F"/>
    <w:rsid w:val="002002A2"/>
    <w:rsid w:val="00200443"/>
    <w:rsid w:val="0020059A"/>
    <w:rsid w:val="0020102F"/>
    <w:rsid w:val="00201796"/>
    <w:rsid w:val="00201BD4"/>
    <w:rsid w:val="00202143"/>
    <w:rsid w:val="0020229B"/>
    <w:rsid w:val="002027B6"/>
    <w:rsid w:val="00202838"/>
    <w:rsid w:val="002028DF"/>
    <w:rsid w:val="0020290F"/>
    <w:rsid w:val="00202975"/>
    <w:rsid w:val="00202E72"/>
    <w:rsid w:val="00202F0B"/>
    <w:rsid w:val="00202F2A"/>
    <w:rsid w:val="00203016"/>
    <w:rsid w:val="002030D9"/>
    <w:rsid w:val="00203575"/>
    <w:rsid w:val="00203773"/>
    <w:rsid w:val="00203A13"/>
    <w:rsid w:val="00203D73"/>
    <w:rsid w:val="00204729"/>
    <w:rsid w:val="00204778"/>
    <w:rsid w:val="0020479A"/>
    <w:rsid w:val="00204A59"/>
    <w:rsid w:val="00204D2E"/>
    <w:rsid w:val="00205064"/>
    <w:rsid w:val="00205066"/>
    <w:rsid w:val="0020523C"/>
    <w:rsid w:val="002053CC"/>
    <w:rsid w:val="002058B0"/>
    <w:rsid w:val="00205F4A"/>
    <w:rsid w:val="00205F6D"/>
    <w:rsid w:val="00206388"/>
    <w:rsid w:val="002065A4"/>
    <w:rsid w:val="002067AF"/>
    <w:rsid w:val="00206B65"/>
    <w:rsid w:val="00207583"/>
    <w:rsid w:val="002078EC"/>
    <w:rsid w:val="002079F2"/>
    <w:rsid w:val="00207A50"/>
    <w:rsid w:val="00207CEF"/>
    <w:rsid w:val="00210240"/>
    <w:rsid w:val="002104A5"/>
    <w:rsid w:val="002104C9"/>
    <w:rsid w:val="002104CF"/>
    <w:rsid w:val="00210A5D"/>
    <w:rsid w:val="00210BCE"/>
    <w:rsid w:val="00210E80"/>
    <w:rsid w:val="002113B0"/>
    <w:rsid w:val="002116C2"/>
    <w:rsid w:val="0021196C"/>
    <w:rsid w:val="00211BBD"/>
    <w:rsid w:val="00211C80"/>
    <w:rsid w:val="00211F1A"/>
    <w:rsid w:val="00211F1B"/>
    <w:rsid w:val="0021215C"/>
    <w:rsid w:val="002128A7"/>
    <w:rsid w:val="0021293F"/>
    <w:rsid w:val="00212A9F"/>
    <w:rsid w:val="00212B91"/>
    <w:rsid w:val="00212ED4"/>
    <w:rsid w:val="0021321E"/>
    <w:rsid w:val="00213C86"/>
    <w:rsid w:val="00213DA8"/>
    <w:rsid w:val="00213DBF"/>
    <w:rsid w:val="002142DB"/>
    <w:rsid w:val="002143B7"/>
    <w:rsid w:val="002143DF"/>
    <w:rsid w:val="00214413"/>
    <w:rsid w:val="00214460"/>
    <w:rsid w:val="00214A86"/>
    <w:rsid w:val="00214B3B"/>
    <w:rsid w:val="00215246"/>
    <w:rsid w:val="002158A5"/>
    <w:rsid w:val="002158B0"/>
    <w:rsid w:val="00215C71"/>
    <w:rsid w:val="002163A3"/>
    <w:rsid w:val="00216775"/>
    <w:rsid w:val="00216B05"/>
    <w:rsid w:val="00216CB4"/>
    <w:rsid w:val="00217525"/>
    <w:rsid w:val="00217909"/>
    <w:rsid w:val="00217A75"/>
    <w:rsid w:val="002206C7"/>
    <w:rsid w:val="0022084D"/>
    <w:rsid w:val="0022107B"/>
    <w:rsid w:val="002212CA"/>
    <w:rsid w:val="002214E6"/>
    <w:rsid w:val="002215D2"/>
    <w:rsid w:val="00221A5C"/>
    <w:rsid w:val="00221CD5"/>
    <w:rsid w:val="00221F32"/>
    <w:rsid w:val="00221F3C"/>
    <w:rsid w:val="002222DB"/>
    <w:rsid w:val="00222620"/>
    <w:rsid w:val="0022274A"/>
    <w:rsid w:val="00222BB2"/>
    <w:rsid w:val="00222E29"/>
    <w:rsid w:val="002230E3"/>
    <w:rsid w:val="0022341F"/>
    <w:rsid w:val="0022363E"/>
    <w:rsid w:val="002236BC"/>
    <w:rsid w:val="002238FB"/>
    <w:rsid w:val="0022397B"/>
    <w:rsid w:val="00223DCA"/>
    <w:rsid w:val="0022433F"/>
    <w:rsid w:val="0022464D"/>
    <w:rsid w:val="00224902"/>
    <w:rsid w:val="00224AC7"/>
    <w:rsid w:val="00224C77"/>
    <w:rsid w:val="00224F33"/>
    <w:rsid w:val="002259AB"/>
    <w:rsid w:val="002260F9"/>
    <w:rsid w:val="002262EB"/>
    <w:rsid w:val="002267C8"/>
    <w:rsid w:val="002268EB"/>
    <w:rsid w:val="00227628"/>
    <w:rsid w:val="00227BF9"/>
    <w:rsid w:val="00227E58"/>
    <w:rsid w:val="00227F0F"/>
    <w:rsid w:val="00230059"/>
    <w:rsid w:val="00230078"/>
    <w:rsid w:val="0023045D"/>
    <w:rsid w:val="00230664"/>
    <w:rsid w:val="00230825"/>
    <w:rsid w:val="00230CE4"/>
    <w:rsid w:val="00230FFE"/>
    <w:rsid w:val="00231295"/>
    <w:rsid w:val="002312D5"/>
    <w:rsid w:val="0023280D"/>
    <w:rsid w:val="002328D0"/>
    <w:rsid w:val="00232B32"/>
    <w:rsid w:val="00232F97"/>
    <w:rsid w:val="0023312D"/>
    <w:rsid w:val="00233504"/>
    <w:rsid w:val="002337BF"/>
    <w:rsid w:val="00233855"/>
    <w:rsid w:val="00233B84"/>
    <w:rsid w:val="00233B89"/>
    <w:rsid w:val="00233EC8"/>
    <w:rsid w:val="00234A1E"/>
    <w:rsid w:val="00234ABD"/>
    <w:rsid w:val="00234B88"/>
    <w:rsid w:val="00234D7B"/>
    <w:rsid w:val="00235441"/>
    <w:rsid w:val="00235512"/>
    <w:rsid w:val="0023551B"/>
    <w:rsid w:val="00235926"/>
    <w:rsid w:val="00235C9E"/>
    <w:rsid w:val="00236BDE"/>
    <w:rsid w:val="00236C9B"/>
    <w:rsid w:val="00236D80"/>
    <w:rsid w:val="002372AF"/>
    <w:rsid w:val="00237703"/>
    <w:rsid w:val="002401A0"/>
    <w:rsid w:val="002402F2"/>
    <w:rsid w:val="002406E9"/>
    <w:rsid w:val="00240889"/>
    <w:rsid w:val="002408EC"/>
    <w:rsid w:val="0024096D"/>
    <w:rsid w:val="00240A46"/>
    <w:rsid w:val="002414B3"/>
    <w:rsid w:val="002414F5"/>
    <w:rsid w:val="00241BB4"/>
    <w:rsid w:val="00242012"/>
    <w:rsid w:val="00242066"/>
    <w:rsid w:val="002426D1"/>
    <w:rsid w:val="00242942"/>
    <w:rsid w:val="002429B1"/>
    <w:rsid w:val="00242BBF"/>
    <w:rsid w:val="002430D6"/>
    <w:rsid w:val="00243482"/>
    <w:rsid w:val="002435E5"/>
    <w:rsid w:val="00243E6F"/>
    <w:rsid w:val="00243EAB"/>
    <w:rsid w:val="00244074"/>
    <w:rsid w:val="002441F9"/>
    <w:rsid w:val="00244540"/>
    <w:rsid w:val="0024473A"/>
    <w:rsid w:val="00244A3B"/>
    <w:rsid w:val="00244DB4"/>
    <w:rsid w:val="00244DB6"/>
    <w:rsid w:val="00245002"/>
    <w:rsid w:val="00245239"/>
    <w:rsid w:val="0024593F"/>
    <w:rsid w:val="002459D6"/>
    <w:rsid w:val="00245ABB"/>
    <w:rsid w:val="00246502"/>
    <w:rsid w:val="00246A73"/>
    <w:rsid w:val="00246BF8"/>
    <w:rsid w:val="002472C9"/>
    <w:rsid w:val="002473F9"/>
    <w:rsid w:val="00247738"/>
    <w:rsid w:val="00247860"/>
    <w:rsid w:val="00247DC4"/>
    <w:rsid w:val="00247FED"/>
    <w:rsid w:val="0025002D"/>
    <w:rsid w:val="0025022F"/>
    <w:rsid w:val="002507C1"/>
    <w:rsid w:val="00251004"/>
    <w:rsid w:val="00251638"/>
    <w:rsid w:val="00251881"/>
    <w:rsid w:val="00251A41"/>
    <w:rsid w:val="0025284C"/>
    <w:rsid w:val="00252855"/>
    <w:rsid w:val="00252A78"/>
    <w:rsid w:val="00252B7A"/>
    <w:rsid w:val="00252EF6"/>
    <w:rsid w:val="002533B7"/>
    <w:rsid w:val="00253465"/>
    <w:rsid w:val="00253AF8"/>
    <w:rsid w:val="00253C24"/>
    <w:rsid w:val="00253C29"/>
    <w:rsid w:val="00253E1B"/>
    <w:rsid w:val="00253E47"/>
    <w:rsid w:val="002540DD"/>
    <w:rsid w:val="00254C70"/>
    <w:rsid w:val="00254E0E"/>
    <w:rsid w:val="0025515A"/>
    <w:rsid w:val="00255438"/>
    <w:rsid w:val="00255442"/>
    <w:rsid w:val="00255870"/>
    <w:rsid w:val="00255B7C"/>
    <w:rsid w:val="00255B8D"/>
    <w:rsid w:val="00255E28"/>
    <w:rsid w:val="00255EF6"/>
    <w:rsid w:val="00255FF5"/>
    <w:rsid w:val="00256533"/>
    <w:rsid w:val="00256FC1"/>
    <w:rsid w:val="0025741D"/>
    <w:rsid w:val="00257658"/>
    <w:rsid w:val="002577C6"/>
    <w:rsid w:val="0025799F"/>
    <w:rsid w:val="00257BBB"/>
    <w:rsid w:val="00257BE0"/>
    <w:rsid w:val="0026014A"/>
    <w:rsid w:val="00260616"/>
    <w:rsid w:val="00260650"/>
    <w:rsid w:val="00260AC4"/>
    <w:rsid w:val="00260CD4"/>
    <w:rsid w:val="00261484"/>
    <w:rsid w:val="0026150C"/>
    <w:rsid w:val="0026191A"/>
    <w:rsid w:val="00261945"/>
    <w:rsid w:val="00261A64"/>
    <w:rsid w:val="00261AA6"/>
    <w:rsid w:val="00261E53"/>
    <w:rsid w:val="00261EA4"/>
    <w:rsid w:val="0026281F"/>
    <w:rsid w:val="00262C02"/>
    <w:rsid w:val="00262C10"/>
    <w:rsid w:val="00262D98"/>
    <w:rsid w:val="00262ECE"/>
    <w:rsid w:val="002631FA"/>
    <w:rsid w:val="00263212"/>
    <w:rsid w:val="00263311"/>
    <w:rsid w:val="002636AA"/>
    <w:rsid w:val="002636AE"/>
    <w:rsid w:val="002639C1"/>
    <w:rsid w:val="00263C42"/>
    <w:rsid w:val="00263CBF"/>
    <w:rsid w:val="0026432C"/>
    <w:rsid w:val="00264514"/>
    <w:rsid w:val="00264A7E"/>
    <w:rsid w:val="00264D3E"/>
    <w:rsid w:val="002650EA"/>
    <w:rsid w:val="002650ED"/>
    <w:rsid w:val="002658C5"/>
    <w:rsid w:val="00265970"/>
    <w:rsid w:val="00265AC4"/>
    <w:rsid w:val="002660E2"/>
    <w:rsid w:val="002664D4"/>
    <w:rsid w:val="002667EA"/>
    <w:rsid w:val="002668DA"/>
    <w:rsid w:val="00266D27"/>
    <w:rsid w:val="00267372"/>
    <w:rsid w:val="00267632"/>
    <w:rsid w:val="00267698"/>
    <w:rsid w:val="00267A92"/>
    <w:rsid w:val="00267DE6"/>
    <w:rsid w:val="0027018B"/>
    <w:rsid w:val="00270478"/>
    <w:rsid w:val="0027085F"/>
    <w:rsid w:val="00270A22"/>
    <w:rsid w:val="00270A56"/>
    <w:rsid w:val="00270CE3"/>
    <w:rsid w:val="0027133B"/>
    <w:rsid w:val="002716F0"/>
    <w:rsid w:val="00271803"/>
    <w:rsid w:val="00271DB0"/>
    <w:rsid w:val="00272087"/>
    <w:rsid w:val="002723AF"/>
    <w:rsid w:val="0027250E"/>
    <w:rsid w:val="002728EA"/>
    <w:rsid w:val="002728F0"/>
    <w:rsid w:val="00272924"/>
    <w:rsid w:val="002729C6"/>
    <w:rsid w:val="00273275"/>
    <w:rsid w:val="0027327E"/>
    <w:rsid w:val="00273A18"/>
    <w:rsid w:val="00273BF6"/>
    <w:rsid w:val="00273E47"/>
    <w:rsid w:val="002746F7"/>
    <w:rsid w:val="00274867"/>
    <w:rsid w:val="00274AC4"/>
    <w:rsid w:val="00274B99"/>
    <w:rsid w:val="00275241"/>
    <w:rsid w:val="0027538A"/>
    <w:rsid w:val="00275C67"/>
    <w:rsid w:val="00275D4E"/>
    <w:rsid w:val="00275DD7"/>
    <w:rsid w:val="00275F4F"/>
    <w:rsid w:val="0027644B"/>
    <w:rsid w:val="0027651F"/>
    <w:rsid w:val="00276856"/>
    <w:rsid w:val="00276D58"/>
    <w:rsid w:val="00277565"/>
    <w:rsid w:val="00277777"/>
    <w:rsid w:val="002778D9"/>
    <w:rsid w:val="00277928"/>
    <w:rsid w:val="00277A58"/>
    <w:rsid w:val="00277BA3"/>
    <w:rsid w:val="00280195"/>
    <w:rsid w:val="00280542"/>
    <w:rsid w:val="002806AB"/>
    <w:rsid w:val="00280DD5"/>
    <w:rsid w:val="00281088"/>
    <w:rsid w:val="00281094"/>
    <w:rsid w:val="00281221"/>
    <w:rsid w:val="002812F1"/>
    <w:rsid w:val="002818CA"/>
    <w:rsid w:val="00281B4B"/>
    <w:rsid w:val="00281B5F"/>
    <w:rsid w:val="00281C77"/>
    <w:rsid w:val="00281CB1"/>
    <w:rsid w:val="00281CE0"/>
    <w:rsid w:val="00281D22"/>
    <w:rsid w:val="00281D9C"/>
    <w:rsid w:val="00282043"/>
    <w:rsid w:val="00282217"/>
    <w:rsid w:val="002822FF"/>
    <w:rsid w:val="002823D6"/>
    <w:rsid w:val="002824B2"/>
    <w:rsid w:val="002824B5"/>
    <w:rsid w:val="002825B9"/>
    <w:rsid w:val="00282E56"/>
    <w:rsid w:val="00283075"/>
    <w:rsid w:val="00283239"/>
    <w:rsid w:val="00283A7D"/>
    <w:rsid w:val="00283CA0"/>
    <w:rsid w:val="00283DD5"/>
    <w:rsid w:val="00283F7B"/>
    <w:rsid w:val="00283FD1"/>
    <w:rsid w:val="002847C2"/>
    <w:rsid w:val="00284DB2"/>
    <w:rsid w:val="00285147"/>
    <w:rsid w:val="00285990"/>
    <w:rsid w:val="00286077"/>
    <w:rsid w:val="002860A4"/>
    <w:rsid w:val="00286487"/>
    <w:rsid w:val="00286728"/>
    <w:rsid w:val="002869BB"/>
    <w:rsid w:val="00286ACA"/>
    <w:rsid w:val="00286CCD"/>
    <w:rsid w:val="0028707C"/>
    <w:rsid w:val="0028752C"/>
    <w:rsid w:val="00287578"/>
    <w:rsid w:val="002875E9"/>
    <w:rsid w:val="00287786"/>
    <w:rsid w:val="002877F0"/>
    <w:rsid w:val="0028782F"/>
    <w:rsid w:val="00287A94"/>
    <w:rsid w:val="00287AFF"/>
    <w:rsid w:val="00287E23"/>
    <w:rsid w:val="00287F32"/>
    <w:rsid w:val="00287F6A"/>
    <w:rsid w:val="0029003D"/>
    <w:rsid w:val="00290C6D"/>
    <w:rsid w:val="0029107E"/>
    <w:rsid w:val="00291152"/>
    <w:rsid w:val="0029119D"/>
    <w:rsid w:val="002911EA"/>
    <w:rsid w:val="002915DE"/>
    <w:rsid w:val="002916B3"/>
    <w:rsid w:val="0029185C"/>
    <w:rsid w:val="002918F8"/>
    <w:rsid w:val="002919A5"/>
    <w:rsid w:val="00291E36"/>
    <w:rsid w:val="00291EC7"/>
    <w:rsid w:val="00292083"/>
    <w:rsid w:val="0029238D"/>
    <w:rsid w:val="0029265C"/>
    <w:rsid w:val="0029289F"/>
    <w:rsid w:val="002928C9"/>
    <w:rsid w:val="00292A13"/>
    <w:rsid w:val="00292B78"/>
    <w:rsid w:val="00292EFD"/>
    <w:rsid w:val="0029326A"/>
    <w:rsid w:val="00293286"/>
    <w:rsid w:val="00293898"/>
    <w:rsid w:val="00293C23"/>
    <w:rsid w:val="00294148"/>
    <w:rsid w:val="002945AD"/>
    <w:rsid w:val="00294790"/>
    <w:rsid w:val="002948F3"/>
    <w:rsid w:val="00294996"/>
    <w:rsid w:val="00294A24"/>
    <w:rsid w:val="00294E27"/>
    <w:rsid w:val="00295547"/>
    <w:rsid w:val="00295783"/>
    <w:rsid w:val="00295894"/>
    <w:rsid w:val="002962BC"/>
    <w:rsid w:val="00296690"/>
    <w:rsid w:val="00296803"/>
    <w:rsid w:val="00296996"/>
    <w:rsid w:val="002969AD"/>
    <w:rsid w:val="00297151"/>
    <w:rsid w:val="00297342"/>
    <w:rsid w:val="00297754"/>
    <w:rsid w:val="00297D3F"/>
    <w:rsid w:val="002A0121"/>
    <w:rsid w:val="002A0168"/>
    <w:rsid w:val="002A03A2"/>
    <w:rsid w:val="002A0468"/>
    <w:rsid w:val="002A0565"/>
    <w:rsid w:val="002A088F"/>
    <w:rsid w:val="002A0BEE"/>
    <w:rsid w:val="002A0C64"/>
    <w:rsid w:val="002A0E90"/>
    <w:rsid w:val="002A1030"/>
    <w:rsid w:val="002A1213"/>
    <w:rsid w:val="002A12EB"/>
    <w:rsid w:val="002A14C6"/>
    <w:rsid w:val="002A1949"/>
    <w:rsid w:val="002A19F5"/>
    <w:rsid w:val="002A1B53"/>
    <w:rsid w:val="002A1FD5"/>
    <w:rsid w:val="002A2090"/>
    <w:rsid w:val="002A212F"/>
    <w:rsid w:val="002A2274"/>
    <w:rsid w:val="002A238E"/>
    <w:rsid w:val="002A24CB"/>
    <w:rsid w:val="002A25E8"/>
    <w:rsid w:val="002A2656"/>
    <w:rsid w:val="002A2976"/>
    <w:rsid w:val="002A2C62"/>
    <w:rsid w:val="002A2D2D"/>
    <w:rsid w:val="002A2EC1"/>
    <w:rsid w:val="002A2F42"/>
    <w:rsid w:val="002A3087"/>
    <w:rsid w:val="002A30C5"/>
    <w:rsid w:val="002A3344"/>
    <w:rsid w:val="002A3580"/>
    <w:rsid w:val="002A37DB"/>
    <w:rsid w:val="002A3CAC"/>
    <w:rsid w:val="002A3FF2"/>
    <w:rsid w:val="002A476D"/>
    <w:rsid w:val="002A4D85"/>
    <w:rsid w:val="002A4E81"/>
    <w:rsid w:val="002A4EBE"/>
    <w:rsid w:val="002A50A5"/>
    <w:rsid w:val="002A517F"/>
    <w:rsid w:val="002A52CD"/>
    <w:rsid w:val="002A58A3"/>
    <w:rsid w:val="002A58CB"/>
    <w:rsid w:val="002A5A8D"/>
    <w:rsid w:val="002A5A8E"/>
    <w:rsid w:val="002A5D5B"/>
    <w:rsid w:val="002A64F6"/>
    <w:rsid w:val="002A6643"/>
    <w:rsid w:val="002A6900"/>
    <w:rsid w:val="002A6A20"/>
    <w:rsid w:val="002A6B80"/>
    <w:rsid w:val="002A6BF5"/>
    <w:rsid w:val="002A7158"/>
    <w:rsid w:val="002A71FA"/>
    <w:rsid w:val="002A728D"/>
    <w:rsid w:val="002A7477"/>
    <w:rsid w:val="002A7669"/>
    <w:rsid w:val="002A76B6"/>
    <w:rsid w:val="002A7B6C"/>
    <w:rsid w:val="002B0254"/>
    <w:rsid w:val="002B0618"/>
    <w:rsid w:val="002B0906"/>
    <w:rsid w:val="002B108A"/>
    <w:rsid w:val="002B11C0"/>
    <w:rsid w:val="002B131B"/>
    <w:rsid w:val="002B1391"/>
    <w:rsid w:val="002B1985"/>
    <w:rsid w:val="002B1B66"/>
    <w:rsid w:val="002B1BDF"/>
    <w:rsid w:val="002B1EA5"/>
    <w:rsid w:val="002B1FD9"/>
    <w:rsid w:val="002B2147"/>
    <w:rsid w:val="002B2224"/>
    <w:rsid w:val="002B2336"/>
    <w:rsid w:val="002B2581"/>
    <w:rsid w:val="002B26F1"/>
    <w:rsid w:val="002B27A8"/>
    <w:rsid w:val="002B27FF"/>
    <w:rsid w:val="002B29BE"/>
    <w:rsid w:val="002B2AF0"/>
    <w:rsid w:val="002B2C0C"/>
    <w:rsid w:val="002B2C5B"/>
    <w:rsid w:val="002B2D8D"/>
    <w:rsid w:val="002B35B6"/>
    <w:rsid w:val="002B382B"/>
    <w:rsid w:val="002B3A39"/>
    <w:rsid w:val="002B3F87"/>
    <w:rsid w:val="002B42ED"/>
    <w:rsid w:val="002B4426"/>
    <w:rsid w:val="002B44FD"/>
    <w:rsid w:val="002B4C79"/>
    <w:rsid w:val="002B4D80"/>
    <w:rsid w:val="002B4F84"/>
    <w:rsid w:val="002B54AD"/>
    <w:rsid w:val="002B55D6"/>
    <w:rsid w:val="002B56C9"/>
    <w:rsid w:val="002B58C7"/>
    <w:rsid w:val="002B5AED"/>
    <w:rsid w:val="002B5F81"/>
    <w:rsid w:val="002B62BE"/>
    <w:rsid w:val="002B62FE"/>
    <w:rsid w:val="002B63E7"/>
    <w:rsid w:val="002B6581"/>
    <w:rsid w:val="002B6AA2"/>
    <w:rsid w:val="002B6C06"/>
    <w:rsid w:val="002B6F56"/>
    <w:rsid w:val="002B7103"/>
    <w:rsid w:val="002B7A04"/>
    <w:rsid w:val="002B7A8D"/>
    <w:rsid w:val="002B7BC0"/>
    <w:rsid w:val="002B7F2E"/>
    <w:rsid w:val="002C0002"/>
    <w:rsid w:val="002C0005"/>
    <w:rsid w:val="002C03FC"/>
    <w:rsid w:val="002C0416"/>
    <w:rsid w:val="002C06A6"/>
    <w:rsid w:val="002C081D"/>
    <w:rsid w:val="002C08F6"/>
    <w:rsid w:val="002C0A91"/>
    <w:rsid w:val="002C0DA8"/>
    <w:rsid w:val="002C0F7F"/>
    <w:rsid w:val="002C10DC"/>
    <w:rsid w:val="002C119B"/>
    <w:rsid w:val="002C142F"/>
    <w:rsid w:val="002C1616"/>
    <w:rsid w:val="002C161D"/>
    <w:rsid w:val="002C177B"/>
    <w:rsid w:val="002C188C"/>
    <w:rsid w:val="002C1A3C"/>
    <w:rsid w:val="002C2846"/>
    <w:rsid w:val="002C2C18"/>
    <w:rsid w:val="002C3023"/>
    <w:rsid w:val="002C364D"/>
    <w:rsid w:val="002C37AB"/>
    <w:rsid w:val="002C3852"/>
    <w:rsid w:val="002C3857"/>
    <w:rsid w:val="002C3ABC"/>
    <w:rsid w:val="002C3B37"/>
    <w:rsid w:val="002C3D4C"/>
    <w:rsid w:val="002C444F"/>
    <w:rsid w:val="002C4554"/>
    <w:rsid w:val="002C460A"/>
    <w:rsid w:val="002C472D"/>
    <w:rsid w:val="002C4F73"/>
    <w:rsid w:val="002C538D"/>
    <w:rsid w:val="002C547A"/>
    <w:rsid w:val="002C569F"/>
    <w:rsid w:val="002C5A2C"/>
    <w:rsid w:val="002C5F95"/>
    <w:rsid w:val="002C63DE"/>
    <w:rsid w:val="002C6662"/>
    <w:rsid w:val="002C6711"/>
    <w:rsid w:val="002C6784"/>
    <w:rsid w:val="002C6C68"/>
    <w:rsid w:val="002C6D59"/>
    <w:rsid w:val="002C6E8C"/>
    <w:rsid w:val="002C75F6"/>
    <w:rsid w:val="002C7736"/>
    <w:rsid w:val="002C782E"/>
    <w:rsid w:val="002C7AC6"/>
    <w:rsid w:val="002C7C6A"/>
    <w:rsid w:val="002D03FA"/>
    <w:rsid w:val="002D0769"/>
    <w:rsid w:val="002D0924"/>
    <w:rsid w:val="002D0BBF"/>
    <w:rsid w:val="002D0BDD"/>
    <w:rsid w:val="002D0EF2"/>
    <w:rsid w:val="002D146A"/>
    <w:rsid w:val="002D1C03"/>
    <w:rsid w:val="002D22EF"/>
    <w:rsid w:val="002D2544"/>
    <w:rsid w:val="002D2D8A"/>
    <w:rsid w:val="002D35BD"/>
    <w:rsid w:val="002D3684"/>
    <w:rsid w:val="002D3A78"/>
    <w:rsid w:val="002D3BAE"/>
    <w:rsid w:val="002D3EA9"/>
    <w:rsid w:val="002D3F75"/>
    <w:rsid w:val="002D4148"/>
    <w:rsid w:val="002D4276"/>
    <w:rsid w:val="002D4383"/>
    <w:rsid w:val="002D46F7"/>
    <w:rsid w:val="002D4A81"/>
    <w:rsid w:val="002D4B09"/>
    <w:rsid w:val="002D4B30"/>
    <w:rsid w:val="002D4D11"/>
    <w:rsid w:val="002D4D98"/>
    <w:rsid w:val="002D5722"/>
    <w:rsid w:val="002D582C"/>
    <w:rsid w:val="002D5B2A"/>
    <w:rsid w:val="002D5D54"/>
    <w:rsid w:val="002D5D7B"/>
    <w:rsid w:val="002D5D8F"/>
    <w:rsid w:val="002D5DB7"/>
    <w:rsid w:val="002D5DE4"/>
    <w:rsid w:val="002D62D0"/>
    <w:rsid w:val="002D6751"/>
    <w:rsid w:val="002D67E2"/>
    <w:rsid w:val="002D708B"/>
    <w:rsid w:val="002D7224"/>
    <w:rsid w:val="002D771D"/>
    <w:rsid w:val="002D7783"/>
    <w:rsid w:val="002D7C98"/>
    <w:rsid w:val="002E05FB"/>
    <w:rsid w:val="002E0711"/>
    <w:rsid w:val="002E077C"/>
    <w:rsid w:val="002E0D36"/>
    <w:rsid w:val="002E1483"/>
    <w:rsid w:val="002E14CC"/>
    <w:rsid w:val="002E1819"/>
    <w:rsid w:val="002E19B9"/>
    <w:rsid w:val="002E1CEF"/>
    <w:rsid w:val="002E22C8"/>
    <w:rsid w:val="002E2448"/>
    <w:rsid w:val="002E267B"/>
    <w:rsid w:val="002E2709"/>
    <w:rsid w:val="002E3127"/>
    <w:rsid w:val="002E370A"/>
    <w:rsid w:val="002E39AC"/>
    <w:rsid w:val="002E3C98"/>
    <w:rsid w:val="002E3E0F"/>
    <w:rsid w:val="002E3F1E"/>
    <w:rsid w:val="002E491F"/>
    <w:rsid w:val="002E4DC5"/>
    <w:rsid w:val="002E4FA3"/>
    <w:rsid w:val="002E5007"/>
    <w:rsid w:val="002E5737"/>
    <w:rsid w:val="002E5769"/>
    <w:rsid w:val="002E59DA"/>
    <w:rsid w:val="002E5B22"/>
    <w:rsid w:val="002E5FED"/>
    <w:rsid w:val="002E63A5"/>
    <w:rsid w:val="002E6571"/>
    <w:rsid w:val="002E6766"/>
    <w:rsid w:val="002E6961"/>
    <w:rsid w:val="002E6AF5"/>
    <w:rsid w:val="002E6C85"/>
    <w:rsid w:val="002E6F53"/>
    <w:rsid w:val="002E722C"/>
    <w:rsid w:val="002E7358"/>
    <w:rsid w:val="002E74D5"/>
    <w:rsid w:val="002E79B2"/>
    <w:rsid w:val="002F0280"/>
    <w:rsid w:val="002F02C4"/>
    <w:rsid w:val="002F044B"/>
    <w:rsid w:val="002F070D"/>
    <w:rsid w:val="002F0B00"/>
    <w:rsid w:val="002F0D50"/>
    <w:rsid w:val="002F0DAE"/>
    <w:rsid w:val="002F100B"/>
    <w:rsid w:val="002F17B3"/>
    <w:rsid w:val="002F2121"/>
    <w:rsid w:val="002F22FA"/>
    <w:rsid w:val="002F26E6"/>
    <w:rsid w:val="002F270A"/>
    <w:rsid w:val="002F281E"/>
    <w:rsid w:val="002F29D0"/>
    <w:rsid w:val="002F2A74"/>
    <w:rsid w:val="002F2B68"/>
    <w:rsid w:val="002F301B"/>
    <w:rsid w:val="002F32CC"/>
    <w:rsid w:val="002F344B"/>
    <w:rsid w:val="002F3C7B"/>
    <w:rsid w:val="002F3FDD"/>
    <w:rsid w:val="002F4005"/>
    <w:rsid w:val="002F40B4"/>
    <w:rsid w:val="002F42F3"/>
    <w:rsid w:val="002F45E6"/>
    <w:rsid w:val="002F47BD"/>
    <w:rsid w:val="002F4808"/>
    <w:rsid w:val="002F4BC3"/>
    <w:rsid w:val="002F4F80"/>
    <w:rsid w:val="002F53B9"/>
    <w:rsid w:val="002F55A1"/>
    <w:rsid w:val="002F63A2"/>
    <w:rsid w:val="002F650E"/>
    <w:rsid w:val="002F6BEA"/>
    <w:rsid w:val="002F6EAF"/>
    <w:rsid w:val="002F7199"/>
    <w:rsid w:val="002F72D5"/>
    <w:rsid w:val="002F7366"/>
    <w:rsid w:val="002F7722"/>
    <w:rsid w:val="002F7EC8"/>
    <w:rsid w:val="0030006C"/>
    <w:rsid w:val="003001BB"/>
    <w:rsid w:val="003001EE"/>
    <w:rsid w:val="0030067D"/>
    <w:rsid w:val="00300731"/>
    <w:rsid w:val="0030092A"/>
    <w:rsid w:val="0030093A"/>
    <w:rsid w:val="003009A8"/>
    <w:rsid w:val="0030154C"/>
    <w:rsid w:val="003016E5"/>
    <w:rsid w:val="00301727"/>
    <w:rsid w:val="00301760"/>
    <w:rsid w:val="003017D5"/>
    <w:rsid w:val="00301AB9"/>
    <w:rsid w:val="00301CC7"/>
    <w:rsid w:val="003020CE"/>
    <w:rsid w:val="00302187"/>
    <w:rsid w:val="003022EC"/>
    <w:rsid w:val="0030258C"/>
    <w:rsid w:val="00302D08"/>
    <w:rsid w:val="003035D2"/>
    <w:rsid w:val="0030368B"/>
    <w:rsid w:val="0030390F"/>
    <w:rsid w:val="00303AA0"/>
    <w:rsid w:val="00303CD1"/>
    <w:rsid w:val="00304101"/>
    <w:rsid w:val="00304161"/>
    <w:rsid w:val="0030478A"/>
    <w:rsid w:val="00304EF2"/>
    <w:rsid w:val="003050D7"/>
    <w:rsid w:val="003050E3"/>
    <w:rsid w:val="003052D0"/>
    <w:rsid w:val="0030565B"/>
    <w:rsid w:val="00305A76"/>
    <w:rsid w:val="00305BE5"/>
    <w:rsid w:val="00306098"/>
    <w:rsid w:val="0030673D"/>
    <w:rsid w:val="003067BE"/>
    <w:rsid w:val="003067DB"/>
    <w:rsid w:val="00306998"/>
    <w:rsid w:val="00306A66"/>
    <w:rsid w:val="00306BF0"/>
    <w:rsid w:val="00306EA2"/>
    <w:rsid w:val="00307362"/>
    <w:rsid w:val="0030751D"/>
    <w:rsid w:val="00307900"/>
    <w:rsid w:val="00307C3C"/>
    <w:rsid w:val="00307CCF"/>
    <w:rsid w:val="00310042"/>
    <w:rsid w:val="00310182"/>
    <w:rsid w:val="003103E9"/>
    <w:rsid w:val="00310919"/>
    <w:rsid w:val="00310AC8"/>
    <w:rsid w:val="00310D49"/>
    <w:rsid w:val="00311563"/>
    <w:rsid w:val="0031167B"/>
    <w:rsid w:val="00311792"/>
    <w:rsid w:val="00311854"/>
    <w:rsid w:val="00311952"/>
    <w:rsid w:val="00311C5C"/>
    <w:rsid w:val="00312281"/>
    <w:rsid w:val="00312542"/>
    <w:rsid w:val="003125AC"/>
    <w:rsid w:val="003131A7"/>
    <w:rsid w:val="0031321F"/>
    <w:rsid w:val="00313459"/>
    <w:rsid w:val="00313472"/>
    <w:rsid w:val="003136FC"/>
    <w:rsid w:val="003138EF"/>
    <w:rsid w:val="00313A2E"/>
    <w:rsid w:val="00313F07"/>
    <w:rsid w:val="0031457F"/>
    <w:rsid w:val="003145B2"/>
    <w:rsid w:val="00314BC7"/>
    <w:rsid w:val="00314CAF"/>
    <w:rsid w:val="003150ED"/>
    <w:rsid w:val="00315303"/>
    <w:rsid w:val="0031565A"/>
    <w:rsid w:val="00315784"/>
    <w:rsid w:val="00315A0C"/>
    <w:rsid w:val="00315A3D"/>
    <w:rsid w:val="00315DF0"/>
    <w:rsid w:val="00315E91"/>
    <w:rsid w:val="00315F7B"/>
    <w:rsid w:val="00316211"/>
    <w:rsid w:val="003167BA"/>
    <w:rsid w:val="003168DF"/>
    <w:rsid w:val="00317047"/>
    <w:rsid w:val="003172AE"/>
    <w:rsid w:val="003172E2"/>
    <w:rsid w:val="00317480"/>
    <w:rsid w:val="00317B3C"/>
    <w:rsid w:val="00317ED1"/>
    <w:rsid w:val="00320172"/>
    <w:rsid w:val="003206BA"/>
    <w:rsid w:val="00320756"/>
    <w:rsid w:val="00320F71"/>
    <w:rsid w:val="0032123A"/>
    <w:rsid w:val="00321355"/>
    <w:rsid w:val="0032187C"/>
    <w:rsid w:val="00321BE7"/>
    <w:rsid w:val="00321BF6"/>
    <w:rsid w:val="003226D8"/>
    <w:rsid w:val="0032275A"/>
    <w:rsid w:val="00322CB9"/>
    <w:rsid w:val="00323250"/>
    <w:rsid w:val="003235C2"/>
    <w:rsid w:val="00323793"/>
    <w:rsid w:val="00323C19"/>
    <w:rsid w:val="00323D86"/>
    <w:rsid w:val="00324065"/>
    <w:rsid w:val="0032418D"/>
    <w:rsid w:val="0032439A"/>
    <w:rsid w:val="00324510"/>
    <w:rsid w:val="0032494B"/>
    <w:rsid w:val="0032502A"/>
    <w:rsid w:val="003256FA"/>
    <w:rsid w:val="00325A12"/>
    <w:rsid w:val="003265AC"/>
    <w:rsid w:val="00326792"/>
    <w:rsid w:val="003268CC"/>
    <w:rsid w:val="00326B92"/>
    <w:rsid w:val="00326D83"/>
    <w:rsid w:val="00326EFA"/>
    <w:rsid w:val="0032749E"/>
    <w:rsid w:val="00327679"/>
    <w:rsid w:val="00330762"/>
    <w:rsid w:val="00330819"/>
    <w:rsid w:val="00330821"/>
    <w:rsid w:val="00330858"/>
    <w:rsid w:val="003309F5"/>
    <w:rsid w:val="00330B62"/>
    <w:rsid w:val="00330C16"/>
    <w:rsid w:val="00330F88"/>
    <w:rsid w:val="0033104E"/>
    <w:rsid w:val="00331409"/>
    <w:rsid w:val="00331586"/>
    <w:rsid w:val="00331832"/>
    <w:rsid w:val="00331CB0"/>
    <w:rsid w:val="00331F1C"/>
    <w:rsid w:val="0033206D"/>
    <w:rsid w:val="003321E8"/>
    <w:rsid w:val="00332271"/>
    <w:rsid w:val="0033243B"/>
    <w:rsid w:val="003324D2"/>
    <w:rsid w:val="0033287C"/>
    <w:rsid w:val="00332EC4"/>
    <w:rsid w:val="003334D3"/>
    <w:rsid w:val="00333563"/>
    <w:rsid w:val="0033378D"/>
    <w:rsid w:val="00333A6A"/>
    <w:rsid w:val="00333B6E"/>
    <w:rsid w:val="00333E4E"/>
    <w:rsid w:val="00333EEB"/>
    <w:rsid w:val="00334283"/>
    <w:rsid w:val="00334718"/>
    <w:rsid w:val="003347D9"/>
    <w:rsid w:val="00334B07"/>
    <w:rsid w:val="00334BBD"/>
    <w:rsid w:val="00334C4A"/>
    <w:rsid w:val="00334C4D"/>
    <w:rsid w:val="003351D9"/>
    <w:rsid w:val="00335417"/>
    <w:rsid w:val="00335686"/>
    <w:rsid w:val="00335738"/>
    <w:rsid w:val="003359B7"/>
    <w:rsid w:val="00335C2D"/>
    <w:rsid w:val="00335FE3"/>
    <w:rsid w:val="003360DE"/>
    <w:rsid w:val="00336416"/>
    <w:rsid w:val="00336662"/>
    <w:rsid w:val="00336885"/>
    <w:rsid w:val="00336CCB"/>
    <w:rsid w:val="003402A4"/>
    <w:rsid w:val="0034069C"/>
    <w:rsid w:val="00340EA0"/>
    <w:rsid w:val="00341846"/>
    <w:rsid w:val="00341894"/>
    <w:rsid w:val="00342305"/>
    <w:rsid w:val="003424FE"/>
    <w:rsid w:val="003425CD"/>
    <w:rsid w:val="00342737"/>
    <w:rsid w:val="003427E6"/>
    <w:rsid w:val="00342A4F"/>
    <w:rsid w:val="00342C0E"/>
    <w:rsid w:val="00342CC2"/>
    <w:rsid w:val="00343042"/>
    <w:rsid w:val="00343090"/>
    <w:rsid w:val="0034328B"/>
    <w:rsid w:val="00343E99"/>
    <w:rsid w:val="00344009"/>
    <w:rsid w:val="00344CBB"/>
    <w:rsid w:val="00344F66"/>
    <w:rsid w:val="00344F71"/>
    <w:rsid w:val="00345187"/>
    <w:rsid w:val="00345DAE"/>
    <w:rsid w:val="003460D6"/>
    <w:rsid w:val="0034610F"/>
    <w:rsid w:val="003463CE"/>
    <w:rsid w:val="00346416"/>
    <w:rsid w:val="00346AC2"/>
    <w:rsid w:val="00346B38"/>
    <w:rsid w:val="00346EBF"/>
    <w:rsid w:val="00346ECE"/>
    <w:rsid w:val="00347692"/>
    <w:rsid w:val="00347923"/>
    <w:rsid w:val="003479F4"/>
    <w:rsid w:val="00347AB3"/>
    <w:rsid w:val="00347EE1"/>
    <w:rsid w:val="003501A6"/>
    <w:rsid w:val="00350320"/>
    <w:rsid w:val="003504EA"/>
    <w:rsid w:val="00350561"/>
    <w:rsid w:val="00350BD5"/>
    <w:rsid w:val="00350C29"/>
    <w:rsid w:val="00350E57"/>
    <w:rsid w:val="00350F0A"/>
    <w:rsid w:val="00350F93"/>
    <w:rsid w:val="003517DA"/>
    <w:rsid w:val="00351B73"/>
    <w:rsid w:val="00351E16"/>
    <w:rsid w:val="0035225C"/>
    <w:rsid w:val="00352297"/>
    <w:rsid w:val="0035253A"/>
    <w:rsid w:val="0035254B"/>
    <w:rsid w:val="00352D45"/>
    <w:rsid w:val="00353025"/>
    <w:rsid w:val="00353050"/>
    <w:rsid w:val="00353063"/>
    <w:rsid w:val="00353164"/>
    <w:rsid w:val="0035344B"/>
    <w:rsid w:val="003534B2"/>
    <w:rsid w:val="00353514"/>
    <w:rsid w:val="0035354C"/>
    <w:rsid w:val="00353869"/>
    <w:rsid w:val="003538B9"/>
    <w:rsid w:val="00353B93"/>
    <w:rsid w:val="00353C4B"/>
    <w:rsid w:val="00353D4B"/>
    <w:rsid w:val="00353F26"/>
    <w:rsid w:val="00353F85"/>
    <w:rsid w:val="003546B2"/>
    <w:rsid w:val="00354771"/>
    <w:rsid w:val="003547E2"/>
    <w:rsid w:val="00354D5C"/>
    <w:rsid w:val="00355484"/>
    <w:rsid w:val="00355B6B"/>
    <w:rsid w:val="00355EB4"/>
    <w:rsid w:val="00355F07"/>
    <w:rsid w:val="003566D3"/>
    <w:rsid w:val="00356C93"/>
    <w:rsid w:val="0035711F"/>
    <w:rsid w:val="003575EF"/>
    <w:rsid w:val="003576DB"/>
    <w:rsid w:val="00357E15"/>
    <w:rsid w:val="00360584"/>
    <w:rsid w:val="00360A0B"/>
    <w:rsid w:val="00360DFD"/>
    <w:rsid w:val="00361036"/>
    <w:rsid w:val="00361156"/>
    <w:rsid w:val="00361808"/>
    <w:rsid w:val="00361BF1"/>
    <w:rsid w:val="00361BFF"/>
    <w:rsid w:val="003624A3"/>
    <w:rsid w:val="003627EB"/>
    <w:rsid w:val="00362813"/>
    <w:rsid w:val="00362B10"/>
    <w:rsid w:val="00362C79"/>
    <w:rsid w:val="0036317D"/>
    <w:rsid w:val="00363833"/>
    <w:rsid w:val="003638E4"/>
    <w:rsid w:val="003639C0"/>
    <w:rsid w:val="00363A5B"/>
    <w:rsid w:val="00363ABA"/>
    <w:rsid w:val="00364308"/>
    <w:rsid w:val="003643DA"/>
    <w:rsid w:val="003649AD"/>
    <w:rsid w:val="00364C39"/>
    <w:rsid w:val="00364C6B"/>
    <w:rsid w:val="00364C7F"/>
    <w:rsid w:val="00364CA5"/>
    <w:rsid w:val="00364D89"/>
    <w:rsid w:val="00364F2D"/>
    <w:rsid w:val="00365C8F"/>
    <w:rsid w:val="00365DBB"/>
    <w:rsid w:val="00365E93"/>
    <w:rsid w:val="003660F4"/>
    <w:rsid w:val="003661F5"/>
    <w:rsid w:val="0036620F"/>
    <w:rsid w:val="00366316"/>
    <w:rsid w:val="003664C4"/>
    <w:rsid w:val="003664FF"/>
    <w:rsid w:val="0036654B"/>
    <w:rsid w:val="0036687B"/>
    <w:rsid w:val="00366A8A"/>
    <w:rsid w:val="003676C9"/>
    <w:rsid w:val="00367EC6"/>
    <w:rsid w:val="00370303"/>
    <w:rsid w:val="0037033F"/>
    <w:rsid w:val="00370347"/>
    <w:rsid w:val="003706CD"/>
    <w:rsid w:val="0037076D"/>
    <w:rsid w:val="00370AF8"/>
    <w:rsid w:val="00370FEF"/>
    <w:rsid w:val="00371411"/>
    <w:rsid w:val="00371829"/>
    <w:rsid w:val="00371848"/>
    <w:rsid w:val="00371FAC"/>
    <w:rsid w:val="00372429"/>
    <w:rsid w:val="00372559"/>
    <w:rsid w:val="00372A0E"/>
    <w:rsid w:val="00373561"/>
    <w:rsid w:val="003735E0"/>
    <w:rsid w:val="0037365C"/>
    <w:rsid w:val="00373C28"/>
    <w:rsid w:val="00373D1F"/>
    <w:rsid w:val="00373DC4"/>
    <w:rsid w:val="00373FBD"/>
    <w:rsid w:val="00374009"/>
    <w:rsid w:val="00374480"/>
    <w:rsid w:val="003744BE"/>
    <w:rsid w:val="003744CA"/>
    <w:rsid w:val="00374966"/>
    <w:rsid w:val="00374C15"/>
    <w:rsid w:val="00374E89"/>
    <w:rsid w:val="00375078"/>
    <w:rsid w:val="00375610"/>
    <w:rsid w:val="00375833"/>
    <w:rsid w:val="0037589F"/>
    <w:rsid w:val="00375B0D"/>
    <w:rsid w:val="00375CE0"/>
    <w:rsid w:val="00375D6D"/>
    <w:rsid w:val="00375FED"/>
    <w:rsid w:val="00376241"/>
    <w:rsid w:val="0037642E"/>
    <w:rsid w:val="0037647E"/>
    <w:rsid w:val="00376527"/>
    <w:rsid w:val="00376601"/>
    <w:rsid w:val="00376965"/>
    <w:rsid w:val="00376ACC"/>
    <w:rsid w:val="00376CB1"/>
    <w:rsid w:val="00377AC5"/>
    <w:rsid w:val="003803E1"/>
    <w:rsid w:val="00380400"/>
    <w:rsid w:val="00380476"/>
    <w:rsid w:val="00380625"/>
    <w:rsid w:val="003806FD"/>
    <w:rsid w:val="00380DFD"/>
    <w:rsid w:val="0038188B"/>
    <w:rsid w:val="00381D3E"/>
    <w:rsid w:val="0038285A"/>
    <w:rsid w:val="00382A8A"/>
    <w:rsid w:val="00382BEE"/>
    <w:rsid w:val="00382CCD"/>
    <w:rsid w:val="0038311F"/>
    <w:rsid w:val="00383123"/>
    <w:rsid w:val="00383229"/>
    <w:rsid w:val="0038335A"/>
    <w:rsid w:val="003833E9"/>
    <w:rsid w:val="0038370B"/>
    <w:rsid w:val="00383724"/>
    <w:rsid w:val="00383A20"/>
    <w:rsid w:val="00383D76"/>
    <w:rsid w:val="00384211"/>
    <w:rsid w:val="00384A27"/>
    <w:rsid w:val="00384C1A"/>
    <w:rsid w:val="00384D57"/>
    <w:rsid w:val="00385C46"/>
    <w:rsid w:val="00385D26"/>
    <w:rsid w:val="00385FDE"/>
    <w:rsid w:val="003866DF"/>
    <w:rsid w:val="00386CB8"/>
    <w:rsid w:val="00386E0D"/>
    <w:rsid w:val="00386E2A"/>
    <w:rsid w:val="00386E2F"/>
    <w:rsid w:val="00386FC4"/>
    <w:rsid w:val="00387505"/>
    <w:rsid w:val="00387529"/>
    <w:rsid w:val="0038764F"/>
    <w:rsid w:val="00387A49"/>
    <w:rsid w:val="00387F09"/>
    <w:rsid w:val="00387FB4"/>
    <w:rsid w:val="0039023C"/>
    <w:rsid w:val="0039029A"/>
    <w:rsid w:val="003908C2"/>
    <w:rsid w:val="00390F1A"/>
    <w:rsid w:val="0039137C"/>
    <w:rsid w:val="00391642"/>
    <w:rsid w:val="00391656"/>
    <w:rsid w:val="00391816"/>
    <w:rsid w:val="00391C5E"/>
    <w:rsid w:val="00391C8B"/>
    <w:rsid w:val="00391CBC"/>
    <w:rsid w:val="00391F6D"/>
    <w:rsid w:val="0039207C"/>
    <w:rsid w:val="00392225"/>
    <w:rsid w:val="003924CF"/>
    <w:rsid w:val="00392606"/>
    <w:rsid w:val="003938CD"/>
    <w:rsid w:val="0039391D"/>
    <w:rsid w:val="00393C36"/>
    <w:rsid w:val="00393D23"/>
    <w:rsid w:val="00393DDC"/>
    <w:rsid w:val="003946F3"/>
    <w:rsid w:val="00394864"/>
    <w:rsid w:val="003952BC"/>
    <w:rsid w:val="00395757"/>
    <w:rsid w:val="00395D74"/>
    <w:rsid w:val="00396273"/>
    <w:rsid w:val="003967F9"/>
    <w:rsid w:val="00396865"/>
    <w:rsid w:val="003968F0"/>
    <w:rsid w:val="0039693A"/>
    <w:rsid w:val="00396B51"/>
    <w:rsid w:val="00396D5B"/>
    <w:rsid w:val="00396E4B"/>
    <w:rsid w:val="0039796B"/>
    <w:rsid w:val="00397F9F"/>
    <w:rsid w:val="003A00BC"/>
    <w:rsid w:val="003A0508"/>
    <w:rsid w:val="003A07D5"/>
    <w:rsid w:val="003A094A"/>
    <w:rsid w:val="003A0E96"/>
    <w:rsid w:val="003A0F4D"/>
    <w:rsid w:val="003A1126"/>
    <w:rsid w:val="003A18DA"/>
    <w:rsid w:val="003A1DDB"/>
    <w:rsid w:val="003A1EDB"/>
    <w:rsid w:val="003A200C"/>
    <w:rsid w:val="003A228E"/>
    <w:rsid w:val="003A256A"/>
    <w:rsid w:val="003A25DF"/>
    <w:rsid w:val="003A26BC"/>
    <w:rsid w:val="003A29F5"/>
    <w:rsid w:val="003A2AEA"/>
    <w:rsid w:val="003A2D3D"/>
    <w:rsid w:val="003A3190"/>
    <w:rsid w:val="003A32B9"/>
    <w:rsid w:val="003A3377"/>
    <w:rsid w:val="003A350F"/>
    <w:rsid w:val="003A3C3A"/>
    <w:rsid w:val="003A3E80"/>
    <w:rsid w:val="003A4002"/>
    <w:rsid w:val="003A4502"/>
    <w:rsid w:val="003A465B"/>
    <w:rsid w:val="003A4839"/>
    <w:rsid w:val="003A4850"/>
    <w:rsid w:val="003A4B1A"/>
    <w:rsid w:val="003A4CF8"/>
    <w:rsid w:val="003A4DB3"/>
    <w:rsid w:val="003A4EF3"/>
    <w:rsid w:val="003A50A9"/>
    <w:rsid w:val="003A53CD"/>
    <w:rsid w:val="003A5470"/>
    <w:rsid w:val="003A5C13"/>
    <w:rsid w:val="003A5EC5"/>
    <w:rsid w:val="003A6405"/>
    <w:rsid w:val="003A6680"/>
    <w:rsid w:val="003A7438"/>
    <w:rsid w:val="003A76F7"/>
    <w:rsid w:val="003A780C"/>
    <w:rsid w:val="003A78BD"/>
    <w:rsid w:val="003A7B43"/>
    <w:rsid w:val="003A7B63"/>
    <w:rsid w:val="003A7CD4"/>
    <w:rsid w:val="003A7FA6"/>
    <w:rsid w:val="003B01A0"/>
    <w:rsid w:val="003B029A"/>
    <w:rsid w:val="003B02B1"/>
    <w:rsid w:val="003B05E7"/>
    <w:rsid w:val="003B0A8A"/>
    <w:rsid w:val="003B0BE1"/>
    <w:rsid w:val="003B0DCC"/>
    <w:rsid w:val="003B1546"/>
    <w:rsid w:val="003B1832"/>
    <w:rsid w:val="003B1833"/>
    <w:rsid w:val="003B1A02"/>
    <w:rsid w:val="003B1B4F"/>
    <w:rsid w:val="003B1C1D"/>
    <w:rsid w:val="003B1D8A"/>
    <w:rsid w:val="003B1FB9"/>
    <w:rsid w:val="003B20AB"/>
    <w:rsid w:val="003B22A8"/>
    <w:rsid w:val="003B2D3C"/>
    <w:rsid w:val="003B317B"/>
    <w:rsid w:val="003B3409"/>
    <w:rsid w:val="003B35CD"/>
    <w:rsid w:val="003B3792"/>
    <w:rsid w:val="003B3BB2"/>
    <w:rsid w:val="003B3C00"/>
    <w:rsid w:val="003B3F76"/>
    <w:rsid w:val="003B4124"/>
    <w:rsid w:val="003B48D6"/>
    <w:rsid w:val="003B4A1E"/>
    <w:rsid w:val="003B4F41"/>
    <w:rsid w:val="003B50B1"/>
    <w:rsid w:val="003B51F4"/>
    <w:rsid w:val="003B55E3"/>
    <w:rsid w:val="003B5E35"/>
    <w:rsid w:val="003B639F"/>
    <w:rsid w:val="003B68D1"/>
    <w:rsid w:val="003B6AAB"/>
    <w:rsid w:val="003B6E06"/>
    <w:rsid w:val="003B6E88"/>
    <w:rsid w:val="003B7177"/>
    <w:rsid w:val="003B734F"/>
    <w:rsid w:val="003B7733"/>
    <w:rsid w:val="003B77BE"/>
    <w:rsid w:val="003C0190"/>
    <w:rsid w:val="003C04EA"/>
    <w:rsid w:val="003C0548"/>
    <w:rsid w:val="003C0D86"/>
    <w:rsid w:val="003C0DB6"/>
    <w:rsid w:val="003C1282"/>
    <w:rsid w:val="003C1547"/>
    <w:rsid w:val="003C185B"/>
    <w:rsid w:val="003C1E60"/>
    <w:rsid w:val="003C1FE0"/>
    <w:rsid w:val="003C2076"/>
    <w:rsid w:val="003C232C"/>
    <w:rsid w:val="003C2472"/>
    <w:rsid w:val="003C2651"/>
    <w:rsid w:val="003C2BE0"/>
    <w:rsid w:val="003C2CFB"/>
    <w:rsid w:val="003C2D55"/>
    <w:rsid w:val="003C2E3F"/>
    <w:rsid w:val="003C344F"/>
    <w:rsid w:val="003C363C"/>
    <w:rsid w:val="003C3A7A"/>
    <w:rsid w:val="003C3B09"/>
    <w:rsid w:val="003C3FB7"/>
    <w:rsid w:val="003C448C"/>
    <w:rsid w:val="003C4539"/>
    <w:rsid w:val="003C4599"/>
    <w:rsid w:val="003C46A7"/>
    <w:rsid w:val="003C4785"/>
    <w:rsid w:val="003C4883"/>
    <w:rsid w:val="003C49A2"/>
    <w:rsid w:val="003C4B2A"/>
    <w:rsid w:val="003C4F3B"/>
    <w:rsid w:val="003C516E"/>
    <w:rsid w:val="003C52A5"/>
    <w:rsid w:val="003C52F2"/>
    <w:rsid w:val="003C5316"/>
    <w:rsid w:val="003C549A"/>
    <w:rsid w:val="003C5A0F"/>
    <w:rsid w:val="003C5CB7"/>
    <w:rsid w:val="003C6608"/>
    <w:rsid w:val="003C6BF2"/>
    <w:rsid w:val="003C6DE7"/>
    <w:rsid w:val="003C7358"/>
    <w:rsid w:val="003C74F9"/>
    <w:rsid w:val="003C76B2"/>
    <w:rsid w:val="003C7E07"/>
    <w:rsid w:val="003D01CD"/>
    <w:rsid w:val="003D060A"/>
    <w:rsid w:val="003D0977"/>
    <w:rsid w:val="003D09D6"/>
    <w:rsid w:val="003D0E66"/>
    <w:rsid w:val="003D0EB9"/>
    <w:rsid w:val="003D12A5"/>
    <w:rsid w:val="003D143E"/>
    <w:rsid w:val="003D14AF"/>
    <w:rsid w:val="003D15E9"/>
    <w:rsid w:val="003D19EC"/>
    <w:rsid w:val="003D19EF"/>
    <w:rsid w:val="003D1A18"/>
    <w:rsid w:val="003D1B4E"/>
    <w:rsid w:val="003D1DF5"/>
    <w:rsid w:val="003D1E0C"/>
    <w:rsid w:val="003D28C6"/>
    <w:rsid w:val="003D2BC2"/>
    <w:rsid w:val="003D2D83"/>
    <w:rsid w:val="003D2E6D"/>
    <w:rsid w:val="003D302B"/>
    <w:rsid w:val="003D37FA"/>
    <w:rsid w:val="003D3A90"/>
    <w:rsid w:val="003D3C63"/>
    <w:rsid w:val="003D3F18"/>
    <w:rsid w:val="003D3F7A"/>
    <w:rsid w:val="003D442E"/>
    <w:rsid w:val="003D44F9"/>
    <w:rsid w:val="003D491F"/>
    <w:rsid w:val="003D4C96"/>
    <w:rsid w:val="003D5132"/>
    <w:rsid w:val="003D548B"/>
    <w:rsid w:val="003D54EA"/>
    <w:rsid w:val="003D55DB"/>
    <w:rsid w:val="003D5961"/>
    <w:rsid w:val="003D59A4"/>
    <w:rsid w:val="003D5A41"/>
    <w:rsid w:val="003D5A9D"/>
    <w:rsid w:val="003D5BD2"/>
    <w:rsid w:val="003D6343"/>
    <w:rsid w:val="003D6464"/>
    <w:rsid w:val="003D6B86"/>
    <w:rsid w:val="003D6DAE"/>
    <w:rsid w:val="003D6E67"/>
    <w:rsid w:val="003D71AC"/>
    <w:rsid w:val="003E0299"/>
    <w:rsid w:val="003E02F0"/>
    <w:rsid w:val="003E0E72"/>
    <w:rsid w:val="003E12C9"/>
    <w:rsid w:val="003E152E"/>
    <w:rsid w:val="003E1FE9"/>
    <w:rsid w:val="003E20D7"/>
    <w:rsid w:val="003E2547"/>
    <w:rsid w:val="003E28B1"/>
    <w:rsid w:val="003E3070"/>
    <w:rsid w:val="003E330F"/>
    <w:rsid w:val="003E3AA1"/>
    <w:rsid w:val="003E40A9"/>
    <w:rsid w:val="003E42F0"/>
    <w:rsid w:val="003E445D"/>
    <w:rsid w:val="003E4662"/>
    <w:rsid w:val="003E488D"/>
    <w:rsid w:val="003E4B4C"/>
    <w:rsid w:val="003E4C67"/>
    <w:rsid w:val="003E51B8"/>
    <w:rsid w:val="003E5254"/>
    <w:rsid w:val="003E5762"/>
    <w:rsid w:val="003E5881"/>
    <w:rsid w:val="003E5E11"/>
    <w:rsid w:val="003E5EFC"/>
    <w:rsid w:val="003E6664"/>
    <w:rsid w:val="003E6881"/>
    <w:rsid w:val="003E6DB0"/>
    <w:rsid w:val="003E6E71"/>
    <w:rsid w:val="003E7288"/>
    <w:rsid w:val="003E7364"/>
    <w:rsid w:val="003E7EC3"/>
    <w:rsid w:val="003F01EE"/>
    <w:rsid w:val="003F0718"/>
    <w:rsid w:val="003F084A"/>
    <w:rsid w:val="003F087B"/>
    <w:rsid w:val="003F0ECF"/>
    <w:rsid w:val="003F0F84"/>
    <w:rsid w:val="003F11DC"/>
    <w:rsid w:val="003F12D5"/>
    <w:rsid w:val="003F14E9"/>
    <w:rsid w:val="003F1647"/>
    <w:rsid w:val="003F1B8D"/>
    <w:rsid w:val="003F1BAF"/>
    <w:rsid w:val="003F1CE5"/>
    <w:rsid w:val="003F1F27"/>
    <w:rsid w:val="003F2337"/>
    <w:rsid w:val="003F240C"/>
    <w:rsid w:val="003F2601"/>
    <w:rsid w:val="003F26A3"/>
    <w:rsid w:val="003F2B31"/>
    <w:rsid w:val="003F2B7F"/>
    <w:rsid w:val="003F319D"/>
    <w:rsid w:val="003F3497"/>
    <w:rsid w:val="003F353D"/>
    <w:rsid w:val="003F385B"/>
    <w:rsid w:val="003F39E0"/>
    <w:rsid w:val="003F3C21"/>
    <w:rsid w:val="003F3FAD"/>
    <w:rsid w:val="003F41A0"/>
    <w:rsid w:val="003F4719"/>
    <w:rsid w:val="003F4F0C"/>
    <w:rsid w:val="003F4FEF"/>
    <w:rsid w:val="003F57CE"/>
    <w:rsid w:val="003F5A47"/>
    <w:rsid w:val="003F5AEE"/>
    <w:rsid w:val="003F5C2B"/>
    <w:rsid w:val="003F5D20"/>
    <w:rsid w:val="003F5E0D"/>
    <w:rsid w:val="003F5F20"/>
    <w:rsid w:val="003F6159"/>
    <w:rsid w:val="003F621D"/>
    <w:rsid w:val="003F653F"/>
    <w:rsid w:val="003F6A87"/>
    <w:rsid w:val="003F6B98"/>
    <w:rsid w:val="003F6BC2"/>
    <w:rsid w:val="003F6C3F"/>
    <w:rsid w:val="003F6D0A"/>
    <w:rsid w:val="003F6E11"/>
    <w:rsid w:val="003F6F46"/>
    <w:rsid w:val="003F6F98"/>
    <w:rsid w:val="003F6FFF"/>
    <w:rsid w:val="003F741E"/>
    <w:rsid w:val="003F7570"/>
    <w:rsid w:val="003F785E"/>
    <w:rsid w:val="003F7AA5"/>
    <w:rsid w:val="003F7ACF"/>
    <w:rsid w:val="003F7C28"/>
    <w:rsid w:val="003F7EBB"/>
    <w:rsid w:val="003F7EDF"/>
    <w:rsid w:val="003F7F2D"/>
    <w:rsid w:val="00400099"/>
    <w:rsid w:val="004002FF"/>
    <w:rsid w:val="004005A5"/>
    <w:rsid w:val="004005AD"/>
    <w:rsid w:val="00400767"/>
    <w:rsid w:val="004009E2"/>
    <w:rsid w:val="00400A2B"/>
    <w:rsid w:val="004012BA"/>
    <w:rsid w:val="0040137D"/>
    <w:rsid w:val="00401710"/>
    <w:rsid w:val="00401A2E"/>
    <w:rsid w:val="00401DC9"/>
    <w:rsid w:val="004025A7"/>
    <w:rsid w:val="0040282D"/>
    <w:rsid w:val="004028A8"/>
    <w:rsid w:val="00402932"/>
    <w:rsid w:val="00402941"/>
    <w:rsid w:val="00402EA2"/>
    <w:rsid w:val="00402FF0"/>
    <w:rsid w:val="00403049"/>
    <w:rsid w:val="00403074"/>
    <w:rsid w:val="0040310E"/>
    <w:rsid w:val="004036A4"/>
    <w:rsid w:val="00403A7F"/>
    <w:rsid w:val="004042BE"/>
    <w:rsid w:val="00404311"/>
    <w:rsid w:val="004049E2"/>
    <w:rsid w:val="00404C00"/>
    <w:rsid w:val="00404C6A"/>
    <w:rsid w:val="004052F8"/>
    <w:rsid w:val="00405377"/>
    <w:rsid w:val="0040542F"/>
    <w:rsid w:val="0040567E"/>
    <w:rsid w:val="00405B14"/>
    <w:rsid w:val="00405B5E"/>
    <w:rsid w:val="00405D3F"/>
    <w:rsid w:val="00405EC8"/>
    <w:rsid w:val="00405F21"/>
    <w:rsid w:val="00405FB4"/>
    <w:rsid w:val="00406127"/>
    <w:rsid w:val="00406190"/>
    <w:rsid w:val="0040666F"/>
    <w:rsid w:val="00406772"/>
    <w:rsid w:val="00406D5E"/>
    <w:rsid w:val="00406F76"/>
    <w:rsid w:val="0040724E"/>
    <w:rsid w:val="004072BA"/>
    <w:rsid w:val="00407A2F"/>
    <w:rsid w:val="00407DCB"/>
    <w:rsid w:val="00407FE9"/>
    <w:rsid w:val="00410174"/>
    <w:rsid w:val="00410805"/>
    <w:rsid w:val="00410D56"/>
    <w:rsid w:val="0041106F"/>
    <w:rsid w:val="004113B7"/>
    <w:rsid w:val="004119E6"/>
    <w:rsid w:val="00411A7D"/>
    <w:rsid w:val="00411BC8"/>
    <w:rsid w:val="00411DCE"/>
    <w:rsid w:val="0041206F"/>
    <w:rsid w:val="00412128"/>
    <w:rsid w:val="0041244C"/>
    <w:rsid w:val="004125D3"/>
    <w:rsid w:val="004126C4"/>
    <w:rsid w:val="00412908"/>
    <w:rsid w:val="0041298E"/>
    <w:rsid w:val="00412C01"/>
    <w:rsid w:val="00412D92"/>
    <w:rsid w:val="00412E70"/>
    <w:rsid w:val="004138A4"/>
    <w:rsid w:val="00413E12"/>
    <w:rsid w:val="00413E44"/>
    <w:rsid w:val="00414059"/>
    <w:rsid w:val="004140B7"/>
    <w:rsid w:val="00414192"/>
    <w:rsid w:val="0041421D"/>
    <w:rsid w:val="0041456C"/>
    <w:rsid w:val="004145E4"/>
    <w:rsid w:val="00414A3B"/>
    <w:rsid w:val="00414D83"/>
    <w:rsid w:val="00414D8C"/>
    <w:rsid w:val="00414DF3"/>
    <w:rsid w:val="004150C9"/>
    <w:rsid w:val="00415244"/>
    <w:rsid w:val="00415330"/>
    <w:rsid w:val="0041537D"/>
    <w:rsid w:val="00415507"/>
    <w:rsid w:val="0041587D"/>
    <w:rsid w:val="00415A55"/>
    <w:rsid w:val="00415A84"/>
    <w:rsid w:val="00415C9E"/>
    <w:rsid w:val="00415E2F"/>
    <w:rsid w:val="00415F2D"/>
    <w:rsid w:val="0041652D"/>
    <w:rsid w:val="00416D98"/>
    <w:rsid w:val="00416EFC"/>
    <w:rsid w:val="004179A5"/>
    <w:rsid w:val="00417E52"/>
    <w:rsid w:val="00417FB2"/>
    <w:rsid w:val="00420640"/>
    <w:rsid w:val="004206D2"/>
    <w:rsid w:val="004207CB"/>
    <w:rsid w:val="00420999"/>
    <w:rsid w:val="00420DC6"/>
    <w:rsid w:val="00421036"/>
    <w:rsid w:val="004213A8"/>
    <w:rsid w:val="00421698"/>
    <w:rsid w:val="0042186D"/>
    <w:rsid w:val="00421A5F"/>
    <w:rsid w:val="00421BF8"/>
    <w:rsid w:val="00421C94"/>
    <w:rsid w:val="00422637"/>
    <w:rsid w:val="0042274C"/>
    <w:rsid w:val="004227CE"/>
    <w:rsid w:val="00422E60"/>
    <w:rsid w:val="00423385"/>
    <w:rsid w:val="004234F9"/>
    <w:rsid w:val="004236BA"/>
    <w:rsid w:val="004238C5"/>
    <w:rsid w:val="00423B99"/>
    <w:rsid w:val="00423C2A"/>
    <w:rsid w:val="004243F1"/>
    <w:rsid w:val="00424594"/>
    <w:rsid w:val="004245F2"/>
    <w:rsid w:val="00424899"/>
    <w:rsid w:val="00424C01"/>
    <w:rsid w:val="00424CC0"/>
    <w:rsid w:val="00424D6C"/>
    <w:rsid w:val="0042533B"/>
    <w:rsid w:val="004257F5"/>
    <w:rsid w:val="00426A93"/>
    <w:rsid w:val="00426CC3"/>
    <w:rsid w:val="00426F3B"/>
    <w:rsid w:val="00427079"/>
    <w:rsid w:val="00427171"/>
    <w:rsid w:val="0042743E"/>
    <w:rsid w:val="004274C3"/>
    <w:rsid w:val="00427916"/>
    <w:rsid w:val="0042791D"/>
    <w:rsid w:val="00427D40"/>
    <w:rsid w:val="00427E86"/>
    <w:rsid w:val="00427FBB"/>
    <w:rsid w:val="0043008B"/>
    <w:rsid w:val="004305AA"/>
    <w:rsid w:val="00430848"/>
    <w:rsid w:val="00430ACA"/>
    <w:rsid w:val="00430BE7"/>
    <w:rsid w:val="00430D88"/>
    <w:rsid w:val="00430DCB"/>
    <w:rsid w:val="004312F2"/>
    <w:rsid w:val="00431B81"/>
    <w:rsid w:val="00431C3D"/>
    <w:rsid w:val="00431F9E"/>
    <w:rsid w:val="00432178"/>
    <w:rsid w:val="00432189"/>
    <w:rsid w:val="00432292"/>
    <w:rsid w:val="00432871"/>
    <w:rsid w:val="00432C5C"/>
    <w:rsid w:val="00432EC5"/>
    <w:rsid w:val="00432F7A"/>
    <w:rsid w:val="00432F9B"/>
    <w:rsid w:val="0043334B"/>
    <w:rsid w:val="004335F2"/>
    <w:rsid w:val="00433F92"/>
    <w:rsid w:val="00434337"/>
    <w:rsid w:val="004343D6"/>
    <w:rsid w:val="00434977"/>
    <w:rsid w:val="004349E7"/>
    <w:rsid w:val="00434A3F"/>
    <w:rsid w:val="0043528F"/>
    <w:rsid w:val="004355ED"/>
    <w:rsid w:val="0043578D"/>
    <w:rsid w:val="0043625A"/>
    <w:rsid w:val="00436419"/>
    <w:rsid w:val="0043642E"/>
    <w:rsid w:val="00437003"/>
    <w:rsid w:val="0043751E"/>
    <w:rsid w:val="00437662"/>
    <w:rsid w:val="00437F02"/>
    <w:rsid w:val="004402B5"/>
    <w:rsid w:val="00440386"/>
    <w:rsid w:val="004403D5"/>
    <w:rsid w:val="004408CB"/>
    <w:rsid w:val="00440C53"/>
    <w:rsid w:val="00440CAD"/>
    <w:rsid w:val="00440E98"/>
    <w:rsid w:val="00440FDD"/>
    <w:rsid w:val="0044126A"/>
    <w:rsid w:val="004419B2"/>
    <w:rsid w:val="00441A06"/>
    <w:rsid w:val="00441A8A"/>
    <w:rsid w:val="00441C36"/>
    <w:rsid w:val="00441C74"/>
    <w:rsid w:val="004423F5"/>
    <w:rsid w:val="00442C7B"/>
    <w:rsid w:val="00442D22"/>
    <w:rsid w:val="00442FEB"/>
    <w:rsid w:val="00443041"/>
    <w:rsid w:val="00443091"/>
    <w:rsid w:val="00443418"/>
    <w:rsid w:val="00443602"/>
    <w:rsid w:val="004436FD"/>
    <w:rsid w:val="00445060"/>
    <w:rsid w:val="00445191"/>
    <w:rsid w:val="00445982"/>
    <w:rsid w:val="00445C22"/>
    <w:rsid w:val="00445DCB"/>
    <w:rsid w:val="00445E98"/>
    <w:rsid w:val="00445F71"/>
    <w:rsid w:val="00446050"/>
    <w:rsid w:val="004464AB"/>
    <w:rsid w:val="004464DA"/>
    <w:rsid w:val="004464EA"/>
    <w:rsid w:val="00446AC2"/>
    <w:rsid w:val="004473D8"/>
    <w:rsid w:val="00447520"/>
    <w:rsid w:val="0044766A"/>
    <w:rsid w:val="004476E0"/>
    <w:rsid w:val="00447842"/>
    <w:rsid w:val="00447D98"/>
    <w:rsid w:val="004503B8"/>
    <w:rsid w:val="0045064F"/>
    <w:rsid w:val="004507E6"/>
    <w:rsid w:val="004508AB"/>
    <w:rsid w:val="0045095A"/>
    <w:rsid w:val="00450A94"/>
    <w:rsid w:val="00450DA2"/>
    <w:rsid w:val="00451665"/>
    <w:rsid w:val="00451689"/>
    <w:rsid w:val="004518D2"/>
    <w:rsid w:val="00451B60"/>
    <w:rsid w:val="00451E2A"/>
    <w:rsid w:val="004521F7"/>
    <w:rsid w:val="00452BC9"/>
    <w:rsid w:val="00453001"/>
    <w:rsid w:val="004533F6"/>
    <w:rsid w:val="00453662"/>
    <w:rsid w:val="00453805"/>
    <w:rsid w:val="0045398A"/>
    <w:rsid w:val="00453BBA"/>
    <w:rsid w:val="00453BC8"/>
    <w:rsid w:val="00453BD2"/>
    <w:rsid w:val="00453CA1"/>
    <w:rsid w:val="00453CC0"/>
    <w:rsid w:val="00453DBF"/>
    <w:rsid w:val="00453E4C"/>
    <w:rsid w:val="00453E77"/>
    <w:rsid w:val="0045408A"/>
    <w:rsid w:val="00454150"/>
    <w:rsid w:val="00454384"/>
    <w:rsid w:val="00454BDF"/>
    <w:rsid w:val="004550DC"/>
    <w:rsid w:val="00455E39"/>
    <w:rsid w:val="004564F7"/>
    <w:rsid w:val="00456506"/>
    <w:rsid w:val="00456875"/>
    <w:rsid w:val="0045690D"/>
    <w:rsid w:val="00456C47"/>
    <w:rsid w:val="004570B2"/>
    <w:rsid w:val="004572B9"/>
    <w:rsid w:val="00457C62"/>
    <w:rsid w:val="00457C7A"/>
    <w:rsid w:val="00457F55"/>
    <w:rsid w:val="004606D4"/>
    <w:rsid w:val="0046096D"/>
    <w:rsid w:val="004609C6"/>
    <w:rsid w:val="00461026"/>
    <w:rsid w:val="0046126F"/>
    <w:rsid w:val="004613FE"/>
    <w:rsid w:val="0046169A"/>
    <w:rsid w:val="00461AA1"/>
    <w:rsid w:val="00461AAE"/>
    <w:rsid w:val="00461BD2"/>
    <w:rsid w:val="00461C76"/>
    <w:rsid w:val="004620DB"/>
    <w:rsid w:val="0046270C"/>
    <w:rsid w:val="0046280A"/>
    <w:rsid w:val="00462D36"/>
    <w:rsid w:val="00462D50"/>
    <w:rsid w:val="00462EE0"/>
    <w:rsid w:val="00462F6B"/>
    <w:rsid w:val="00463738"/>
    <w:rsid w:val="004637F5"/>
    <w:rsid w:val="00463C2F"/>
    <w:rsid w:val="00463DFE"/>
    <w:rsid w:val="00463F6F"/>
    <w:rsid w:val="004642D1"/>
    <w:rsid w:val="004643F0"/>
    <w:rsid w:val="004644A0"/>
    <w:rsid w:val="00464544"/>
    <w:rsid w:val="00464885"/>
    <w:rsid w:val="00464DC6"/>
    <w:rsid w:val="00464EF7"/>
    <w:rsid w:val="00464FA2"/>
    <w:rsid w:val="0046505D"/>
    <w:rsid w:val="004650B8"/>
    <w:rsid w:val="0046526E"/>
    <w:rsid w:val="00465314"/>
    <w:rsid w:val="00465550"/>
    <w:rsid w:val="00465646"/>
    <w:rsid w:val="00465BEE"/>
    <w:rsid w:val="00465F2F"/>
    <w:rsid w:val="004660A1"/>
    <w:rsid w:val="004662F9"/>
    <w:rsid w:val="00466422"/>
    <w:rsid w:val="004665E1"/>
    <w:rsid w:val="004665E8"/>
    <w:rsid w:val="004665F8"/>
    <w:rsid w:val="00466ACC"/>
    <w:rsid w:val="00467339"/>
    <w:rsid w:val="00467619"/>
    <w:rsid w:val="00467657"/>
    <w:rsid w:val="0046786A"/>
    <w:rsid w:val="00467DDC"/>
    <w:rsid w:val="00470192"/>
    <w:rsid w:val="0047026A"/>
    <w:rsid w:val="004706C8"/>
    <w:rsid w:val="00470A80"/>
    <w:rsid w:val="004711AE"/>
    <w:rsid w:val="00471282"/>
    <w:rsid w:val="004719C6"/>
    <w:rsid w:val="00471C06"/>
    <w:rsid w:val="004723F1"/>
    <w:rsid w:val="00472453"/>
    <w:rsid w:val="00472653"/>
    <w:rsid w:val="00472E44"/>
    <w:rsid w:val="00473094"/>
    <w:rsid w:val="004730DC"/>
    <w:rsid w:val="00473549"/>
    <w:rsid w:val="00473569"/>
    <w:rsid w:val="00473BE5"/>
    <w:rsid w:val="00473F5C"/>
    <w:rsid w:val="00473FF4"/>
    <w:rsid w:val="004741A2"/>
    <w:rsid w:val="00474247"/>
    <w:rsid w:val="0047440B"/>
    <w:rsid w:val="00474727"/>
    <w:rsid w:val="004753DC"/>
    <w:rsid w:val="00475594"/>
    <w:rsid w:val="00475AF8"/>
    <w:rsid w:val="00476661"/>
    <w:rsid w:val="004766A7"/>
    <w:rsid w:val="004768C9"/>
    <w:rsid w:val="0047712E"/>
    <w:rsid w:val="004771D9"/>
    <w:rsid w:val="004777C4"/>
    <w:rsid w:val="00477DD9"/>
    <w:rsid w:val="00477F2F"/>
    <w:rsid w:val="00477F3E"/>
    <w:rsid w:val="0048065B"/>
    <w:rsid w:val="00480A81"/>
    <w:rsid w:val="00480BD6"/>
    <w:rsid w:val="0048126F"/>
    <w:rsid w:val="00481577"/>
    <w:rsid w:val="0048174A"/>
    <w:rsid w:val="00481B8F"/>
    <w:rsid w:val="00482168"/>
    <w:rsid w:val="0048267D"/>
    <w:rsid w:val="00482845"/>
    <w:rsid w:val="00482AF6"/>
    <w:rsid w:val="00482C3C"/>
    <w:rsid w:val="00482D0C"/>
    <w:rsid w:val="00482EE2"/>
    <w:rsid w:val="004836F3"/>
    <w:rsid w:val="004839B0"/>
    <w:rsid w:val="00483F25"/>
    <w:rsid w:val="00483FAF"/>
    <w:rsid w:val="0048436B"/>
    <w:rsid w:val="0048479E"/>
    <w:rsid w:val="004849A3"/>
    <w:rsid w:val="00484A9E"/>
    <w:rsid w:val="00484BEE"/>
    <w:rsid w:val="00484F9D"/>
    <w:rsid w:val="0048511C"/>
    <w:rsid w:val="0048542F"/>
    <w:rsid w:val="0048579A"/>
    <w:rsid w:val="0048587C"/>
    <w:rsid w:val="00485AFA"/>
    <w:rsid w:val="0048609E"/>
    <w:rsid w:val="0048664B"/>
    <w:rsid w:val="00486905"/>
    <w:rsid w:val="0048698B"/>
    <w:rsid w:val="004869BF"/>
    <w:rsid w:val="00486D20"/>
    <w:rsid w:val="00486F08"/>
    <w:rsid w:val="0048708F"/>
    <w:rsid w:val="00487371"/>
    <w:rsid w:val="004874E5"/>
    <w:rsid w:val="00487557"/>
    <w:rsid w:val="004875D7"/>
    <w:rsid w:val="00487AF6"/>
    <w:rsid w:val="00487CCA"/>
    <w:rsid w:val="00487FAD"/>
    <w:rsid w:val="00490014"/>
    <w:rsid w:val="004906F4"/>
    <w:rsid w:val="0049096F"/>
    <w:rsid w:val="00490D44"/>
    <w:rsid w:val="00490EEA"/>
    <w:rsid w:val="00490FD6"/>
    <w:rsid w:val="00491A6D"/>
    <w:rsid w:val="0049296F"/>
    <w:rsid w:val="00492C13"/>
    <w:rsid w:val="00492C7B"/>
    <w:rsid w:val="00492D00"/>
    <w:rsid w:val="0049327F"/>
    <w:rsid w:val="0049346B"/>
    <w:rsid w:val="00493B34"/>
    <w:rsid w:val="00493BF8"/>
    <w:rsid w:val="00493D71"/>
    <w:rsid w:val="00493F05"/>
    <w:rsid w:val="0049401B"/>
    <w:rsid w:val="00494157"/>
    <w:rsid w:val="00494B3F"/>
    <w:rsid w:val="00494DC6"/>
    <w:rsid w:val="00494EAF"/>
    <w:rsid w:val="00495000"/>
    <w:rsid w:val="0049509F"/>
    <w:rsid w:val="00495114"/>
    <w:rsid w:val="004953F2"/>
    <w:rsid w:val="00495650"/>
    <w:rsid w:val="0049572E"/>
    <w:rsid w:val="00495849"/>
    <w:rsid w:val="00496185"/>
    <w:rsid w:val="004962E5"/>
    <w:rsid w:val="0049652A"/>
    <w:rsid w:val="00496550"/>
    <w:rsid w:val="00496754"/>
    <w:rsid w:val="00496821"/>
    <w:rsid w:val="00496ADA"/>
    <w:rsid w:val="00496FA7"/>
    <w:rsid w:val="004972D1"/>
    <w:rsid w:val="00497435"/>
    <w:rsid w:val="00497439"/>
    <w:rsid w:val="004974C0"/>
    <w:rsid w:val="00497700"/>
    <w:rsid w:val="00497BF1"/>
    <w:rsid w:val="00497C70"/>
    <w:rsid w:val="00497DAB"/>
    <w:rsid w:val="00497E38"/>
    <w:rsid w:val="004A0432"/>
    <w:rsid w:val="004A0442"/>
    <w:rsid w:val="004A058D"/>
    <w:rsid w:val="004A0B1C"/>
    <w:rsid w:val="004A0BEC"/>
    <w:rsid w:val="004A10DE"/>
    <w:rsid w:val="004A12D8"/>
    <w:rsid w:val="004A131A"/>
    <w:rsid w:val="004A13DA"/>
    <w:rsid w:val="004A16E6"/>
    <w:rsid w:val="004A17CF"/>
    <w:rsid w:val="004A1B7D"/>
    <w:rsid w:val="004A1C7E"/>
    <w:rsid w:val="004A1D17"/>
    <w:rsid w:val="004A1F72"/>
    <w:rsid w:val="004A2061"/>
    <w:rsid w:val="004A214F"/>
    <w:rsid w:val="004A2229"/>
    <w:rsid w:val="004A2368"/>
    <w:rsid w:val="004A238C"/>
    <w:rsid w:val="004A28B1"/>
    <w:rsid w:val="004A28CF"/>
    <w:rsid w:val="004A2D0E"/>
    <w:rsid w:val="004A2E41"/>
    <w:rsid w:val="004A30FC"/>
    <w:rsid w:val="004A3261"/>
    <w:rsid w:val="004A328D"/>
    <w:rsid w:val="004A3306"/>
    <w:rsid w:val="004A34B4"/>
    <w:rsid w:val="004A352C"/>
    <w:rsid w:val="004A379C"/>
    <w:rsid w:val="004A39F1"/>
    <w:rsid w:val="004A3D2A"/>
    <w:rsid w:val="004A4152"/>
    <w:rsid w:val="004A4641"/>
    <w:rsid w:val="004A5946"/>
    <w:rsid w:val="004A5B09"/>
    <w:rsid w:val="004A5B6C"/>
    <w:rsid w:val="004A5C05"/>
    <w:rsid w:val="004A634B"/>
    <w:rsid w:val="004A6504"/>
    <w:rsid w:val="004A6702"/>
    <w:rsid w:val="004A6D72"/>
    <w:rsid w:val="004A6FF9"/>
    <w:rsid w:val="004A7064"/>
    <w:rsid w:val="004A7084"/>
    <w:rsid w:val="004A757A"/>
    <w:rsid w:val="004A7742"/>
    <w:rsid w:val="004A7757"/>
    <w:rsid w:val="004A779F"/>
    <w:rsid w:val="004A77D6"/>
    <w:rsid w:val="004A78D9"/>
    <w:rsid w:val="004A7AD5"/>
    <w:rsid w:val="004A7CAB"/>
    <w:rsid w:val="004A7D0D"/>
    <w:rsid w:val="004B00B1"/>
    <w:rsid w:val="004B05F9"/>
    <w:rsid w:val="004B07B3"/>
    <w:rsid w:val="004B086D"/>
    <w:rsid w:val="004B0AE6"/>
    <w:rsid w:val="004B0DD6"/>
    <w:rsid w:val="004B0DE2"/>
    <w:rsid w:val="004B107A"/>
    <w:rsid w:val="004B132C"/>
    <w:rsid w:val="004B138A"/>
    <w:rsid w:val="004B146B"/>
    <w:rsid w:val="004B1CA0"/>
    <w:rsid w:val="004B1EA5"/>
    <w:rsid w:val="004B1ECE"/>
    <w:rsid w:val="004B2212"/>
    <w:rsid w:val="004B24EE"/>
    <w:rsid w:val="004B2B02"/>
    <w:rsid w:val="004B2C9D"/>
    <w:rsid w:val="004B2CB8"/>
    <w:rsid w:val="004B33B7"/>
    <w:rsid w:val="004B3D29"/>
    <w:rsid w:val="004B403A"/>
    <w:rsid w:val="004B41D5"/>
    <w:rsid w:val="004B4657"/>
    <w:rsid w:val="004B4E31"/>
    <w:rsid w:val="004B5199"/>
    <w:rsid w:val="004B5204"/>
    <w:rsid w:val="004B53A6"/>
    <w:rsid w:val="004B565F"/>
    <w:rsid w:val="004B5761"/>
    <w:rsid w:val="004B5E3E"/>
    <w:rsid w:val="004B61A9"/>
    <w:rsid w:val="004B61B1"/>
    <w:rsid w:val="004B64CC"/>
    <w:rsid w:val="004B67F3"/>
    <w:rsid w:val="004B6B61"/>
    <w:rsid w:val="004B7393"/>
    <w:rsid w:val="004B7C18"/>
    <w:rsid w:val="004B7F3D"/>
    <w:rsid w:val="004C05C3"/>
    <w:rsid w:val="004C06F2"/>
    <w:rsid w:val="004C1052"/>
    <w:rsid w:val="004C1075"/>
    <w:rsid w:val="004C1929"/>
    <w:rsid w:val="004C1A32"/>
    <w:rsid w:val="004C1CB1"/>
    <w:rsid w:val="004C2076"/>
    <w:rsid w:val="004C20A3"/>
    <w:rsid w:val="004C20AD"/>
    <w:rsid w:val="004C20FF"/>
    <w:rsid w:val="004C2674"/>
    <w:rsid w:val="004C270F"/>
    <w:rsid w:val="004C27DA"/>
    <w:rsid w:val="004C2A44"/>
    <w:rsid w:val="004C2EEE"/>
    <w:rsid w:val="004C31B1"/>
    <w:rsid w:val="004C3368"/>
    <w:rsid w:val="004C3715"/>
    <w:rsid w:val="004C3D96"/>
    <w:rsid w:val="004C3E36"/>
    <w:rsid w:val="004C3F4A"/>
    <w:rsid w:val="004C4104"/>
    <w:rsid w:val="004C4217"/>
    <w:rsid w:val="004C4432"/>
    <w:rsid w:val="004C4540"/>
    <w:rsid w:val="004C4585"/>
    <w:rsid w:val="004C466D"/>
    <w:rsid w:val="004C48E9"/>
    <w:rsid w:val="004C5090"/>
    <w:rsid w:val="004C6126"/>
    <w:rsid w:val="004C6247"/>
    <w:rsid w:val="004C625F"/>
    <w:rsid w:val="004C6500"/>
    <w:rsid w:val="004C6687"/>
    <w:rsid w:val="004C66E8"/>
    <w:rsid w:val="004C6852"/>
    <w:rsid w:val="004C6F36"/>
    <w:rsid w:val="004C70EC"/>
    <w:rsid w:val="004C7143"/>
    <w:rsid w:val="004C7649"/>
    <w:rsid w:val="004C7A20"/>
    <w:rsid w:val="004C7C54"/>
    <w:rsid w:val="004C7CDA"/>
    <w:rsid w:val="004C7F2F"/>
    <w:rsid w:val="004D083E"/>
    <w:rsid w:val="004D0B78"/>
    <w:rsid w:val="004D1745"/>
    <w:rsid w:val="004D199C"/>
    <w:rsid w:val="004D2361"/>
    <w:rsid w:val="004D298F"/>
    <w:rsid w:val="004D2A8B"/>
    <w:rsid w:val="004D2E14"/>
    <w:rsid w:val="004D2EFA"/>
    <w:rsid w:val="004D30DB"/>
    <w:rsid w:val="004D310E"/>
    <w:rsid w:val="004D3784"/>
    <w:rsid w:val="004D3A4D"/>
    <w:rsid w:val="004D4005"/>
    <w:rsid w:val="004D4315"/>
    <w:rsid w:val="004D438F"/>
    <w:rsid w:val="004D44DC"/>
    <w:rsid w:val="004D462B"/>
    <w:rsid w:val="004D4683"/>
    <w:rsid w:val="004D4733"/>
    <w:rsid w:val="004D4B84"/>
    <w:rsid w:val="004D4E9B"/>
    <w:rsid w:val="004D4F95"/>
    <w:rsid w:val="004D5055"/>
    <w:rsid w:val="004D5115"/>
    <w:rsid w:val="004D56BC"/>
    <w:rsid w:val="004D595E"/>
    <w:rsid w:val="004D5A6C"/>
    <w:rsid w:val="004D5D88"/>
    <w:rsid w:val="004D5DA8"/>
    <w:rsid w:val="004D5DCA"/>
    <w:rsid w:val="004D62E3"/>
    <w:rsid w:val="004D64BD"/>
    <w:rsid w:val="004D6BDC"/>
    <w:rsid w:val="004D6DD7"/>
    <w:rsid w:val="004D6E05"/>
    <w:rsid w:val="004D6E91"/>
    <w:rsid w:val="004D6FE1"/>
    <w:rsid w:val="004D7083"/>
    <w:rsid w:val="004D7223"/>
    <w:rsid w:val="004D77D4"/>
    <w:rsid w:val="004D7B43"/>
    <w:rsid w:val="004D7B60"/>
    <w:rsid w:val="004D7C82"/>
    <w:rsid w:val="004D7D3C"/>
    <w:rsid w:val="004E0018"/>
    <w:rsid w:val="004E0299"/>
    <w:rsid w:val="004E0376"/>
    <w:rsid w:val="004E07AF"/>
    <w:rsid w:val="004E0ACF"/>
    <w:rsid w:val="004E1177"/>
    <w:rsid w:val="004E117B"/>
    <w:rsid w:val="004E1356"/>
    <w:rsid w:val="004E15DA"/>
    <w:rsid w:val="004E1776"/>
    <w:rsid w:val="004E196D"/>
    <w:rsid w:val="004E1B77"/>
    <w:rsid w:val="004E1D72"/>
    <w:rsid w:val="004E21E7"/>
    <w:rsid w:val="004E2797"/>
    <w:rsid w:val="004E28C9"/>
    <w:rsid w:val="004E2A29"/>
    <w:rsid w:val="004E352B"/>
    <w:rsid w:val="004E366A"/>
    <w:rsid w:val="004E37E8"/>
    <w:rsid w:val="004E3B7B"/>
    <w:rsid w:val="004E3F25"/>
    <w:rsid w:val="004E4195"/>
    <w:rsid w:val="004E41DC"/>
    <w:rsid w:val="004E44FA"/>
    <w:rsid w:val="004E4866"/>
    <w:rsid w:val="004E486D"/>
    <w:rsid w:val="004E519E"/>
    <w:rsid w:val="004E5255"/>
    <w:rsid w:val="004E5323"/>
    <w:rsid w:val="004E545A"/>
    <w:rsid w:val="004E5554"/>
    <w:rsid w:val="004E630C"/>
    <w:rsid w:val="004E6773"/>
    <w:rsid w:val="004E6D78"/>
    <w:rsid w:val="004E6E73"/>
    <w:rsid w:val="004E700C"/>
    <w:rsid w:val="004E713C"/>
    <w:rsid w:val="004E714B"/>
    <w:rsid w:val="004E7279"/>
    <w:rsid w:val="004E7280"/>
    <w:rsid w:val="004E7641"/>
    <w:rsid w:val="004E7B73"/>
    <w:rsid w:val="004F009E"/>
    <w:rsid w:val="004F010A"/>
    <w:rsid w:val="004F041C"/>
    <w:rsid w:val="004F041D"/>
    <w:rsid w:val="004F05A2"/>
    <w:rsid w:val="004F13EA"/>
    <w:rsid w:val="004F149E"/>
    <w:rsid w:val="004F1F94"/>
    <w:rsid w:val="004F20BA"/>
    <w:rsid w:val="004F211E"/>
    <w:rsid w:val="004F2142"/>
    <w:rsid w:val="004F217B"/>
    <w:rsid w:val="004F2396"/>
    <w:rsid w:val="004F2469"/>
    <w:rsid w:val="004F24E9"/>
    <w:rsid w:val="004F2C33"/>
    <w:rsid w:val="004F2F05"/>
    <w:rsid w:val="004F2F86"/>
    <w:rsid w:val="004F3014"/>
    <w:rsid w:val="004F308C"/>
    <w:rsid w:val="004F326F"/>
    <w:rsid w:val="004F3399"/>
    <w:rsid w:val="004F354E"/>
    <w:rsid w:val="004F356F"/>
    <w:rsid w:val="004F3875"/>
    <w:rsid w:val="004F3AEA"/>
    <w:rsid w:val="004F3BD1"/>
    <w:rsid w:val="004F3BDF"/>
    <w:rsid w:val="004F3D45"/>
    <w:rsid w:val="004F439B"/>
    <w:rsid w:val="004F4410"/>
    <w:rsid w:val="004F4AAE"/>
    <w:rsid w:val="004F4D34"/>
    <w:rsid w:val="004F4DD1"/>
    <w:rsid w:val="004F4E2E"/>
    <w:rsid w:val="004F4FEF"/>
    <w:rsid w:val="004F51DD"/>
    <w:rsid w:val="004F53E9"/>
    <w:rsid w:val="004F5421"/>
    <w:rsid w:val="004F5442"/>
    <w:rsid w:val="004F566C"/>
    <w:rsid w:val="004F5783"/>
    <w:rsid w:val="004F578B"/>
    <w:rsid w:val="004F5BEE"/>
    <w:rsid w:val="004F5FF6"/>
    <w:rsid w:val="004F6178"/>
    <w:rsid w:val="004F6538"/>
    <w:rsid w:val="004F6544"/>
    <w:rsid w:val="004F6905"/>
    <w:rsid w:val="004F697E"/>
    <w:rsid w:val="004F6A33"/>
    <w:rsid w:val="004F6BBD"/>
    <w:rsid w:val="004F6F38"/>
    <w:rsid w:val="004F6F5C"/>
    <w:rsid w:val="004F7514"/>
    <w:rsid w:val="004F79CF"/>
    <w:rsid w:val="004F7EF6"/>
    <w:rsid w:val="0050000E"/>
    <w:rsid w:val="00500160"/>
    <w:rsid w:val="0050017C"/>
    <w:rsid w:val="00500345"/>
    <w:rsid w:val="00500510"/>
    <w:rsid w:val="005005BC"/>
    <w:rsid w:val="00500BBD"/>
    <w:rsid w:val="00500E3B"/>
    <w:rsid w:val="00500EC1"/>
    <w:rsid w:val="00500FFC"/>
    <w:rsid w:val="00501043"/>
    <w:rsid w:val="00501427"/>
    <w:rsid w:val="005016DB"/>
    <w:rsid w:val="0050171B"/>
    <w:rsid w:val="005017C7"/>
    <w:rsid w:val="005017EF"/>
    <w:rsid w:val="00502286"/>
    <w:rsid w:val="005026DC"/>
    <w:rsid w:val="005027C6"/>
    <w:rsid w:val="00502FFC"/>
    <w:rsid w:val="005030C1"/>
    <w:rsid w:val="005031A4"/>
    <w:rsid w:val="005031C8"/>
    <w:rsid w:val="005034D6"/>
    <w:rsid w:val="005034E9"/>
    <w:rsid w:val="00504155"/>
    <w:rsid w:val="00504BC1"/>
    <w:rsid w:val="00504F43"/>
    <w:rsid w:val="005050C6"/>
    <w:rsid w:val="00505248"/>
    <w:rsid w:val="00505364"/>
    <w:rsid w:val="00505449"/>
    <w:rsid w:val="00505E3E"/>
    <w:rsid w:val="005060C3"/>
    <w:rsid w:val="0050618D"/>
    <w:rsid w:val="00506379"/>
    <w:rsid w:val="005064DD"/>
    <w:rsid w:val="0050672C"/>
    <w:rsid w:val="00506E34"/>
    <w:rsid w:val="0050719E"/>
    <w:rsid w:val="005077A3"/>
    <w:rsid w:val="0050794D"/>
    <w:rsid w:val="00507C78"/>
    <w:rsid w:val="00507F67"/>
    <w:rsid w:val="0051007E"/>
    <w:rsid w:val="005100E8"/>
    <w:rsid w:val="005101F9"/>
    <w:rsid w:val="005106F9"/>
    <w:rsid w:val="00510D11"/>
    <w:rsid w:val="00511602"/>
    <w:rsid w:val="00511EF5"/>
    <w:rsid w:val="005120DE"/>
    <w:rsid w:val="0051247E"/>
    <w:rsid w:val="005126C3"/>
    <w:rsid w:val="00512802"/>
    <w:rsid w:val="0051289C"/>
    <w:rsid w:val="00513067"/>
    <w:rsid w:val="00513610"/>
    <w:rsid w:val="0051371F"/>
    <w:rsid w:val="00513760"/>
    <w:rsid w:val="005144D7"/>
    <w:rsid w:val="005144DC"/>
    <w:rsid w:val="005144E2"/>
    <w:rsid w:val="00514ED2"/>
    <w:rsid w:val="00514FDD"/>
    <w:rsid w:val="00515047"/>
    <w:rsid w:val="005150AD"/>
    <w:rsid w:val="0051511F"/>
    <w:rsid w:val="00515157"/>
    <w:rsid w:val="005151A0"/>
    <w:rsid w:val="00515231"/>
    <w:rsid w:val="005152B6"/>
    <w:rsid w:val="005153BC"/>
    <w:rsid w:val="005154FE"/>
    <w:rsid w:val="005156E0"/>
    <w:rsid w:val="0051579F"/>
    <w:rsid w:val="0051583B"/>
    <w:rsid w:val="005158C6"/>
    <w:rsid w:val="00515BCE"/>
    <w:rsid w:val="00515D44"/>
    <w:rsid w:val="00515D9B"/>
    <w:rsid w:val="00515FB9"/>
    <w:rsid w:val="005163EB"/>
    <w:rsid w:val="00516AC2"/>
    <w:rsid w:val="00516C0F"/>
    <w:rsid w:val="00517203"/>
    <w:rsid w:val="005173B1"/>
    <w:rsid w:val="005173E8"/>
    <w:rsid w:val="005178D4"/>
    <w:rsid w:val="00517B45"/>
    <w:rsid w:val="00517B59"/>
    <w:rsid w:val="00517F1B"/>
    <w:rsid w:val="00520090"/>
    <w:rsid w:val="0052063B"/>
    <w:rsid w:val="00520641"/>
    <w:rsid w:val="00520660"/>
    <w:rsid w:val="005207CF"/>
    <w:rsid w:val="00520CCB"/>
    <w:rsid w:val="005210A6"/>
    <w:rsid w:val="005211AB"/>
    <w:rsid w:val="005212E8"/>
    <w:rsid w:val="005212FC"/>
    <w:rsid w:val="00521A07"/>
    <w:rsid w:val="00521CF8"/>
    <w:rsid w:val="00522251"/>
    <w:rsid w:val="00522401"/>
    <w:rsid w:val="00522456"/>
    <w:rsid w:val="0052258B"/>
    <w:rsid w:val="0052261D"/>
    <w:rsid w:val="005226FE"/>
    <w:rsid w:val="005227C0"/>
    <w:rsid w:val="005229AE"/>
    <w:rsid w:val="00522C4B"/>
    <w:rsid w:val="00522C81"/>
    <w:rsid w:val="00522CA7"/>
    <w:rsid w:val="00522D41"/>
    <w:rsid w:val="005231FE"/>
    <w:rsid w:val="00523238"/>
    <w:rsid w:val="005236D3"/>
    <w:rsid w:val="00523ED9"/>
    <w:rsid w:val="00524084"/>
    <w:rsid w:val="00524479"/>
    <w:rsid w:val="00524645"/>
    <w:rsid w:val="005246EF"/>
    <w:rsid w:val="0052495F"/>
    <w:rsid w:val="00524FD5"/>
    <w:rsid w:val="00525309"/>
    <w:rsid w:val="005256C3"/>
    <w:rsid w:val="005257B7"/>
    <w:rsid w:val="00525C30"/>
    <w:rsid w:val="00526126"/>
    <w:rsid w:val="005261BF"/>
    <w:rsid w:val="005262A8"/>
    <w:rsid w:val="00526F39"/>
    <w:rsid w:val="005270F3"/>
    <w:rsid w:val="00527212"/>
    <w:rsid w:val="00527771"/>
    <w:rsid w:val="00527772"/>
    <w:rsid w:val="00527844"/>
    <w:rsid w:val="00527A1A"/>
    <w:rsid w:val="00527C53"/>
    <w:rsid w:val="00527C81"/>
    <w:rsid w:val="00527D49"/>
    <w:rsid w:val="00527DE1"/>
    <w:rsid w:val="0053093A"/>
    <w:rsid w:val="0053214C"/>
    <w:rsid w:val="005322E7"/>
    <w:rsid w:val="005322F7"/>
    <w:rsid w:val="005326D9"/>
    <w:rsid w:val="00532999"/>
    <w:rsid w:val="00532C59"/>
    <w:rsid w:val="005334A7"/>
    <w:rsid w:val="00533540"/>
    <w:rsid w:val="00533767"/>
    <w:rsid w:val="00533A97"/>
    <w:rsid w:val="00533C14"/>
    <w:rsid w:val="00533C16"/>
    <w:rsid w:val="00533D10"/>
    <w:rsid w:val="00533D3E"/>
    <w:rsid w:val="00533D54"/>
    <w:rsid w:val="00533F32"/>
    <w:rsid w:val="00534196"/>
    <w:rsid w:val="00534475"/>
    <w:rsid w:val="0053465A"/>
    <w:rsid w:val="0053473E"/>
    <w:rsid w:val="00534AE1"/>
    <w:rsid w:val="00534CCF"/>
    <w:rsid w:val="00534FA0"/>
    <w:rsid w:val="0053565C"/>
    <w:rsid w:val="0053583F"/>
    <w:rsid w:val="005358C9"/>
    <w:rsid w:val="00535A4A"/>
    <w:rsid w:val="00536F67"/>
    <w:rsid w:val="00537454"/>
    <w:rsid w:val="00537A9C"/>
    <w:rsid w:val="00537B84"/>
    <w:rsid w:val="00537B93"/>
    <w:rsid w:val="00537C1A"/>
    <w:rsid w:val="00537F26"/>
    <w:rsid w:val="0054033A"/>
    <w:rsid w:val="005405A7"/>
    <w:rsid w:val="00540619"/>
    <w:rsid w:val="00540694"/>
    <w:rsid w:val="00540F1C"/>
    <w:rsid w:val="00541699"/>
    <w:rsid w:val="005419EA"/>
    <w:rsid w:val="00541BDB"/>
    <w:rsid w:val="00541BEB"/>
    <w:rsid w:val="00541D1D"/>
    <w:rsid w:val="005420A6"/>
    <w:rsid w:val="00542618"/>
    <w:rsid w:val="00542997"/>
    <w:rsid w:val="00542B1E"/>
    <w:rsid w:val="00542BE0"/>
    <w:rsid w:val="0054349D"/>
    <w:rsid w:val="0054362F"/>
    <w:rsid w:val="00543974"/>
    <w:rsid w:val="00543B11"/>
    <w:rsid w:val="005442E8"/>
    <w:rsid w:val="00544A65"/>
    <w:rsid w:val="00544C37"/>
    <w:rsid w:val="005451CA"/>
    <w:rsid w:val="0054529D"/>
    <w:rsid w:val="00545308"/>
    <w:rsid w:val="005454B1"/>
    <w:rsid w:val="005456E8"/>
    <w:rsid w:val="00545AE5"/>
    <w:rsid w:val="00545B58"/>
    <w:rsid w:val="00546388"/>
    <w:rsid w:val="005463D4"/>
    <w:rsid w:val="00546550"/>
    <w:rsid w:val="005466C8"/>
    <w:rsid w:val="00546BF1"/>
    <w:rsid w:val="00546FB9"/>
    <w:rsid w:val="00547251"/>
    <w:rsid w:val="005475C1"/>
    <w:rsid w:val="005477F7"/>
    <w:rsid w:val="005478BA"/>
    <w:rsid w:val="005478ED"/>
    <w:rsid w:val="00550136"/>
    <w:rsid w:val="005504F0"/>
    <w:rsid w:val="005508F2"/>
    <w:rsid w:val="00550B83"/>
    <w:rsid w:val="00550FA9"/>
    <w:rsid w:val="005515B3"/>
    <w:rsid w:val="005516F2"/>
    <w:rsid w:val="00551827"/>
    <w:rsid w:val="00551839"/>
    <w:rsid w:val="005518ED"/>
    <w:rsid w:val="00551922"/>
    <w:rsid w:val="005519FE"/>
    <w:rsid w:val="00551BA0"/>
    <w:rsid w:val="00551CFA"/>
    <w:rsid w:val="005524B2"/>
    <w:rsid w:val="00552EFC"/>
    <w:rsid w:val="005530D5"/>
    <w:rsid w:val="005530FA"/>
    <w:rsid w:val="00553329"/>
    <w:rsid w:val="0055335E"/>
    <w:rsid w:val="00553D61"/>
    <w:rsid w:val="00553D83"/>
    <w:rsid w:val="005540AA"/>
    <w:rsid w:val="00554925"/>
    <w:rsid w:val="005549E7"/>
    <w:rsid w:val="00554B90"/>
    <w:rsid w:val="00554EE4"/>
    <w:rsid w:val="005552B5"/>
    <w:rsid w:val="00555666"/>
    <w:rsid w:val="005556B8"/>
    <w:rsid w:val="0055594A"/>
    <w:rsid w:val="00555994"/>
    <w:rsid w:val="00555C4B"/>
    <w:rsid w:val="00555CDF"/>
    <w:rsid w:val="005561B9"/>
    <w:rsid w:val="005562EA"/>
    <w:rsid w:val="00556568"/>
    <w:rsid w:val="00556783"/>
    <w:rsid w:val="0055680F"/>
    <w:rsid w:val="005569C8"/>
    <w:rsid w:val="005569E9"/>
    <w:rsid w:val="005575CC"/>
    <w:rsid w:val="00557937"/>
    <w:rsid w:val="00557BFA"/>
    <w:rsid w:val="00557D1D"/>
    <w:rsid w:val="00557D99"/>
    <w:rsid w:val="00557EC0"/>
    <w:rsid w:val="00560462"/>
    <w:rsid w:val="0056091F"/>
    <w:rsid w:val="00560D90"/>
    <w:rsid w:val="0056129C"/>
    <w:rsid w:val="00561362"/>
    <w:rsid w:val="0056145F"/>
    <w:rsid w:val="00561752"/>
    <w:rsid w:val="00561873"/>
    <w:rsid w:val="005618CC"/>
    <w:rsid w:val="00561BDD"/>
    <w:rsid w:val="00561C43"/>
    <w:rsid w:val="00562171"/>
    <w:rsid w:val="00562530"/>
    <w:rsid w:val="0056254E"/>
    <w:rsid w:val="00562759"/>
    <w:rsid w:val="00562790"/>
    <w:rsid w:val="00562C46"/>
    <w:rsid w:val="00562DC9"/>
    <w:rsid w:val="00562E65"/>
    <w:rsid w:val="005637A8"/>
    <w:rsid w:val="00564019"/>
    <w:rsid w:val="00564387"/>
    <w:rsid w:val="005643E7"/>
    <w:rsid w:val="00564406"/>
    <w:rsid w:val="0056441B"/>
    <w:rsid w:val="00564576"/>
    <w:rsid w:val="00564589"/>
    <w:rsid w:val="005645AA"/>
    <w:rsid w:val="005649DD"/>
    <w:rsid w:val="00564AB8"/>
    <w:rsid w:val="00564B17"/>
    <w:rsid w:val="00564B7A"/>
    <w:rsid w:val="00564C2C"/>
    <w:rsid w:val="00564D48"/>
    <w:rsid w:val="00565045"/>
    <w:rsid w:val="005650A1"/>
    <w:rsid w:val="0056527A"/>
    <w:rsid w:val="00565C06"/>
    <w:rsid w:val="00565D74"/>
    <w:rsid w:val="00565E74"/>
    <w:rsid w:val="00565F83"/>
    <w:rsid w:val="00566111"/>
    <w:rsid w:val="00566336"/>
    <w:rsid w:val="00566997"/>
    <w:rsid w:val="00566C26"/>
    <w:rsid w:val="00566C6A"/>
    <w:rsid w:val="00567026"/>
    <w:rsid w:val="00567094"/>
    <w:rsid w:val="005671AE"/>
    <w:rsid w:val="00567A6E"/>
    <w:rsid w:val="00567DD9"/>
    <w:rsid w:val="00567DF9"/>
    <w:rsid w:val="00567FA2"/>
    <w:rsid w:val="00570203"/>
    <w:rsid w:val="00570B25"/>
    <w:rsid w:val="00570F32"/>
    <w:rsid w:val="00572602"/>
    <w:rsid w:val="00572A3D"/>
    <w:rsid w:val="00572B8C"/>
    <w:rsid w:val="0057322C"/>
    <w:rsid w:val="00573514"/>
    <w:rsid w:val="005739C3"/>
    <w:rsid w:val="00573A3B"/>
    <w:rsid w:val="00573F6E"/>
    <w:rsid w:val="00574855"/>
    <w:rsid w:val="00575022"/>
    <w:rsid w:val="005751F1"/>
    <w:rsid w:val="0057549B"/>
    <w:rsid w:val="00575C14"/>
    <w:rsid w:val="005762A5"/>
    <w:rsid w:val="005769F0"/>
    <w:rsid w:val="00576D16"/>
    <w:rsid w:val="00576DB1"/>
    <w:rsid w:val="00576F01"/>
    <w:rsid w:val="00577333"/>
    <w:rsid w:val="00577558"/>
    <w:rsid w:val="00577AE0"/>
    <w:rsid w:val="00577BD0"/>
    <w:rsid w:val="00577F21"/>
    <w:rsid w:val="00577F51"/>
    <w:rsid w:val="00577F7B"/>
    <w:rsid w:val="00577FAF"/>
    <w:rsid w:val="0058009A"/>
    <w:rsid w:val="005802DD"/>
    <w:rsid w:val="00580785"/>
    <w:rsid w:val="00580CE9"/>
    <w:rsid w:val="00580EB2"/>
    <w:rsid w:val="0058157C"/>
    <w:rsid w:val="00581AFB"/>
    <w:rsid w:val="00581BCF"/>
    <w:rsid w:val="00581C23"/>
    <w:rsid w:val="00581E2B"/>
    <w:rsid w:val="00581ED4"/>
    <w:rsid w:val="00581F20"/>
    <w:rsid w:val="00582146"/>
    <w:rsid w:val="005826EF"/>
    <w:rsid w:val="005827B4"/>
    <w:rsid w:val="0058295C"/>
    <w:rsid w:val="005829A8"/>
    <w:rsid w:val="00582D3C"/>
    <w:rsid w:val="0058300C"/>
    <w:rsid w:val="005831EC"/>
    <w:rsid w:val="005835B0"/>
    <w:rsid w:val="005837AC"/>
    <w:rsid w:val="00583B60"/>
    <w:rsid w:val="00583B9C"/>
    <w:rsid w:val="00583CFD"/>
    <w:rsid w:val="00583D72"/>
    <w:rsid w:val="00583DA6"/>
    <w:rsid w:val="00584383"/>
    <w:rsid w:val="005844D7"/>
    <w:rsid w:val="00584AB1"/>
    <w:rsid w:val="00584DF5"/>
    <w:rsid w:val="00584EE8"/>
    <w:rsid w:val="00585007"/>
    <w:rsid w:val="00585075"/>
    <w:rsid w:val="005852FE"/>
    <w:rsid w:val="00585380"/>
    <w:rsid w:val="00585A82"/>
    <w:rsid w:val="00585BEF"/>
    <w:rsid w:val="005860CB"/>
    <w:rsid w:val="00586499"/>
    <w:rsid w:val="00586901"/>
    <w:rsid w:val="00586E54"/>
    <w:rsid w:val="005871B4"/>
    <w:rsid w:val="0058745E"/>
    <w:rsid w:val="005876D5"/>
    <w:rsid w:val="00587731"/>
    <w:rsid w:val="00587E16"/>
    <w:rsid w:val="0059023B"/>
    <w:rsid w:val="0059054C"/>
    <w:rsid w:val="005905CB"/>
    <w:rsid w:val="00590C48"/>
    <w:rsid w:val="00590C5B"/>
    <w:rsid w:val="00590CA0"/>
    <w:rsid w:val="00590CE7"/>
    <w:rsid w:val="005912DE"/>
    <w:rsid w:val="005916CF"/>
    <w:rsid w:val="0059186F"/>
    <w:rsid w:val="005919B5"/>
    <w:rsid w:val="005919CE"/>
    <w:rsid w:val="00591B9B"/>
    <w:rsid w:val="0059202B"/>
    <w:rsid w:val="00592185"/>
    <w:rsid w:val="005922AD"/>
    <w:rsid w:val="0059256A"/>
    <w:rsid w:val="0059257E"/>
    <w:rsid w:val="00592742"/>
    <w:rsid w:val="00592881"/>
    <w:rsid w:val="0059288F"/>
    <w:rsid w:val="00592FD5"/>
    <w:rsid w:val="00593236"/>
    <w:rsid w:val="00593709"/>
    <w:rsid w:val="0059377F"/>
    <w:rsid w:val="00593EB4"/>
    <w:rsid w:val="0059464F"/>
    <w:rsid w:val="0059475C"/>
    <w:rsid w:val="00594EB2"/>
    <w:rsid w:val="00594FA3"/>
    <w:rsid w:val="005951EF"/>
    <w:rsid w:val="0059525B"/>
    <w:rsid w:val="00595782"/>
    <w:rsid w:val="00595A1F"/>
    <w:rsid w:val="00595D2A"/>
    <w:rsid w:val="005964E4"/>
    <w:rsid w:val="0059655F"/>
    <w:rsid w:val="00596561"/>
    <w:rsid w:val="00596714"/>
    <w:rsid w:val="00596962"/>
    <w:rsid w:val="00596A76"/>
    <w:rsid w:val="00596AA6"/>
    <w:rsid w:val="00597103"/>
    <w:rsid w:val="00597197"/>
    <w:rsid w:val="0059761B"/>
    <w:rsid w:val="0059779F"/>
    <w:rsid w:val="005977DE"/>
    <w:rsid w:val="005A009D"/>
    <w:rsid w:val="005A027C"/>
    <w:rsid w:val="005A07C5"/>
    <w:rsid w:val="005A0D2A"/>
    <w:rsid w:val="005A1136"/>
    <w:rsid w:val="005A1291"/>
    <w:rsid w:val="005A1543"/>
    <w:rsid w:val="005A17B5"/>
    <w:rsid w:val="005A1853"/>
    <w:rsid w:val="005A1DC7"/>
    <w:rsid w:val="005A1F5C"/>
    <w:rsid w:val="005A2219"/>
    <w:rsid w:val="005A2384"/>
    <w:rsid w:val="005A23C5"/>
    <w:rsid w:val="005A2A38"/>
    <w:rsid w:val="005A3268"/>
    <w:rsid w:val="005A32F0"/>
    <w:rsid w:val="005A338F"/>
    <w:rsid w:val="005A34CE"/>
    <w:rsid w:val="005A3803"/>
    <w:rsid w:val="005A3A42"/>
    <w:rsid w:val="005A3A7C"/>
    <w:rsid w:val="005A3CE2"/>
    <w:rsid w:val="005A3D2D"/>
    <w:rsid w:val="005A4011"/>
    <w:rsid w:val="005A4190"/>
    <w:rsid w:val="005A4319"/>
    <w:rsid w:val="005A4408"/>
    <w:rsid w:val="005A45B1"/>
    <w:rsid w:val="005A465A"/>
    <w:rsid w:val="005A4873"/>
    <w:rsid w:val="005A494F"/>
    <w:rsid w:val="005A4C46"/>
    <w:rsid w:val="005A4CFB"/>
    <w:rsid w:val="005A52B1"/>
    <w:rsid w:val="005A5592"/>
    <w:rsid w:val="005A5697"/>
    <w:rsid w:val="005A5864"/>
    <w:rsid w:val="005A5A1F"/>
    <w:rsid w:val="005A5C24"/>
    <w:rsid w:val="005A5D2E"/>
    <w:rsid w:val="005A5E64"/>
    <w:rsid w:val="005A5FEA"/>
    <w:rsid w:val="005A61C6"/>
    <w:rsid w:val="005A6232"/>
    <w:rsid w:val="005A6310"/>
    <w:rsid w:val="005A647C"/>
    <w:rsid w:val="005A6537"/>
    <w:rsid w:val="005A657D"/>
    <w:rsid w:val="005A6893"/>
    <w:rsid w:val="005A68C9"/>
    <w:rsid w:val="005A6A25"/>
    <w:rsid w:val="005A6A44"/>
    <w:rsid w:val="005A6D93"/>
    <w:rsid w:val="005A6F8D"/>
    <w:rsid w:val="005A720A"/>
    <w:rsid w:val="005A7222"/>
    <w:rsid w:val="005A7772"/>
    <w:rsid w:val="005A785B"/>
    <w:rsid w:val="005A7864"/>
    <w:rsid w:val="005A78C2"/>
    <w:rsid w:val="005A7CE4"/>
    <w:rsid w:val="005A7EAD"/>
    <w:rsid w:val="005A7F16"/>
    <w:rsid w:val="005A7FC8"/>
    <w:rsid w:val="005B0020"/>
    <w:rsid w:val="005B0695"/>
    <w:rsid w:val="005B074B"/>
    <w:rsid w:val="005B15C4"/>
    <w:rsid w:val="005B1BB7"/>
    <w:rsid w:val="005B1BF4"/>
    <w:rsid w:val="005B1CD8"/>
    <w:rsid w:val="005B2125"/>
    <w:rsid w:val="005B2160"/>
    <w:rsid w:val="005B2260"/>
    <w:rsid w:val="005B23E8"/>
    <w:rsid w:val="005B2F36"/>
    <w:rsid w:val="005B2F9E"/>
    <w:rsid w:val="005B3541"/>
    <w:rsid w:val="005B3554"/>
    <w:rsid w:val="005B384F"/>
    <w:rsid w:val="005B3A5C"/>
    <w:rsid w:val="005B3E90"/>
    <w:rsid w:val="005B45FC"/>
    <w:rsid w:val="005B4784"/>
    <w:rsid w:val="005B4AEC"/>
    <w:rsid w:val="005B4C1E"/>
    <w:rsid w:val="005B5046"/>
    <w:rsid w:val="005B57FA"/>
    <w:rsid w:val="005B58DD"/>
    <w:rsid w:val="005B5BD1"/>
    <w:rsid w:val="005B5DDF"/>
    <w:rsid w:val="005B67CD"/>
    <w:rsid w:val="005B776F"/>
    <w:rsid w:val="005B7834"/>
    <w:rsid w:val="005B7BBF"/>
    <w:rsid w:val="005B7C4C"/>
    <w:rsid w:val="005C0B26"/>
    <w:rsid w:val="005C1746"/>
    <w:rsid w:val="005C1808"/>
    <w:rsid w:val="005C1898"/>
    <w:rsid w:val="005C1929"/>
    <w:rsid w:val="005C1B29"/>
    <w:rsid w:val="005C1E44"/>
    <w:rsid w:val="005C1F4B"/>
    <w:rsid w:val="005C1FD6"/>
    <w:rsid w:val="005C2072"/>
    <w:rsid w:val="005C208C"/>
    <w:rsid w:val="005C227E"/>
    <w:rsid w:val="005C2347"/>
    <w:rsid w:val="005C25D9"/>
    <w:rsid w:val="005C2714"/>
    <w:rsid w:val="005C27C6"/>
    <w:rsid w:val="005C28ED"/>
    <w:rsid w:val="005C2D59"/>
    <w:rsid w:val="005C2F3D"/>
    <w:rsid w:val="005C35C5"/>
    <w:rsid w:val="005C3954"/>
    <w:rsid w:val="005C3B26"/>
    <w:rsid w:val="005C3EB6"/>
    <w:rsid w:val="005C3EBA"/>
    <w:rsid w:val="005C3F60"/>
    <w:rsid w:val="005C411C"/>
    <w:rsid w:val="005C439A"/>
    <w:rsid w:val="005C4967"/>
    <w:rsid w:val="005C4B20"/>
    <w:rsid w:val="005C4DE8"/>
    <w:rsid w:val="005C4ECA"/>
    <w:rsid w:val="005C5086"/>
    <w:rsid w:val="005C52A8"/>
    <w:rsid w:val="005C52E6"/>
    <w:rsid w:val="005C5AC2"/>
    <w:rsid w:val="005C5C93"/>
    <w:rsid w:val="005C5CF7"/>
    <w:rsid w:val="005C5EE5"/>
    <w:rsid w:val="005C6030"/>
    <w:rsid w:val="005C6172"/>
    <w:rsid w:val="005C623D"/>
    <w:rsid w:val="005C6545"/>
    <w:rsid w:val="005C66D4"/>
    <w:rsid w:val="005C677F"/>
    <w:rsid w:val="005C6B95"/>
    <w:rsid w:val="005C6C1C"/>
    <w:rsid w:val="005C6CCC"/>
    <w:rsid w:val="005C70EB"/>
    <w:rsid w:val="005C71D8"/>
    <w:rsid w:val="005C7425"/>
    <w:rsid w:val="005C775A"/>
    <w:rsid w:val="005C7C47"/>
    <w:rsid w:val="005C7C94"/>
    <w:rsid w:val="005C7F21"/>
    <w:rsid w:val="005D014B"/>
    <w:rsid w:val="005D01F6"/>
    <w:rsid w:val="005D0328"/>
    <w:rsid w:val="005D0370"/>
    <w:rsid w:val="005D06B1"/>
    <w:rsid w:val="005D06EB"/>
    <w:rsid w:val="005D0AA5"/>
    <w:rsid w:val="005D0E16"/>
    <w:rsid w:val="005D1518"/>
    <w:rsid w:val="005D18CD"/>
    <w:rsid w:val="005D191E"/>
    <w:rsid w:val="005D1D1C"/>
    <w:rsid w:val="005D1DAD"/>
    <w:rsid w:val="005D1E3B"/>
    <w:rsid w:val="005D2835"/>
    <w:rsid w:val="005D2D03"/>
    <w:rsid w:val="005D2F6A"/>
    <w:rsid w:val="005D2FC0"/>
    <w:rsid w:val="005D3087"/>
    <w:rsid w:val="005D30CB"/>
    <w:rsid w:val="005D35CD"/>
    <w:rsid w:val="005D3B06"/>
    <w:rsid w:val="005D3DB8"/>
    <w:rsid w:val="005D4068"/>
    <w:rsid w:val="005D4B8D"/>
    <w:rsid w:val="005D4BDB"/>
    <w:rsid w:val="005D4CA5"/>
    <w:rsid w:val="005D53D1"/>
    <w:rsid w:val="005D590E"/>
    <w:rsid w:val="005D5A80"/>
    <w:rsid w:val="005D5DA7"/>
    <w:rsid w:val="005D6325"/>
    <w:rsid w:val="005D691A"/>
    <w:rsid w:val="005D6BDC"/>
    <w:rsid w:val="005D6C4A"/>
    <w:rsid w:val="005D6D54"/>
    <w:rsid w:val="005D74C3"/>
    <w:rsid w:val="005D7903"/>
    <w:rsid w:val="005D7E9B"/>
    <w:rsid w:val="005E00B0"/>
    <w:rsid w:val="005E038C"/>
    <w:rsid w:val="005E06D1"/>
    <w:rsid w:val="005E0AC6"/>
    <w:rsid w:val="005E0CD0"/>
    <w:rsid w:val="005E134F"/>
    <w:rsid w:val="005E14E6"/>
    <w:rsid w:val="005E1EA7"/>
    <w:rsid w:val="005E22B3"/>
    <w:rsid w:val="005E26E7"/>
    <w:rsid w:val="005E2D5C"/>
    <w:rsid w:val="005E2DD6"/>
    <w:rsid w:val="005E2ED3"/>
    <w:rsid w:val="005E3299"/>
    <w:rsid w:val="005E32D1"/>
    <w:rsid w:val="005E341B"/>
    <w:rsid w:val="005E395C"/>
    <w:rsid w:val="005E3995"/>
    <w:rsid w:val="005E3A0B"/>
    <w:rsid w:val="005E3C5B"/>
    <w:rsid w:val="005E403A"/>
    <w:rsid w:val="005E42EE"/>
    <w:rsid w:val="005E4A2D"/>
    <w:rsid w:val="005E4A51"/>
    <w:rsid w:val="005E4C85"/>
    <w:rsid w:val="005E4D4F"/>
    <w:rsid w:val="005E50D5"/>
    <w:rsid w:val="005E5116"/>
    <w:rsid w:val="005E5229"/>
    <w:rsid w:val="005E5265"/>
    <w:rsid w:val="005E5A37"/>
    <w:rsid w:val="005E5D77"/>
    <w:rsid w:val="005E5E61"/>
    <w:rsid w:val="005E5F19"/>
    <w:rsid w:val="005E6079"/>
    <w:rsid w:val="005E633C"/>
    <w:rsid w:val="005E65A2"/>
    <w:rsid w:val="005E6866"/>
    <w:rsid w:val="005E6E39"/>
    <w:rsid w:val="005E76C1"/>
    <w:rsid w:val="005E7EA4"/>
    <w:rsid w:val="005E7EC4"/>
    <w:rsid w:val="005F0608"/>
    <w:rsid w:val="005F06ED"/>
    <w:rsid w:val="005F0A82"/>
    <w:rsid w:val="005F1163"/>
    <w:rsid w:val="005F1194"/>
    <w:rsid w:val="005F2120"/>
    <w:rsid w:val="005F2A2B"/>
    <w:rsid w:val="005F2AE0"/>
    <w:rsid w:val="005F2B79"/>
    <w:rsid w:val="005F371B"/>
    <w:rsid w:val="005F3F44"/>
    <w:rsid w:val="005F3F7C"/>
    <w:rsid w:val="005F4312"/>
    <w:rsid w:val="005F46F6"/>
    <w:rsid w:val="005F4937"/>
    <w:rsid w:val="005F4C4D"/>
    <w:rsid w:val="005F519B"/>
    <w:rsid w:val="005F53B9"/>
    <w:rsid w:val="005F552A"/>
    <w:rsid w:val="005F5848"/>
    <w:rsid w:val="005F59CE"/>
    <w:rsid w:val="005F5D02"/>
    <w:rsid w:val="005F5D9A"/>
    <w:rsid w:val="005F6389"/>
    <w:rsid w:val="005F6A46"/>
    <w:rsid w:val="005F6B89"/>
    <w:rsid w:val="005F6FEF"/>
    <w:rsid w:val="005F7157"/>
    <w:rsid w:val="005F7185"/>
    <w:rsid w:val="005F720A"/>
    <w:rsid w:val="005F7AFB"/>
    <w:rsid w:val="005F7BE5"/>
    <w:rsid w:val="00600122"/>
    <w:rsid w:val="006005FF"/>
    <w:rsid w:val="0060080B"/>
    <w:rsid w:val="00600904"/>
    <w:rsid w:val="00600D61"/>
    <w:rsid w:val="00601386"/>
    <w:rsid w:val="00601B15"/>
    <w:rsid w:val="00601B2D"/>
    <w:rsid w:val="006023DC"/>
    <w:rsid w:val="00602666"/>
    <w:rsid w:val="00602936"/>
    <w:rsid w:val="0060294C"/>
    <w:rsid w:val="00602CAA"/>
    <w:rsid w:val="006033D6"/>
    <w:rsid w:val="00603715"/>
    <w:rsid w:val="00603BF9"/>
    <w:rsid w:val="00603D26"/>
    <w:rsid w:val="0060415A"/>
    <w:rsid w:val="006051E6"/>
    <w:rsid w:val="006054B3"/>
    <w:rsid w:val="0060553C"/>
    <w:rsid w:val="0060565F"/>
    <w:rsid w:val="00605BBB"/>
    <w:rsid w:val="0060671E"/>
    <w:rsid w:val="00606D6C"/>
    <w:rsid w:val="00607055"/>
    <w:rsid w:val="006071AF"/>
    <w:rsid w:val="0060744D"/>
    <w:rsid w:val="00607771"/>
    <w:rsid w:val="00607A8C"/>
    <w:rsid w:val="00607B4F"/>
    <w:rsid w:val="00607C27"/>
    <w:rsid w:val="00607FC7"/>
    <w:rsid w:val="0061053C"/>
    <w:rsid w:val="00610651"/>
    <w:rsid w:val="00610964"/>
    <w:rsid w:val="006113AA"/>
    <w:rsid w:val="0061144B"/>
    <w:rsid w:val="006115A0"/>
    <w:rsid w:val="006115A5"/>
    <w:rsid w:val="00611806"/>
    <w:rsid w:val="00611B1E"/>
    <w:rsid w:val="00611B25"/>
    <w:rsid w:val="00612DBF"/>
    <w:rsid w:val="00612E49"/>
    <w:rsid w:val="0061317D"/>
    <w:rsid w:val="0061348E"/>
    <w:rsid w:val="006134F6"/>
    <w:rsid w:val="0061358A"/>
    <w:rsid w:val="00613609"/>
    <w:rsid w:val="00613660"/>
    <w:rsid w:val="00613C88"/>
    <w:rsid w:val="00613F74"/>
    <w:rsid w:val="006141B3"/>
    <w:rsid w:val="006142B9"/>
    <w:rsid w:val="00614337"/>
    <w:rsid w:val="00614411"/>
    <w:rsid w:val="0061490E"/>
    <w:rsid w:val="006149C6"/>
    <w:rsid w:val="00614D05"/>
    <w:rsid w:val="0061526D"/>
    <w:rsid w:val="00615333"/>
    <w:rsid w:val="006158E1"/>
    <w:rsid w:val="00615B07"/>
    <w:rsid w:val="006169B3"/>
    <w:rsid w:val="00617021"/>
    <w:rsid w:val="0061719C"/>
    <w:rsid w:val="00617273"/>
    <w:rsid w:val="006178B1"/>
    <w:rsid w:val="00617E44"/>
    <w:rsid w:val="00617F0C"/>
    <w:rsid w:val="006203AD"/>
    <w:rsid w:val="00620423"/>
    <w:rsid w:val="00620756"/>
    <w:rsid w:val="00620D99"/>
    <w:rsid w:val="00620FCF"/>
    <w:rsid w:val="00621250"/>
    <w:rsid w:val="00621A48"/>
    <w:rsid w:val="00621CCA"/>
    <w:rsid w:val="00621CE2"/>
    <w:rsid w:val="00621CE3"/>
    <w:rsid w:val="00621D96"/>
    <w:rsid w:val="00621F0B"/>
    <w:rsid w:val="0062204C"/>
    <w:rsid w:val="00622142"/>
    <w:rsid w:val="00622266"/>
    <w:rsid w:val="00622366"/>
    <w:rsid w:val="006225D2"/>
    <w:rsid w:val="0062261B"/>
    <w:rsid w:val="00622689"/>
    <w:rsid w:val="00622C08"/>
    <w:rsid w:val="00622D38"/>
    <w:rsid w:val="00622EEA"/>
    <w:rsid w:val="00622FA3"/>
    <w:rsid w:val="0062310C"/>
    <w:rsid w:val="006234E2"/>
    <w:rsid w:val="006237FA"/>
    <w:rsid w:val="0062381E"/>
    <w:rsid w:val="006241D4"/>
    <w:rsid w:val="006243B6"/>
    <w:rsid w:val="006248CA"/>
    <w:rsid w:val="00624A53"/>
    <w:rsid w:val="00624A5A"/>
    <w:rsid w:val="00624B87"/>
    <w:rsid w:val="006251E0"/>
    <w:rsid w:val="006255CF"/>
    <w:rsid w:val="00625CC1"/>
    <w:rsid w:val="00626257"/>
    <w:rsid w:val="00626410"/>
    <w:rsid w:val="006266F2"/>
    <w:rsid w:val="00626B5C"/>
    <w:rsid w:val="006274C7"/>
    <w:rsid w:val="006277A2"/>
    <w:rsid w:val="00627A82"/>
    <w:rsid w:val="00627B82"/>
    <w:rsid w:val="00627CA4"/>
    <w:rsid w:val="00627EA1"/>
    <w:rsid w:val="0063013B"/>
    <w:rsid w:val="006301A4"/>
    <w:rsid w:val="0063051B"/>
    <w:rsid w:val="00630859"/>
    <w:rsid w:val="00630AA3"/>
    <w:rsid w:val="00630CE8"/>
    <w:rsid w:val="00630DFA"/>
    <w:rsid w:val="00631093"/>
    <w:rsid w:val="0063153C"/>
    <w:rsid w:val="006316F6"/>
    <w:rsid w:val="00631860"/>
    <w:rsid w:val="0063186F"/>
    <w:rsid w:val="006320B0"/>
    <w:rsid w:val="00632153"/>
    <w:rsid w:val="006325C8"/>
    <w:rsid w:val="006325D3"/>
    <w:rsid w:val="00632958"/>
    <w:rsid w:val="00632A6F"/>
    <w:rsid w:val="00632C90"/>
    <w:rsid w:val="006330F9"/>
    <w:rsid w:val="006331A8"/>
    <w:rsid w:val="00633978"/>
    <w:rsid w:val="00633B6A"/>
    <w:rsid w:val="0063414C"/>
    <w:rsid w:val="00634308"/>
    <w:rsid w:val="00634A9C"/>
    <w:rsid w:val="00634BD5"/>
    <w:rsid w:val="00634CDB"/>
    <w:rsid w:val="00634F47"/>
    <w:rsid w:val="00634FF0"/>
    <w:rsid w:val="0063529C"/>
    <w:rsid w:val="00635480"/>
    <w:rsid w:val="00635558"/>
    <w:rsid w:val="00635577"/>
    <w:rsid w:val="00635961"/>
    <w:rsid w:val="006359C4"/>
    <w:rsid w:val="00635D1E"/>
    <w:rsid w:val="00635D45"/>
    <w:rsid w:val="00636067"/>
    <w:rsid w:val="00636145"/>
    <w:rsid w:val="006365ED"/>
    <w:rsid w:val="006366FA"/>
    <w:rsid w:val="0063741F"/>
    <w:rsid w:val="00637727"/>
    <w:rsid w:val="00637935"/>
    <w:rsid w:val="00637B31"/>
    <w:rsid w:val="00637D2F"/>
    <w:rsid w:val="00637E1E"/>
    <w:rsid w:val="00637FCA"/>
    <w:rsid w:val="006407A1"/>
    <w:rsid w:val="00640803"/>
    <w:rsid w:val="006408E1"/>
    <w:rsid w:val="0064094A"/>
    <w:rsid w:val="00640A4B"/>
    <w:rsid w:val="00640D47"/>
    <w:rsid w:val="00641006"/>
    <w:rsid w:val="0064103B"/>
    <w:rsid w:val="0064136C"/>
    <w:rsid w:val="00641BE4"/>
    <w:rsid w:val="00641BF3"/>
    <w:rsid w:val="00641EC7"/>
    <w:rsid w:val="006424F0"/>
    <w:rsid w:val="0064287B"/>
    <w:rsid w:val="0064292C"/>
    <w:rsid w:val="00642AB6"/>
    <w:rsid w:val="00642CA5"/>
    <w:rsid w:val="00642D6A"/>
    <w:rsid w:val="00642DEB"/>
    <w:rsid w:val="00642E88"/>
    <w:rsid w:val="0064311C"/>
    <w:rsid w:val="00643183"/>
    <w:rsid w:val="0064355F"/>
    <w:rsid w:val="00643635"/>
    <w:rsid w:val="0064389C"/>
    <w:rsid w:val="00643960"/>
    <w:rsid w:val="006440BD"/>
    <w:rsid w:val="0064481E"/>
    <w:rsid w:val="00644D7E"/>
    <w:rsid w:val="00644E96"/>
    <w:rsid w:val="0064522E"/>
    <w:rsid w:val="0064533B"/>
    <w:rsid w:val="006453F0"/>
    <w:rsid w:val="0064550D"/>
    <w:rsid w:val="00645811"/>
    <w:rsid w:val="006459EF"/>
    <w:rsid w:val="00645FF9"/>
    <w:rsid w:val="0064613A"/>
    <w:rsid w:val="00646669"/>
    <w:rsid w:val="00646AB4"/>
    <w:rsid w:val="0064713F"/>
    <w:rsid w:val="00647337"/>
    <w:rsid w:val="00647427"/>
    <w:rsid w:val="00647741"/>
    <w:rsid w:val="00647B0B"/>
    <w:rsid w:val="00647BBA"/>
    <w:rsid w:val="0065043F"/>
    <w:rsid w:val="0065069A"/>
    <w:rsid w:val="006506F9"/>
    <w:rsid w:val="00650D84"/>
    <w:rsid w:val="00650DB7"/>
    <w:rsid w:val="00650FDD"/>
    <w:rsid w:val="00651266"/>
    <w:rsid w:val="00651305"/>
    <w:rsid w:val="00651A5B"/>
    <w:rsid w:val="00651FF5"/>
    <w:rsid w:val="006521A1"/>
    <w:rsid w:val="00652298"/>
    <w:rsid w:val="00652546"/>
    <w:rsid w:val="00652727"/>
    <w:rsid w:val="0065277D"/>
    <w:rsid w:val="00652A41"/>
    <w:rsid w:val="006530ED"/>
    <w:rsid w:val="006531B0"/>
    <w:rsid w:val="00653558"/>
    <w:rsid w:val="00653CD5"/>
    <w:rsid w:val="00653CDF"/>
    <w:rsid w:val="006542E4"/>
    <w:rsid w:val="006544A6"/>
    <w:rsid w:val="006544FE"/>
    <w:rsid w:val="0065464D"/>
    <w:rsid w:val="00654714"/>
    <w:rsid w:val="00654CAF"/>
    <w:rsid w:val="00654EE7"/>
    <w:rsid w:val="00655250"/>
    <w:rsid w:val="0065526E"/>
    <w:rsid w:val="006555EF"/>
    <w:rsid w:val="00655823"/>
    <w:rsid w:val="00655891"/>
    <w:rsid w:val="00655AA6"/>
    <w:rsid w:val="00655AE4"/>
    <w:rsid w:val="00655AFC"/>
    <w:rsid w:val="00655F3B"/>
    <w:rsid w:val="00655F54"/>
    <w:rsid w:val="00655F68"/>
    <w:rsid w:val="00655FBA"/>
    <w:rsid w:val="00656058"/>
    <w:rsid w:val="0065639C"/>
    <w:rsid w:val="00656485"/>
    <w:rsid w:val="00656519"/>
    <w:rsid w:val="00656706"/>
    <w:rsid w:val="0065689D"/>
    <w:rsid w:val="00656AEB"/>
    <w:rsid w:val="00656F28"/>
    <w:rsid w:val="00657075"/>
    <w:rsid w:val="006574A1"/>
    <w:rsid w:val="006578BC"/>
    <w:rsid w:val="0065794F"/>
    <w:rsid w:val="00657A78"/>
    <w:rsid w:val="00657D44"/>
    <w:rsid w:val="00657DFF"/>
    <w:rsid w:val="00657E9D"/>
    <w:rsid w:val="00660290"/>
    <w:rsid w:val="006602A6"/>
    <w:rsid w:val="00660385"/>
    <w:rsid w:val="006609DE"/>
    <w:rsid w:val="00660CA8"/>
    <w:rsid w:val="00661487"/>
    <w:rsid w:val="0066156B"/>
    <w:rsid w:val="00661C0B"/>
    <w:rsid w:val="00661EE3"/>
    <w:rsid w:val="0066201F"/>
    <w:rsid w:val="00662116"/>
    <w:rsid w:val="0066267B"/>
    <w:rsid w:val="00662A56"/>
    <w:rsid w:val="00662B0A"/>
    <w:rsid w:val="00662E10"/>
    <w:rsid w:val="00662E36"/>
    <w:rsid w:val="00662EF8"/>
    <w:rsid w:val="00662F66"/>
    <w:rsid w:val="00662FE2"/>
    <w:rsid w:val="0066308D"/>
    <w:rsid w:val="006634A1"/>
    <w:rsid w:val="006634C6"/>
    <w:rsid w:val="00663609"/>
    <w:rsid w:val="00663715"/>
    <w:rsid w:val="00663889"/>
    <w:rsid w:val="00663FBA"/>
    <w:rsid w:val="00664027"/>
    <w:rsid w:val="006643CD"/>
    <w:rsid w:val="006647DE"/>
    <w:rsid w:val="00664ED1"/>
    <w:rsid w:val="006650BF"/>
    <w:rsid w:val="00665433"/>
    <w:rsid w:val="00665B50"/>
    <w:rsid w:val="00665D95"/>
    <w:rsid w:val="00665DE5"/>
    <w:rsid w:val="00665FF1"/>
    <w:rsid w:val="0066612B"/>
    <w:rsid w:val="006664B7"/>
    <w:rsid w:val="006667DD"/>
    <w:rsid w:val="006668B7"/>
    <w:rsid w:val="00666BBB"/>
    <w:rsid w:val="00666C22"/>
    <w:rsid w:val="00666E99"/>
    <w:rsid w:val="00666EC1"/>
    <w:rsid w:val="006670DB"/>
    <w:rsid w:val="00667AF2"/>
    <w:rsid w:val="00667B39"/>
    <w:rsid w:val="00667FBF"/>
    <w:rsid w:val="0067013E"/>
    <w:rsid w:val="006701F0"/>
    <w:rsid w:val="00670367"/>
    <w:rsid w:val="006703E3"/>
    <w:rsid w:val="0067083A"/>
    <w:rsid w:val="00670B17"/>
    <w:rsid w:val="006710B9"/>
    <w:rsid w:val="0067124C"/>
    <w:rsid w:val="006713A7"/>
    <w:rsid w:val="00671628"/>
    <w:rsid w:val="00671AC8"/>
    <w:rsid w:val="00672578"/>
    <w:rsid w:val="0067266A"/>
    <w:rsid w:val="006726E2"/>
    <w:rsid w:val="00672873"/>
    <w:rsid w:val="00673042"/>
    <w:rsid w:val="006731ED"/>
    <w:rsid w:val="00673611"/>
    <w:rsid w:val="0067371C"/>
    <w:rsid w:val="006737A5"/>
    <w:rsid w:val="0067393B"/>
    <w:rsid w:val="00673AFF"/>
    <w:rsid w:val="00673E01"/>
    <w:rsid w:val="006740CD"/>
    <w:rsid w:val="0067427E"/>
    <w:rsid w:val="006742EE"/>
    <w:rsid w:val="006747EE"/>
    <w:rsid w:val="006748DA"/>
    <w:rsid w:val="00674B04"/>
    <w:rsid w:val="00674FFD"/>
    <w:rsid w:val="006750F0"/>
    <w:rsid w:val="00675529"/>
    <w:rsid w:val="00675769"/>
    <w:rsid w:val="00675812"/>
    <w:rsid w:val="00675C60"/>
    <w:rsid w:val="00675D89"/>
    <w:rsid w:val="00676275"/>
    <w:rsid w:val="00676724"/>
    <w:rsid w:val="0067686E"/>
    <w:rsid w:val="00676D28"/>
    <w:rsid w:val="00677412"/>
    <w:rsid w:val="006774B6"/>
    <w:rsid w:val="006774D6"/>
    <w:rsid w:val="00677AEA"/>
    <w:rsid w:val="00677D31"/>
    <w:rsid w:val="00677FD9"/>
    <w:rsid w:val="0068007F"/>
    <w:rsid w:val="00680259"/>
    <w:rsid w:val="006803EF"/>
    <w:rsid w:val="00680618"/>
    <w:rsid w:val="0068071E"/>
    <w:rsid w:val="00680B4F"/>
    <w:rsid w:val="00680ED3"/>
    <w:rsid w:val="006810C6"/>
    <w:rsid w:val="0068134A"/>
    <w:rsid w:val="00681413"/>
    <w:rsid w:val="006817D2"/>
    <w:rsid w:val="00681AB9"/>
    <w:rsid w:val="00681C60"/>
    <w:rsid w:val="00682236"/>
    <w:rsid w:val="00682619"/>
    <w:rsid w:val="006826B1"/>
    <w:rsid w:val="00683097"/>
    <w:rsid w:val="0068309E"/>
    <w:rsid w:val="006830B8"/>
    <w:rsid w:val="00683366"/>
    <w:rsid w:val="0068358D"/>
    <w:rsid w:val="00683762"/>
    <w:rsid w:val="0068381A"/>
    <w:rsid w:val="00683B69"/>
    <w:rsid w:val="00683FE2"/>
    <w:rsid w:val="006841FA"/>
    <w:rsid w:val="00684360"/>
    <w:rsid w:val="00684805"/>
    <w:rsid w:val="00684B6E"/>
    <w:rsid w:val="00684C2E"/>
    <w:rsid w:val="00684D03"/>
    <w:rsid w:val="00684E10"/>
    <w:rsid w:val="0068534A"/>
    <w:rsid w:val="00685746"/>
    <w:rsid w:val="00685BFF"/>
    <w:rsid w:val="006864BF"/>
    <w:rsid w:val="0068656F"/>
    <w:rsid w:val="0068657B"/>
    <w:rsid w:val="0068663E"/>
    <w:rsid w:val="006867EE"/>
    <w:rsid w:val="00686887"/>
    <w:rsid w:val="00686A17"/>
    <w:rsid w:val="00686A72"/>
    <w:rsid w:val="00686CD9"/>
    <w:rsid w:val="00686D1B"/>
    <w:rsid w:val="00686E21"/>
    <w:rsid w:val="00687031"/>
    <w:rsid w:val="0068752D"/>
    <w:rsid w:val="00687530"/>
    <w:rsid w:val="006875E7"/>
    <w:rsid w:val="00687F77"/>
    <w:rsid w:val="0069006A"/>
    <w:rsid w:val="00690097"/>
    <w:rsid w:val="0069020C"/>
    <w:rsid w:val="00690CD3"/>
    <w:rsid w:val="00690CEB"/>
    <w:rsid w:val="00690E8F"/>
    <w:rsid w:val="00690FA2"/>
    <w:rsid w:val="00691CC3"/>
    <w:rsid w:val="00692191"/>
    <w:rsid w:val="006921E8"/>
    <w:rsid w:val="006922BE"/>
    <w:rsid w:val="006923D8"/>
    <w:rsid w:val="00692662"/>
    <w:rsid w:val="006926BE"/>
    <w:rsid w:val="006928CA"/>
    <w:rsid w:val="00692BF0"/>
    <w:rsid w:val="00692FF7"/>
    <w:rsid w:val="0069337D"/>
    <w:rsid w:val="00693F02"/>
    <w:rsid w:val="00693FDD"/>
    <w:rsid w:val="0069415C"/>
    <w:rsid w:val="006943B2"/>
    <w:rsid w:val="00694AF4"/>
    <w:rsid w:val="00694B0E"/>
    <w:rsid w:val="00694C43"/>
    <w:rsid w:val="00694F23"/>
    <w:rsid w:val="0069531A"/>
    <w:rsid w:val="0069544F"/>
    <w:rsid w:val="0069571C"/>
    <w:rsid w:val="00695823"/>
    <w:rsid w:val="00695D9E"/>
    <w:rsid w:val="00696453"/>
    <w:rsid w:val="0069667F"/>
    <w:rsid w:val="00696683"/>
    <w:rsid w:val="00696817"/>
    <w:rsid w:val="006968CE"/>
    <w:rsid w:val="00696D7F"/>
    <w:rsid w:val="00696E74"/>
    <w:rsid w:val="006976C3"/>
    <w:rsid w:val="006979A7"/>
    <w:rsid w:val="00697CCE"/>
    <w:rsid w:val="006A0488"/>
    <w:rsid w:val="006A0603"/>
    <w:rsid w:val="006A0CEA"/>
    <w:rsid w:val="006A10B5"/>
    <w:rsid w:val="006A173D"/>
    <w:rsid w:val="006A1780"/>
    <w:rsid w:val="006A1A10"/>
    <w:rsid w:val="006A1A27"/>
    <w:rsid w:val="006A1C7D"/>
    <w:rsid w:val="006A1DA1"/>
    <w:rsid w:val="006A1DA3"/>
    <w:rsid w:val="006A2204"/>
    <w:rsid w:val="006A28C5"/>
    <w:rsid w:val="006A2FF4"/>
    <w:rsid w:val="006A323E"/>
    <w:rsid w:val="006A32CD"/>
    <w:rsid w:val="006A32FB"/>
    <w:rsid w:val="006A34A3"/>
    <w:rsid w:val="006A372E"/>
    <w:rsid w:val="006A3F91"/>
    <w:rsid w:val="006A45AC"/>
    <w:rsid w:val="006A4886"/>
    <w:rsid w:val="006A49BE"/>
    <w:rsid w:val="006A4DD7"/>
    <w:rsid w:val="006A50BD"/>
    <w:rsid w:val="006A5233"/>
    <w:rsid w:val="006A536C"/>
    <w:rsid w:val="006A552A"/>
    <w:rsid w:val="006A55D2"/>
    <w:rsid w:val="006A57F1"/>
    <w:rsid w:val="006A583F"/>
    <w:rsid w:val="006A59CD"/>
    <w:rsid w:val="006A5A45"/>
    <w:rsid w:val="006A5B96"/>
    <w:rsid w:val="006A5C3D"/>
    <w:rsid w:val="006A5CE5"/>
    <w:rsid w:val="006A5FB5"/>
    <w:rsid w:val="006A6437"/>
    <w:rsid w:val="006A64C3"/>
    <w:rsid w:val="006A6DCA"/>
    <w:rsid w:val="006A74D6"/>
    <w:rsid w:val="006A78A6"/>
    <w:rsid w:val="006A79D4"/>
    <w:rsid w:val="006A7CDD"/>
    <w:rsid w:val="006A7E19"/>
    <w:rsid w:val="006A7EC3"/>
    <w:rsid w:val="006B0162"/>
    <w:rsid w:val="006B0193"/>
    <w:rsid w:val="006B0293"/>
    <w:rsid w:val="006B08B4"/>
    <w:rsid w:val="006B0D3E"/>
    <w:rsid w:val="006B1142"/>
    <w:rsid w:val="006B1676"/>
    <w:rsid w:val="006B19C6"/>
    <w:rsid w:val="006B1A97"/>
    <w:rsid w:val="006B1BA8"/>
    <w:rsid w:val="006B2660"/>
    <w:rsid w:val="006B28A4"/>
    <w:rsid w:val="006B2A28"/>
    <w:rsid w:val="006B2B0C"/>
    <w:rsid w:val="006B2B7F"/>
    <w:rsid w:val="006B2CCD"/>
    <w:rsid w:val="006B306B"/>
    <w:rsid w:val="006B31D6"/>
    <w:rsid w:val="006B3294"/>
    <w:rsid w:val="006B336F"/>
    <w:rsid w:val="006B34DA"/>
    <w:rsid w:val="006B362F"/>
    <w:rsid w:val="006B36F3"/>
    <w:rsid w:val="006B375E"/>
    <w:rsid w:val="006B3A9A"/>
    <w:rsid w:val="006B3B02"/>
    <w:rsid w:val="006B3C4C"/>
    <w:rsid w:val="006B3CDE"/>
    <w:rsid w:val="006B3EFF"/>
    <w:rsid w:val="006B4047"/>
    <w:rsid w:val="006B40E2"/>
    <w:rsid w:val="006B48AD"/>
    <w:rsid w:val="006B4A8C"/>
    <w:rsid w:val="006B50E1"/>
    <w:rsid w:val="006B5148"/>
    <w:rsid w:val="006B524C"/>
    <w:rsid w:val="006B529A"/>
    <w:rsid w:val="006B53FB"/>
    <w:rsid w:val="006B5612"/>
    <w:rsid w:val="006B5AD8"/>
    <w:rsid w:val="006B5E31"/>
    <w:rsid w:val="006B6941"/>
    <w:rsid w:val="006B6D6C"/>
    <w:rsid w:val="006B6F70"/>
    <w:rsid w:val="006B6FC6"/>
    <w:rsid w:val="006B74BF"/>
    <w:rsid w:val="006B7557"/>
    <w:rsid w:val="006B77E2"/>
    <w:rsid w:val="006B7C7F"/>
    <w:rsid w:val="006B7E73"/>
    <w:rsid w:val="006C0190"/>
    <w:rsid w:val="006C01CC"/>
    <w:rsid w:val="006C0CF1"/>
    <w:rsid w:val="006C0DE8"/>
    <w:rsid w:val="006C0F92"/>
    <w:rsid w:val="006C1034"/>
    <w:rsid w:val="006C10C3"/>
    <w:rsid w:val="006C1234"/>
    <w:rsid w:val="006C1369"/>
    <w:rsid w:val="006C1D0E"/>
    <w:rsid w:val="006C202A"/>
    <w:rsid w:val="006C2327"/>
    <w:rsid w:val="006C2543"/>
    <w:rsid w:val="006C29AE"/>
    <w:rsid w:val="006C2BC5"/>
    <w:rsid w:val="006C2FA4"/>
    <w:rsid w:val="006C2FE2"/>
    <w:rsid w:val="006C305E"/>
    <w:rsid w:val="006C378E"/>
    <w:rsid w:val="006C3902"/>
    <w:rsid w:val="006C3D89"/>
    <w:rsid w:val="006C3E0E"/>
    <w:rsid w:val="006C3E22"/>
    <w:rsid w:val="006C3FE7"/>
    <w:rsid w:val="006C4633"/>
    <w:rsid w:val="006C48A9"/>
    <w:rsid w:val="006C4F7F"/>
    <w:rsid w:val="006C519E"/>
    <w:rsid w:val="006C52AD"/>
    <w:rsid w:val="006C52E8"/>
    <w:rsid w:val="006C53BD"/>
    <w:rsid w:val="006C57B7"/>
    <w:rsid w:val="006C5955"/>
    <w:rsid w:val="006C5B00"/>
    <w:rsid w:val="006C5B77"/>
    <w:rsid w:val="006C5C44"/>
    <w:rsid w:val="006C5F30"/>
    <w:rsid w:val="006C6054"/>
    <w:rsid w:val="006C606F"/>
    <w:rsid w:val="006C64D6"/>
    <w:rsid w:val="006C6702"/>
    <w:rsid w:val="006C69D0"/>
    <w:rsid w:val="006C6FAB"/>
    <w:rsid w:val="006C7088"/>
    <w:rsid w:val="006C71D7"/>
    <w:rsid w:val="006C7231"/>
    <w:rsid w:val="006C76EB"/>
    <w:rsid w:val="006C77A2"/>
    <w:rsid w:val="006C78A2"/>
    <w:rsid w:val="006C78D2"/>
    <w:rsid w:val="006C7FCA"/>
    <w:rsid w:val="006D0110"/>
    <w:rsid w:val="006D025B"/>
    <w:rsid w:val="006D038F"/>
    <w:rsid w:val="006D03DA"/>
    <w:rsid w:val="006D060E"/>
    <w:rsid w:val="006D07EF"/>
    <w:rsid w:val="006D0832"/>
    <w:rsid w:val="006D09B5"/>
    <w:rsid w:val="006D0DA7"/>
    <w:rsid w:val="006D0FC0"/>
    <w:rsid w:val="006D1406"/>
    <w:rsid w:val="006D19C5"/>
    <w:rsid w:val="006D1BB2"/>
    <w:rsid w:val="006D1F76"/>
    <w:rsid w:val="006D20FB"/>
    <w:rsid w:val="006D23BE"/>
    <w:rsid w:val="006D23CB"/>
    <w:rsid w:val="006D2842"/>
    <w:rsid w:val="006D28D3"/>
    <w:rsid w:val="006D28F3"/>
    <w:rsid w:val="006D3176"/>
    <w:rsid w:val="006D33BB"/>
    <w:rsid w:val="006D3637"/>
    <w:rsid w:val="006D3697"/>
    <w:rsid w:val="006D37D2"/>
    <w:rsid w:val="006D3B3C"/>
    <w:rsid w:val="006D3CD8"/>
    <w:rsid w:val="006D3D3F"/>
    <w:rsid w:val="006D4350"/>
    <w:rsid w:val="006D4370"/>
    <w:rsid w:val="006D4519"/>
    <w:rsid w:val="006D471C"/>
    <w:rsid w:val="006D496D"/>
    <w:rsid w:val="006D4E18"/>
    <w:rsid w:val="006D516E"/>
    <w:rsid w:val="006D5587"/>
    <w:rsid w:val="006D5844"/>
    <w:rsid w:val="006D58AE"/>
    <w:rsid w:val="006D5FBB"/>
    <w:rsid w:val="006D61DC"/>
    <w:rsid w:val="006D63E8"/>
    <w:rsid w:val="006D6770"/>
    <w:rsid w:val="006D6BFB"/>
    <w:rsid w:val="006D6D93"/>
    <w:rsid w:val="006D724D"/>
    <w:rsid w:val="006D730D"/>
    <w:rsid w:val="006D7729"/>
    <w:rsid w:val="006D77C7"/>
    <w:rsid w:val="006D78CC"/>
    <w:rsid w:val="006D792E"/>
    <w:rsid w:val="006D7C86"/>
    <w:rsid w:val="006D7C9E"/>
    <w:rsid w:val="006D7FD5"/>
    <w:rsid w:val="006E04A0"/>
    <w:rsid w:val="006E0957"/>
    <w:rsid w:val="006E0B3A"/>
    <w:rsid w:val="006E0BBF"/>
    <w:rsid w:val="006E13A5"/>
    <w:rsid w:val="006E14EC"/>
    <w:rsid w:val="006E1529"/>
    <w:rsid w:val="006E1735"/>
    <w:rsid w:val="006E18C6"/>
    <w:rsid w:val="006E2189"/>
    <w:rsid w:val="006E23F6"/>
    <w:rsid w:val="006E25A2"/>
    <w:rsid w:val="006E26AF"/>
    <w:rsid w:val="006E28DF"/>
    <w:rsid w:val="006E2AA1"/>
    <w:rsid w:val="006E3019"/>
    <w:rsid w:val="006E3121"/>
    <w:rsid w:val="006E31B7"/>
    <w:rsid w:val="006E3240"/>
    <w:rsid w:val="006E368C"/>
    <w:rsid w:val="006E36DD"/>
    <w:rsid w:val="006E3AC7"/>
    <w:rsid w:val="006E3E6A"/>
    <w:rsid w:val="006E3F31"/>
    <w:rsid w:val="006E441E"/>
    <w:rsid w:val="006E44A4"/>
    <w:rsid w:val="006E44B2"/>
    <w:rsid w:val="006E49EE"/>
    <w:rsid w:val="006E4D44"/>
    <w:rsid w:val="006E4F2E"/>
    <w:rsid w:val="006E52D2"/>
    <w:rsid w:val="006E5B78"/>
    <w:rsid w:val="006E5F25"/>
    <w:rsid w:val="006E5F94"/>
    <w:rsid w:val="006E6033"/>
    <w:rsid w:val="006E6108"/>
    <w:rsid w:val="006E63D1"/>
    <w:rsid w:val="006E66EA"/>
    <w:rsid w:val="006E68F3"/>
    <w:rsid w:val="006E7082"/>
    <w:rsid w:val="006E74A5"/>
    <w:rsid w:val="006E77C3"/>
    <w:rsid w:val="006E7883"/>
    <w:rsid w:val="006E7A44"/>
    <w:rsid w:val="006E7AD2"/>
    <w:rsid w:val="006F058B"/>
    <w:rsid w:val="006F0804"/>
    <w:rsid w:val="006F093D"/>
    <w:rsid w:val="006F0BF6"/>
    <w:rsid w:val="006F0E21"/>
    <w:rsid w:val="006F0EE4"/>
    <w:rsid w:val="006F10E0"/>
    <w:rsid w:val="006F1439"/>
    <w:rsid w:val="006F174A"/>
    <w:rsid w:val="006F1975"/>
    <w:rsid w:val="006F1B8E"/>
    <w:rsid w:val="006F1BF2"/>
    <w:rsid w:val="006F1E46"/>
    <w:rsid w:val="006F21AF"/>
    <w:rsid w:val="006F22E0"/>
    <w:rsid w:val="006F2594"/>
    <w:rsid w:val="006F25A1"/>
    <w:rsid w:val="006F2645"/>
    <w:rsid w:val="006F2AD1"/>
    <w:rsid w:val="006F2D54"/>
    <w:rsid w:val="006F2DB2"/>
    <w:rsid w:val="006F2E29"/>
    <w:rsid w:val="006F2ED6"/>
    <w:rsid w:val="006F317D"/>
    <w:rsid w:val="006F3181"/>
    <w:rsid w:val="006F322A"/>
    <w:rsid w:val="006F326B"/>
    <w:rsid w:val="006F37C4"/>
    <w:rsid w:val="006F382D"/>
    <w:rsid w:val="006F3902"/>
    <w:rsid w:val="006F3A00"/>
    <w:rsid w:val="006F3B73"/>
    <w:rsid w:val="006F3BB6"/>
    <w:rsid w:val="006F3C30"/>
    <w:rsid w:val="006F3F69"/>
    <w:rsid w:val="006F40E4"/>
    <w:rsid w:val="006F4186"/>
    <w:rsid w:val="006F48BA"/>
    <w:rsid w:val="006F4F3E"/>
    <w:rsid w:val="006F5367"/>
    <w:rsid w:val="006F58C5"/>
    <w:rsid w:val="006F5903"/>
    <w:rsid w:val="006F59B0"/>
    <w:rsid w:val="006F5C04"/>
    <w:rsid w:val="006F5F8F"/>
    <w:rsid w:val="006F608B"/>
    <w:rsid w:val="006F6099"/>
    <w:rsid w:val="006F63F0"/>
    <w:rsid w:val="006F69BE"/>
    <w:rsid w:val="006F6AA7"/>
    <w:rsid w:val="006F70FD"/>
    <w:rsid w:val="006F78D1"/>
    <w:rsid w:val="006F7907"/>
    <w:rsid w:val="006F7B54"/>
    <w:rsid w:val="0070011E"/>
    <w:rsid w:val="007001C8"/>
    <w:rsid w:val="007003D7"/>
    <w:rsid w:val="00700527"/>
    <w:rsid w:val="007007A1"/>
    <w:rsid w:val="00700845"/>
    <w:rsid w:val="00700B12"/>
    <w:rsid w:val="00700C4D"/>
    <w:rsid w:val="00700DBB"/>
    <w:rsid w:val="007012C8"/>
    <w:rsid w:val="007015C3"/>
    <w:rsid w:val="00701D47"/>
    <w:rsid w:val="00701E3D"/>
    <w:rsid w:val="0070226C"/>
    <w:rsid w:val="00702803"/>
    <w:rsid w:val="007028B0"/>
    <w:rsid w:val="00702B42"/>
    <w:rsid w:val="00702CB9"/>
    <w:rsid w:val="00702D03"/>
    <w:rsid w:val="007030B7"/>
    <w:rsid w:val="00703293"/>
    <w:rsid w:val="007035C3"/>
    <w:rsid w:val="00703868"/>
    <w:rsid w:val="007038B7"/>
    <w:rsid w:val="007038BA"/>
    <w:rsid w:val="007039AB"/>
    <w:rsid w:val="00703AC2"/>
    <w:rsid w:val="00703AF5"/>
    <w:rsid w:val="00703E5F"/>
    <w:rsid w:val="007043B0"/>
    <w:rsid w:val="00704879"/>
    <w:rsid w:val="0070493A"/>
    <w:rsid w:val="00704A89"/>
    <w:rsid w:val="00704A8B"/>
    <w:rsid w:val="00704E8D"/>
    <w:rsid w:val="00704F00"/>
    <w:rsid w:val="00705369"/>
    <w:rsid w:val="00705886"/>
    <w:rsid w:val="0070595C"/>
    <w:rsid w:val="00706356"/>
    <w:rsid w:val="0070651E"/>
    <w:rsid w:val="00706835"/>
    <w:rsid w:val="007071B1"/>
    <w:rsid w:val="007078B2"/>
    <w:rsid w:val="00707E6F"/>
    <w:rsid w:val="00710266"/>
    <w:rsid w:val="00710EBF"/>
    <w:rsid w:val="00711141"/>
    <w:rsid w:val="00711921"/>
    <w:rsid w:val="007119A3"/>
    <w:rsid w:val="007119A9"/>
    <w:rsid w:val="00711A8A"/>
    <w:rsid w:val="00711AFB"/>
    <w:rsid w:val="007122C7"/>
    <w:rsid w:val="007123A2"/>
    <w:rsid w:val="00712513"/>
    <w:rsid w:val="00712EA8"/>
    <w:rsid w:val="007130FA"/>
    <w:rsid w:val="0071380D"/>
    <w:rsid w:val="00713A5A"/>
    <w:rsid w:val="00713D5F"/>
    <w:rsid w:val="00713E6D"/>
    <w:rsid w:val="00713F65"/>
    <w:rsid w:val="00714022"/>
    <w:rsid w:val="007143F2"/>
    <w:rsid w:val="00714822"/>
    <w:rsid w:val="00714D34"/>
    <w:rsid w:val="007150AE"/>
    <w:rsid w:val="007150EA"/>
    <w:rsid w:val="00715196"/>
    <w:rsid w:val="00715692"/>
    <w:rsid w:val="007158DC"/>
    <w:rsid w:val="00715E0E"/>
    <w:rsid w:val="00715EA7"/>
    <w:rsid w:val="00715ECC"/>
    <w:rsid w:val="0071601B"/>
    <w:rsid w:val="007166A1"/>
    <w:rsid w:val="007168D4"/>
    <w:rsid w:val="00716E93"/>
    <w:rsid w:val="007170DB"/>
    <w:rsid w:val="007173C6"/>
    <w:rsid w:val="0071750E"/>
    <w:rsid w:val="007179E5"/>
    <w:rsid w:val="00717E46"/>
    <w:rsid w:val="00717F8A"/>
    <w:rsid w:val="007202F0"/>
    <w:rsid w:val="00720416"/>
    <w:rsid w:val="00720785"/>
    <w:rsid w:val="007207AA"/>
    <w:rsid w:val="00720BBB"/>
    <w:rsid w:val="00720DF8"/>
    <w:rsid w:val="007210AF"/>
    <w:rsid w:val="0072116C"/>
    <w:rsid w:val="007213D3"/>
    <w:rsid w:val="00721585"/>
    <w:rsid w:val="00721983"/>
    <w:rsid w:val="00721E93"/>
    <w:rsid w:val="007221A3"/>
    <w:rsid w:val="00722244"/>
    <w:rsid w:val="007223AC"/>
    <w:rsid w:val="00722695"/>
    <w:rsid w:val="007226C2"/>
    <w:rsid w:val="00722F06"/>
    <w:rsid w:val="0072309E"/>
    <w:rsid w:val="0072310F"/>
    <w:rsid w:val="00723277"/>
    <w:rsid w:val="00723683"/>
    <w:rsid w:val="00723857"/>
    <w:rsid w:val="00723C4A"/>
    <w:rsid w:val="00724152"/>
    <w:rsid w:val="00724292"/>
    <w:rsid w:val="00724922"/>
    <w:rsid w:val="0072499F"/>
    <w:rsid w:val="00724ABD"/>
    <w:rsid w:val="00724B4B"/>
    <w:rsid w:val="00724F84"/>
    <w:rsid w:val="0072504D"/>
    <w:rsid w:val="007251D1"/>
    <w:rsid w:val="0072576B"/>
    <w:rsid w:val="00725BC4"/>
    <w:rsid w:val="00725F6F"/>
    <w:rsid w:val="00726131"/>
    <w:rsid w:val="00726AB6"/>
    <w:rsid w:val="00726CBF"/>
    <w:rsid w:val="00726CCA"/>
    <w:rsid w:val="00726EBD"/>
    <w:rsid w:val="00726F29"/>
    <w:rsid w:val="00726F48"/>
    <w:rsid w:val="00726FDC"/>
    <w:rsid w:val="0072747B"/>
    <w:rsid w:val="007276C3"/>
    <w:rsid w:val="0072772E"/>
    <w:rsid w:val="00727C08"/>
    <w:rsid w:val="00730128"/>
    <w:rsid w:val="00730155"/>
    <w:rsid w:val="007301FC"/>
    <w:rsid w:val="00730661"/>
    <w:rsid w:val="00730815"/>
    <w:rsid w:val="00730CCA"/>
    <w:rsid w:val="007312F9"/>
    <w:rsid w:val="007315B9"/>
    <w:rsid w:val="00731720"/>
    <w:rsid w:val="00731B07"/>
    <w:rsid w:val="00731CDA"/>
    <w:rsid w:val="00731D1F"/>
    <w:rsid w:val="00731E01"/>
    <w:rsid w:val="007321E8"/>
    <w:rsid w:val="00732648"/>
    <w:rsid w:val="0073265F"/>
    <w:rsid w:val="00732788"/>
    <w:rsid w:val="00732974"/>
    <w:rsid w:val="00732AEC"/>
    <w:rsid w:val="00732FF9"/>
    <w:rsid w:val="00733334"/>
    <w:rsid w:val="007336BC"/>
    <w:rsid w:val="007337FC"/>
    <w:rsid w:val="00733A51"/>
    <w:rsid w:val="00733AF8"/>
    <w:rsid w:val="00733CB6"/>
    <w:rsid w:val="00733CBB"/>
    <w:rsid w:val="00733CF3"/>
    <w:rsid w:val="00733F1B"/>
    <w:rsid w:val="0073403E"/>
    <w:rsid w:val="00734369"/>
    <w:rsid w:val="0073468F"/>
    <w:rsid w:val="00734DB3"/>
    <w:rsid w:val="00734E1E"/>
    <w:rsid w:val="00734F32"/>
    <w:rsid w:val="00735588"/>
    <w:rsid w:val="0073564A"/>
    <w:rsid w:val="007357FA"/>
    <w:rsid w:val="00735956"/>
    <w:rsid w:val="00736427"/>
    <w:rsid w:val="0073685F"/>
    <w:rsid w:val="007369A3"/>
    <w:rsid w:val="00736ABC"/>
    <w:rsid w:val="00736C7E"/>
    <w:rsid w:val="00736EC1"/>
    <w:rsid w:val="00737229"/>
    <w:rsid w:val="007374A1"/>
    <w:rsid w:val="0073766D"/>
    <w:rsid w:val="00737678"/>
    <w:rsid w:val="007377C9"/>
    <w:rsid w:val="00737AAA"/>
    <w:rsid w:val="007400BB"/>
    <w:rsid w:val="007405CB"/>
    <w:rsid w:val="00740A88"/>
    <w:rsid w:val="00740AA7"/>
    <w:rsid w:val="00740B62"/>
    <w:rsid w:val="00740C7C"/>
    <w:rsid w:val="00740CAF"/>
    <w:rsid w:val="00740F5F"/>
    <w:rsid w:val="0074102F"/>
    <w:rsid w:val="007410ED"/>
    <w:rsid w:val="00741816"/>
    <w:rsid w:val="007418DE"/>
    <w:rsid w:val="00741955"/>
    <w:rsid w:val="00741FBF"/>
    <w:rsid w:val="00741FE9"/>
    <w:rsid w:val="007422E7"/>
    <w:rsid w:val="00742354"/>
    <w:rsid w:val="007423D1"/>
    <w:rsid w:val="0074241C"/>
    <w:rsid w:val="007426BA"/>
    <w:rsid w:val="00742884"/>
    <w:rsid w:val="00742EAD"/>
    <w:rsid w:val="00743928"/>
    <w:rsid w:val="00743D57"/>
    <w:rsid w:val="0074416D"/>
    <w:rsid w:val="007441F7"/>
    <w:rsid w:val="00744B16"/>
    <w:rsid w:val="00744C46"/>
    <w:rsid w:val="00744FE5"/>
    <w:rsid w:val="007451B4"/>
    <w:rsid w:val="00745314"/>
    <w:rsid w:val="007453AC"/>
    <w:rsid w:val="00745999"/>
    <w:rsid w:val="007459C5"/>
    <w:rsid w:val="00746373"/>
    <w:rsid w:val="00746BA0"/>
    <w:rsid w:val="00746E1C"/>
    <w:rsid w:val="00746F7C"/>
    <w:rsid w:val="00747469"/>
    <w:rsid w:val="007475BA"/>
    <w:rsid w:val="00747A0C"/>
    <w:rsid w:val="00747A3B"/>
    <w:rsid w:val="00747ACB"/>
    <w:rsid w:val="00747B76"/>
    <w:rsid w:val="00747D7A"/>
    <w:rsid w:val="00747EC0"/>
    <w:rsid w:val="0075093E"/>
    <w:rsid w:val="00750B6F"/>
    <w:rsid w:val="00750C9D"/>
    <w:rsid w:val="0075128F"/>
    <w:rsid w:val="007513CC"/>
    <w:rsid w:val="00751725"/>
    <w:rsid w:val="00751A5A"/>
    <w:rsid w:val="00751EE3"/>
    <w:rsid w:val="00751FED"/>
    <w:rsid w:val="007525C8"/>
    <w:rsid w:val="00752B2C"/>
    <w:rsid w:val="00752D4D"/>
    <w:rsid w:val="00752DE5"/>
    <w:rsid w:val="00753481"/>
    <w:rsid w:val="00753A3A"/>
    <w:rsid w:val="00753CFA"/>
    <w:rsid w:val="00753D1C"/>
    <w:rsid w:val="00753D31"/>
    <w:rsid w:val="007540FF"/>
    <w:rsid w:val="007541A6"/>
    <w:rsid w:val="0075433C"/>
    <w:rsid w:val="0075478F"/>
    <w:rsid w:val="00754BE8"/>
    <w:rsid w:val="00754C11"/>
    <w:rsid w:val="00754FF6"/>
    <w:rsid w:val="0075569A"/>
    <w:rsid w:val="00755CB5"/>
    <w:rsid w:val="00755EA5"/>
    <w:rsid w:val="00755EF1"/>
    <w:rsid w:val="00755EFC"/>
    <w:rsid w:val="007562A0"/>
    <w:rsid w:val="0075649F"/>
    <w:rsid w:val="00756D34"/>
    <w:rsid w:val="00756DA6"/>
    <w:rsid w:val="00756E33"/>
    <w:rsid w:val="00756FC0"/>
    <w:rsid w:val="00757626"/>
    <w:rsid w:val="007578AF"/>
    <w:rsid w:val="00757989"/>
    <w:rsid w:val="00757B72"/>
    <w:rsid w:val="00757F66"/>
    <w:rsid w:val="00760035"/>
    <w:rsid w:val="007602F7"/>
    <w:rsid w:val="00760476"/>
    <w:rsid w:val="007604B7"/>
    <w:rsid w:val="0076088F"/>
    <w:rsid w:val="00760B8B"/>
    <w:rsid w:val="00760B96"/>
    <w:rsid w:val="007613B3"/>
    <w:rsid w:val="00761847"/>
    <w:rsid w:val="00761A7F"/>
    <w:rsid w:val="00761B8A"/>
    <w:rsid w:val="00762092"/>
    <w:rsid w:val="0076210E"/>
    <w:rsid w:val="0076233F"/>
    <w:rsid w:val="00762499"/>
    <w:rsid w:val="007626F3"/>
    <w:rsid w:val="0076298A"/>
    <w:rsid w:val="00762DB0"/>
    <w:rsid w:val="00762EDB"/>
    <w:rsid w:val="00763085"/>
    <w:rsid w:val="007630D6"/>
    <w:rsid w:val="007630EA"/>
    <w:rsid w:val="007631FB"/>
    <w:rsid w:val="00763676"/>
    <w:rsid w:val="00763805"/>
    <w:rsid w:val="00763B2F"/>
    <w:rsid w:val="00763CE3"/>
    <w:rsid w:val="00763D57"/>
    <w:rsid w:val="0076423A"/>
    <w:rsid w:val="00764474"/>
    <w:rsid w:val="0076499C"/>
    <w:rsid w:val="00764AFD"/>
    <w:rsid w:val="00764D52"/>
    <w:rsid w:val="007650B6"/>
    <w:rsid w:val="00765211"/>
    <w:rsid w:val="007657DD"/>
    <w:rsid w:val="00765950"/>
    <w:rsid w:val="007659E2"/>
    <w:rsid w:val="00765AE3"/>
    <w:rsid w:val="00765BB8"/>
    <w:rsid w:val="00765D8B"/>
    <w:rsid w:val="00765ECA"/>
    <w:rsid w:val="007662CF"/>
    <w:rsid w:val="007663E6"/>
    <w:rsid w:val="0076645D"/>
    <w:rsid w:val="007666F2"/>
    <w:rsid w:val="00766807"/>
    <w:rsid w:val="00766976"/>
    <w:rsid w:val="007670B0"/>
    <w:rsid w:val="0076749F"/>
    <w:rsid w:val="00767542"/>
    <w:rsid w:val="00767AD9"/>
    <w:rsid w:val="00767BE0"/>
    <w:rsid w:val="00767D32"/>
    <w:rsid w:val="00767FEF"/>
    <w:rsid w:val="00770564"/>
    <w:rsid w:val="007705A7"/>
    <w:rsid w:val="0077095F"/>
    <w:rsid w:val="00770C3B"/>
    <w:rsid w:val="00770F66"/>
    <w:rsid w:val="00770F68"/>
    <w:rsid w:val="00771125"/>
    <w:rsid w:val="0077164C"/>
    <w:rsid w:val="00771791"/>
    <w:rsid w:val="00771A81"/>
    <w:rsid w:val="00771AF3"/>
    <w:rsid w:val="00771C80"/>
    <w:rsid w:val="00771F0E"/>
    <w:rsid w:val="0077202B"/>
    <w:rsid w:val="007723DE"/>
    <w:rsid w:val="00772674"/>
    <w:rsid w:val="00772786"/>
    <w:rsid w:val="007731FA"/>
    <w:rsid w:val="007734C1"/>
    <w:rsid w:val="007735A1"/>
    <w:rsid w:val="00774472"/>
    <w:rsid w:val="0077459D"/>
    <w:rsid w:val="0077460E"/>
    <w:rsid w:val="007746E5"/>
    <w:rsid w:val="0077470B"/>
    <w:rsid w:val="00774AAD"/>
    <w:rsid w:val="00774B79"/>
    <w:rsid w:val="00774D51"/>
    <w:rsid w:val="00774FD0"/>
    <w:rsid w:val="00775182"/>
    <w:rsid w:val="00775520"/>
    <w:rsid w:val="007759A4"/>
    <w:rsid w:val="00775A01"/>
    <w:rsid w:val="00775CF5"/>
    <w:rsid w:val="00775DDE"/>
    <w:rsid w:val="00775E79"/>
    <w:rsid w:val="0077677B"/>
    <w:rsid w:val="00776A4C"/>
    <w:rsid w:val="00776A6C"/>
    <w:rsid w:val="00776B8A"/>
    <w:rsid w:val="00776CB2"/>
    <w:rsid w:val="00776E66"/>
    <w:rsid w:val="00776FEF"/>
    <w:rsid w:val="0077763C"/>
    <w:rsid w:val="007778BF"/>
    <w:rsid w:val="00777BE3"/>
    <w:rsid w:val="00777EF3"/>
    <w:rsid w:val="00777F6C"/>
    <w:rsid w:val="00780175"/>
    <w:rsid w:val="00780310"/>
    <w:rsid w:val="00780CBF"/>
    <w:rsid w:val="00781029"/>
    <w:rsid w:val="0078130E"/>
    <w:rsid w:val="0078163D"/>
    <w:rsid w:val="00781792"/>
    <w:rsid w:val="0078186E"/>
    <w:rsid w:val="007818CD"/>
    <w:rsid w:val="00781AD2"/>
    <w:rsid w:val="00781B69"/>
    <w:rsid w:val="00781CF9"/>
    <w:rsid w:val="00781CFE"/>
    <w:rsid w:val="00781D01"/>
    <w:rsid w:val="00781F8C"/>
    <w:rsid w:val="00782197"/>
    <w:rsid w:val="0078242E"/>
    <w:rsid w:val="00782A41"/>
    <w:rsid w:val="00782C3D"/>
    <w:rsid w:val="00782DCE"/>
    <w:rsid w:val="007830C5"/>
    <w:rsid w:val="007839CD"/>
    <w:rsid w:val="00783A27"/>
    <w:rsid w:val="00783C4C"/>
    <w:rsid w:val="0078400B"/>
    <w:rsid w:val="00784114"/>
    <w:rsid w:val="007845D4"/>
    <w:rsid w:val="00784BD1"/>
    <w:rsid w:val="00784DD5"/>
    <w:rsid w:val="00784FEB"/>
    <w:rsid w:val="00785934"/>
    <w:rsid w:val="00785E9A"/>
    <w:rsid w:val="00785EB6"/>
    <w:rsid w:val="0078631C"/>
    <w:rsid w:val="00786654"/>
    <w:rsid w:val="0078677A"/>
    <w:rsid w:val="00786F53"/>
    <w:rsid w:val="00787290"/>
    <w:rsid w:val="007875A7"/>
    <w:rsid w:val="00787860"/>
    <w:rsid w:val="00787930"/>
    <w:rsid w:val="00787D1B"/>
    <w:rsid w:val="00790131"/>
    <w:rsid w:val="00790347"/>
    <w:rsid w:val="0079061A"/>
    <w:rsid w:val="007912BE"/>
    <w:rsid w:val="0079130D"/>
    <w:rsid w:val="007916E3"/>
    <w:rsid w:val="00791779"/>
    <w:rsid w:val="00791C00"/>
    <w:rsid w:val="00791CDA"/>
    <w:rsid w:val="00791D25"/>
    <w:rsid w:val="00792569"/>
    <w:rsid w:val="007925EF"/>
    <w:rsid w:val="0079276F"/>
    <w:rsid w:val="00792AC8"/>
    <w:rsid w:val="00792C0C"/>
    <w:rsid w:val="00792C43"/>
    <w:rsid w:val="00793018"/>
    <w:rsid w:val="007933C3"/>
    <w:rsid w:val="00793DEB"/>
    <w:rsid w:val="00793ECF"/>
    <w:rsid w:val="00793FAD"/>
    <w:rsid w:val="00794AB4"/>
    <w:rsid w:val="00794CB7"/>
    <w:rsid w:val="00794D18"/>
    <w:rsid w:val="00794FFD"/>
    <w:rsid w:val="00795500"/>
    <w:rsid w:val="00795518"/>
    <w:rsid w:val="0079560F"/>
    <w:rsid w:val="007957A5"/>
    <w:rsid w:val="00795977"/>
    <w:rsid w:val="00795B7E"/>
    <w:rsid w:val="00795D45"/>
    <w:rsid w:val="00795ED6"/>
    <w:rsid w:val="00795F5B"/>
    <w:rsid w:val="00795FFF"/>
    <w:rsid w:val="0079657B"/>
    <w:rsid w:val="00796741"/>
    <w:rsid w:val="00796E77"/>
    <w:rsid w:val="00796F9E"/>
    <w:rsid w:val="0079712E"/>
    <w:rsid w:val="0079728F"/>
    <w:rsid w:val="007972FB"/>
    <w:rsid w:val="00797471"/>
    <w:rsid w:val="00797652"/>
    <w:rsid w:val="00797E5C"/>
    <w:rsid w:val="00797FBB"/>
    <w:rsid w:val="007A007F"/>
    <w:rsid w:val="007A081B"/>
    <w:rsid w:val="007A094C"/>
    <w:rsid w:val="007A0988"/>
    <w:rsid w:val="007A09DB"/>
    <w:rsid w:val="007A0D7B"/>
    <w:rsid w:val="007A0E54"/>
    <w:rsid w:val="007A0F78"/>
    <w:rsid w:val="007A1921"/>
    <w:rsid w:val="007A1933"/>
    <w:rsid w:val="007A19A0"/>
    <w:rsid w:val="007A2109"/>
    <w:rsid w:val="007A22CD"/>
    <w:rsid w:val="007A231A"/>
    <w:rsid w:val="007A258C"/>
    <w:rsid w:val="007A26ED"/>
    <w:rsid w:val="007A28C6"/>
    <w:rsid w:val="007A2938"/>
    <w:rsid w:val="007A2CE5"/>
    <w:rsid w:val="007A2D53"/>
    <w:rsid w:val="007A2E15"/>
    <w:rsid w:val="007A3146"/>
    <w:rsid w:val="007A32F2"/>
    <w:rsid w:val="007A3345"/>
    <w:rsid w:val="007A3467"/>
    <w:rsid w:val="007A34DE"/>
    <w:rsid w:val="007A3583"/>
    <w:rsid w:val="007A38FD"/>
    <w:rsid w:val="007A3B9A"/>
    <w:rsid w:val="007A3C22"/>
    <w:rsid w:val="007A46F1"/>
    <w:rsid w:val="007A495A"/>
    <w:rsid w:val="007A4E4E"/>
    <w:rsid w:val="007A5049"/>
    <w:rsid w:val="007A530B"/>
    <w:rsid w:val="007A532A"/>
    <w:rsid w:val="007A5526"/>
    <w:rsid w:val="007A55C4"/>
    <w:rsid w:val="007A5616"/>
    <w:rsid w:val="007A5848"/>
    <w:rsid w:val="007A5D15"/>
    <w:rsid w:val="007A5EA7"/>
    <w:rsid w:val="007A60D0"/>
    <w:rsid w:val="007A6213"/>
    <w:rsid w:val="007A62B5"/>
    <w:rsid w:val="007A636A"/>
    <w:rsid w:val="007A6444"/>
    <w:rsid w:val="007A6692"/>
    <w:rsid w:val="007A6799"/>
    <w:rsid w:val="007A67F0"/>
    <w:rsid w:val="007A68D2"/>
    <w:rsid w:val="007A6F8E"/>
    <w:rsid w:val="007A70EF"/>
    <w:rsid w:val="007A7464"/>
    <w:rsid w:val="007A7494"/>
    <w:rsid w:val="007A776D"/>
    <w:rsid w:val="007A78C4"/>
    <w:rsid w:val="007A798E"/>
    <w:rsid w:val="007A7D01"/>
    <w:rsid w:val="007B00D8"/>
    <w:rsid w:val="007B029B"/>
    <w:rsid w:val="007B0452"/>
    <w:rsid w:val="007B04FB"/>
    <w:rsid w:val="007B06D3"/>
    <w:rsid w:val="007B0AA9"/>
    <w:rsid w:val="007B0B21"/>
    <w:rsid w:val="007B0B37"/>
    <w:rsid w:val="007B0BCB"/>
    <w:rsid w:val="007B0E94"/>
    <w:rsid w:val="007B0F62"/>
    <w:rsid w:val="007B10DE"/>
    <w:rsid w:val="007B12CF"/>
    <w:rsid w:val="007B147E"/>
    <w:rsid w:val="007B1501"/>
    <w:rsid w:val="007B166C"/>
    <w:rsid w:val="007B179C"/>
    <w:rsid w:val="007B1E12"/>
    <w:rsid w:val="007B1F36"/>
    <w:rsid w:val="007B20B2"/>
    <w:rsid w:val="007B2478"/>
    <w:rsid w:val="007B2B40"/>
    <w:rsid w:val="007B2D6F"/>
    <w:rsid w:val="007B3218"/>
    <w:rsid w:val="007B3304"/>
    <w:rsid w:val="007B3F45"/>
    <w:rsid w:val="007B405C"/>
    <w:rsid w:val="007B4433"/>
    <w:rsid w:val="007B4437"/>
    <w:rsid w:val="007B457C"/>
    <w:rsid w:val="007B45B0"/>
    <w:rsid w:val="007B568D"/>
    <w:rsid w:val="007B570F"/>
    <w:rsid w:val="007B580F"/>
    <w:rsid w:val="007B58DE"/>
    <w:rsid w:val="007B59DC"/>
    <w:rsid w:val="007B5F03"/>
    <w:rsid w:val="007B60FF"/>
    <w:rsid w:val="007B6806"/>
    <w:rsid w:val="007B6825"/>
    <w:rsid w:val="007B6918"/>
    <w:rsid w:val="007B697E"/>
    <w:rsid w:val="007B6FAC"/>
    <w:rsid w:val="007B7524"/>
    <w:rsid w:val="007B7A0F"/>
    <w:rsid w:val="007B7C39"/>
    <w:rsid w:val="007B7D2B"/>
    <w:rsid w:val="007B7DCB"/>
    <w:rsid w:val="007B7E59"/>
    <w:rsid w:val="007C043F"/>
    <w:rsid w:val="007C0483"/>
    <w:rsid w:val="007C04C1"/>
    <w:rsid w:val="007C0583"/>
    <w:rsid w:val="007C0A2C"/>
    <w:rsid w:val="007C0BD7"/>
    <w:rsid w:val="007C0D1A"/>
    <w:rsid w:val="007C14B1"/>
    <w:rsid w:val="007C1534"/>
    <w:rsid w:val="007C1B2E"/>
    <w:rsid w:val="007C20CE"/>
    <w:rsid w:val="007C293F"/>
    <w:rsid w:val="007C2C4D"/>
    <w:rsid w:val="007C2C9A"/>
    <w:rsid w:val="007C2E39"/>
    <w:rsid w:val="007C3061"/>
    <w:rsid w:val="007C319D"/>
    <w:rsid w:val="007C36B7"/>
    <w:rsid w:val="007C3725"/>
    <w:rsid w:val="007C37B0"/>
    <w:rsid w:val="007C4192"/>
    <w:rsid w:val="007C457F"/>
    <w:rsid w:val="007C4619"/>
    <w:rsid w:val="007C4762"/>
    <w:rsid w:val="007C485A"/>
    <w:rsid w:val="007C4FD4"/>
    <w:rsid w:val="007C5147"/>
    <w:rsid w:val="007C52FE"/>
    <w:rsid w:val="007C5926"/>
    <w:rsid w:val="007C59F8"/>
    <w:rsid w:val="007C5DFF"/>
    <w:rsid w:val="007C5EBB"/>
    <w:rsid w:val="007C6046"/>
    <w:rsid w:val="007C6178"/>
    <w:rsid w:val="007C653E"/>
    <w:rsid w:val="007C657D"/>
    <w:rsid w:val="007C6727"/>
    <w:rsid w:val="007C6A96"/>
    <w:rsid w:val="007C6C5A"/>
    <w:rsid w:val="007C7676"/>
    <w:rsid w:val="007C7CCB"/>
    <w:rsid w:val="007C7EA7"/>
    <w:rsid w:val="007C7EE3"/>
    <w:rsid w:val="007D028A"/>
    <w:rsid w:val="007D04C4"/>
    <w:rsid w:val="007D05E5"/>
    <w:rsid w:val="007D06AB"/>
    <w:rsid w:val="007D06D4"/>
    <w:rsid w:val="007D0B58"/>
    <w:rsid w:val="007D139A"/>
    <w:rsid w:val="007D13A9"/>
    <w:rsid w:val="007D168E"/>
    <w:rsid w:val="007D17C7"/>
    <w:rsid w:val="007D1BD1"/>
    <w:rsid w:val="007D1EA3"/>
    <w:rsid w:val="007D2484"/>
    <w:rsid w:val="007D26BA"/>
    <w:rsid w:val="007D2724"/>
    <w:rsid w:val="007D27E2"/>
    <w:rsid w:val="007D28A9"/>
    <w:rsid w:val="007D3272"/>
    <w:rsid w:val="007D32B2"/>
    <w:rsid w:val="007D3311"/>
    <w:rsid w:val="007D340E"/>
    <w:rsid w:val="007D3644"/>
    <w:rsid w:val="007D36E5"/>
    <w:rsid w:val="007D37D9"/>
    <w:rsid w:val="007D37DF"/>
    <w:rsid w:val="007D399D"/>
    <w:rsid w:val="007D3A56"/>
    <w:rsid w:val="007D3D1A"/>
    <w:rsid w:val="007D4004"/>
    <w:rsid w:val="007D40A6"/>
    <w:rsid w:val="007D4391"/>
    <w:rsid w:val="007D43EA"/>
    <w:rsid w:val="007D47A9"/>
    <w:rsid w:val="007D4DBD"/>
    <w:rsid w:val="007D4E95"/>
    <w:rsid w:val="007D4E98"/>
    <w:rsid w:val="007D5208"/>
    <w:rsid w:val="007D54A9"/>
    <w:rsid w:val="007D550C"/>
    <w:rsid w:val="007D5B5C"/>
    <w:rsid w:val="007D5B82"/>
    <w:rsid w:val="007D5C98"/>
    <w:rsid w:val="007D5CD5"/>
    <w:rsid w:val="007D60F8"/>
    <w:rsid w:val="007D6DF2"/>
    <w:rsid w:val="007D6ECB"/>
    <w:rsid w:val="007D701B"/>
    <w:rsid w:val="007D7025"/>
    <w:rsid w:val="007D72F8"/>
    <w:rsid w:val="007D7481"/>
    <w:rsid w:val="007D7574"/>
    <w:rsid w:val="007D75C2"/>
    <w:rsid w:val="007D79D4"/>
    <w:rsid w:val="007D7AC9"/>
    <w:rsid w:val="007D7BCA"/>
    <w:rsid w:val="007D7C14"/>
    <w:rsid w:val="007D7C2C"/>
    <w:rsid w:val="007D7DBB"/>
    <w:rsid w:val="007E0C65"/>
    <w:rsid w:val="007E0CA1"/>
    <w:rsid w:val="007E0D01"/>
    <w:rsid w:val="007E0EB9"/>
    <w:rsid w:val="007E117A"/>
    <w:rsid w:val="007E1361"/>
    <w:rsid w:val="007E15E9"/>
    <w:rsid w:val="007E187D"/>
    <w:rsid w:val="007E1899"/>
    <w:rsid w:val="007E1F99"/>
    <w:rsid w:val="007E20EB"/>
    <w:rsid w:val="007E23AC"/>
    <w:rsid w:val="007E282A"/>
    <w:rsid w:val="007E282B"/>
    <w:rsid w:val="007E2E38"/>
    <w:rsid w:val="007E3219"/>
    <w:rsid w:val="007E39E9"/>
    <w:rsid w:val="007E3E75"/>
    <w:rsid w:val="007E45A9"/>
    <w:rsid w:val="007E4BC3"/>
    <w:rsid w:val="007E4CC6"/>
    <w:rsid w:val="007E516E"/>
    <w:rsid w:val="007E57A6"/>
    <w:rsid w:val="007E5C74"/>
    <w:rsid w:val="007E5EBC"/>
    <w:rsid w:val="007E60A1"/>
    <w:rsid w:val="007E61B7"/>
    <w:rsid w:val="007E650A"/>
    <w:rsid w:val="007E67B2"/>
    <w:rsid w:val="007E68F3"/>
    <w:rsid w:val="007E6AB8"/>
    <w:rsid w:val="007E6EBE"/>
    <w:rsid w:val="007E7027"/>
    <w:rsid w:val="007E759A"/>
    <w:rsid w:val="007E763C"/>
    <w:rsid w:val="007E7691"/>
    <w:rsid w:val="007E76FD"/>
    <w:rsid w:val="007E77E8"/>
    <w:rsid w:val="007E78E5"/>
    <w:rsid w:val="007E7B96"/>
    <w:rsid w:val="007E7C41"/>
    <w:rsid w:val="007E7DCB"/>
    <w:rsid w:val="007E7E36"/>
    <w:rsid w:val="007E7E4A"/>
    <w:rsid w:val="007F04C8"/>
    <w:rsid w:val="007F0989"/>
    <w:rsid w:val="007F0C37"/>
    <w:rsid w:val="007F0DA3"/>
    <w:rsid w:val="007F0DE0"/>
    <w:rsid w:val="007F109A"/>
    <w:rsid w:val="007F1472"/>
    <w:rsid w:val="007F14F6"/>
    <w:rsid w:val="007F1E8A"/>
    <w:rsid w:val="007F207D"/>
    <w:rsid w:val="007F2199"/>
    <w:rsid w:val="007F219B"/>
    <w:rsid w:val="007F2470"/>
    <w:rsid w:val="007F2563"/>
    <w:rsid w:val="007F2598"/>
    <w:rsid w:val="007F25E6"/>
    <w:rsid w:val="007F2AC1"/>
    <w:rsid w:val="007F305F"/>
    <w:rsid w:val="007F30E5"/>
    <w:rsid w:val="007F33C8"/>
    <w:rsid w:val="007F361B"/>
    <w:rsid w:val="007F37BC"/>
    <w:rsid w:val="007F3801"/>
    <w:rsid w:val="007F397C"/>
    <w:rsid w:val="007F3A05"/>
    <w:rsid w:val="007F3B91"/>
    <w:rsid w:val="007F4331"/>
    <w:rsid w:val="007F436D"/>
    <w:rsid w:val="007F448B"/>
    <w:rsid w:val="007F4A67"/>
    <w:rsid w:val="007F4DD6"/>
    <w:rsid w:val="007F57D1"/>
    <w:rsid w:val="007F5947"/>
    <w:rsid w:val="007F5E02"/>
    <w:rsid w:val="007F60D5"/>
    <w:rsid w:val="007F649E"/>
    <w:rsid w:val="007F6DD5"/>
    <w:rsid w:val="007F6F09"/>
    <w:rsid w:val="007F7190"/>
    <w:rsid w:val="007F75B4"/>
    <w:rsid w:val="007F7707"/>
    <w:rsid w:val="007F7EF5"/>
    <w:rsid w:val="00800230"/>
    <w:rsid w:val="00800264"/>
    <w:rsid w:val="00800642"/>
    <w:rsid w:val="008006A5"/>
    <w:rsid w:val="008007F9"/>
    <w:rsid w:val="00800875"/>
    <w:rsid w:val="00800A14"/>
    <w:rsid w:val="00800BE1"/>
    <w:rsid w:val="008015AA"/>
    <w:rsid w:val="008016C3"/>
    <w:rsid w:val="00801B10"/>
    <w:rsid w:val="00801C92"/>
    <w:rsid w:val="00801EF7"/>
    <w:rsid w:val="0080207E"/>
    <w:rsid w:val="008022B6"/>
    <w:rsid w:val="008023F4"/>
    <w:rsid w:val="008028B7"/>
    <w:rsid w:val="00802A50"/>
    <w:rsid w:val="00803321"/>
    <w:rsid w:val="008035EB"/>
    <w:rsid w:val="0080376F"/>
    <w:rsid w:val="0080383F"/>
    <w:rsid w:val="00803AF6"/>
    <w:rsid w:val="00803DA6"/>
    <w:rsid w:val="00803F42"/>
    <w:rsid w:val="00803F9B"/>
    <w:rsid w:val="00803F9F"/>
    <w:rsid w:val="008040C0"/>
    <w:rsid w:val="0080469B"/>
    <w:rsid w:val="0080497D"/>
    <w:rsid w:val="00804B46"/>
    <w:rsid w:val="00804B6A"/>
    <w:rsid w:val="008053D1"/>
    <w:rsid w:val="0080543A"/>
    <w:rsid w:val="0080581A"/>
    <w:rsid w:val="008058F6"/>
    <w:rsid w:val="0080609F"/>
    <w:rsid w:val="0080613B"/>
    <w:rsid w:val="00806800"/>
    <w:rsid w:val="00806864"/>
    <w:rsid w:val="00806A4A"/>
    <w:rsid w:val="00806C1A"/>
    <w:rsid w:val="00806E53"/>
    <w:rsid w:val="00807021"/>
    <w:rsid w:val="0080724D"/>
    <w:rsid w:val="008074EE"/>
    <w:rsid w:val="008076A4"/>
    <w:rsid w:val="00807876"/>
    <w:rsid w:val="0081060E"/>
    <w:rsid w:val="00810670"/>
    <w:rsid w:val="00810A92"/>
    <w:rsid w:val="00810C17"/>
    <w:rsid w:val="00810E02"/>
    <w:rsid w:val="00811320"/>
    <w:rsid w:val="00811616"/>
    <w:rsid w:val="00811A6E"/>
    <w:rsid w:val="00811C67"/>
    <w:rsid w:val="00811E95"/>
    <w:rsid w:val="00811F2C"/>
    <w:rsid w:val="00811F73"/>
    <w:rsid w:val="00812217"/>
    <w:rsid w:val="00812335"/>
    <w:rsid w:val="00812590"/>
    <w:rsid w:val="0081291B"/>
    <w:rsid w:val="00812955"/>
    <w:rsid w:val="00812D50"/>
    <w:rsid w:val="00812D64"/>
    <w:rsid w:val="008133A4"/>
    <w:rsid w:val="00813672"/>
    <w:rsid w:val="00813AF6"/>
    <w:rsid w:val="00813B2F"/>
    <w:rsid w:val="00813CFB"/>
    <w:rsid w:val="008143FB"/>
    <w:rsid w:val="00814419"/>
    <w:rsid w:val="008146E2"/>
    <w:rsid w:val="00814A11"/>
    <w:rsid w:val="00814B4F"/>
    <w:rsid w:val="00814EAF"/>
    <w:rsid w:val="00814FEE"/>
    <w:rsid w:val="0081509C"/>
    <w:rsid w:val="008151E0"/>
    <w:rsid w:val="0081545E"/>
    <w:rsid w:val="00815573"/>
    <w:rsid w:val="0081571A"/>
    <w:rsid w:val="00815959"/>
    <w:rsid w:val="008159F2"/>
    <w:rsid w:val="00815FF2"/>
    <w:rsid w:val="00816192"/>
    <w:rsid w:val="0081654E"/>
    <w:rsid w:val="00816587"/>
    <w:rsid w:val="00816616"/>
    <w:rsid w:val="00816619"/>
    <w:rsid w:val="008167EF"/>
    <w:rsid w:val="0081692F"/>
    <w:rsid w:val="00816C21"/>
    <w:rsid w:val="00817068"/>
    <w:rsid w:val="008175AC"/>
    <w:rsid w:val="00817627"/>
    <w:rsid w:val="00817835"/>
    <w:rsid w:val="00817A0F"/>
    <w:rsid w:val="00817EB3"/>
    <w:rsid w:val="00820242"/>
    <w:rsid w:val="0082033F"/>
    <w:rsid w:val="00820373"/>
    <w:rsid w:val="008205E7"/>
    <w:rsid w:val="008205F6"/>
    <w:rsid w:val="008208F3"/>
    <w:rsid w:val="00820A11"/>
    <w:rsid w:val="00820BDC"/>
    <w:rsid w:val="00821015"/>
    <w:rsid w:val="008210AD"/>
    <w:rsid w:val="008216F6"/>
    <w:rsid w:val="00821738"/>
    <w:rsid w:val="00821813"/>
    <w:rsid w:val="00821A4E"/>
    <w:rsid w:val="00821BF0"/>
    <w:rsid w:val="00821EA2"/>
    <w:rsid w:val="008221C7"/>
    <w:rsid w:val="008224CD"/>
    <w:rsid w:val="0082252E"/>
    <w:rsid w:val="00823462"/>
    <w:rsid w:val="00823680"/>
    <w:rsid w:val="00823AFC"/>
    <w:rsid w:val="00823F6D"/>
    <w:rsid w:val="008241E0"/>
    <w:rsid w:val="0082459B"/>
    <w:rsid w:val="00824687"/>
    <w:rsid w:val="0082486E"/>
    <w:rsid w:val="00824942"/>
    <w:rsid w:val="00824B60"/>
    <w:rsid w:val="00824BDB"/>
    <w:rsid w:val="00825456"/>
    <w:rsid w:val="008255B9"/>
    <w:rsid w:val="00825619"/>
    <w:rsid w:val="00825B3D"/>
    <w:rsid w:val="00825D11"/>
    <w:rsid w:val="00825E24"/>
    <w:rsid w:val="00825EAF"/>
    <w:rsid w:val="00826796"/>
    <w:rsid w:val="00826D41"/>
    <w:rsid w:val="0082703E"/>
    <w:rsid w:val="00827B26"/>
    <w:rsid w:val="00827D5B"/>
    <w:rsid w:val="00827DBC"/>
    <w:rsid w:val="00830208"/>
    <w:rsid w:val="00830546"/>
    <w:rsid w:val="00830E67"/>
    <w:rsid w:val="008313CD"/>
    <w:rsid w:val="0083140E"/>
    <w:rsid w:val="008315B9"/>
    <w:rsid w:val="00831D74"/>
    <w:rsid w:val="00831FDC"/>
    <w:rsid w:val="008324BC"/>
    <w:rsid w:val="00832A3A"/>
    <w:rsid w:val="00832B0C"/>
    <w:rsid w:val="00833001"/>
    <w:rsid w:val="0083347C"/>
    <w:rsid w:val="008334F8"/>
    <w:rsid w:val="00833721"/>
    <w:rsid w:val="00833E38"/>
    <w:rsid w:val="00833E7F"/>
    <w:rsid w:val="00833F69"/>
    <w:rsid w:val="00834077"/>
    <w:rsid w:val="0083414B"/>
    <w:rsid w:val="00834919"/>
    <w:rsid w:val="00834D14"/>
    <w:rsid w:val="00834D44"/>
    <w:rsid w:val="00834EB1"/>
    <w:rsid w:val="00834F46"/>
    <w:rsid w:val="00835047"/>
    <w:rsid w:val="008351B6"/>
    <w:rsid w:val="008351EB"/>
    <w:rsid w:val="0083567F"/>
    <w:rsid w:val="008356D6"/>
    <w:rsid w:val="00835AAA"/>
    <w:rsid w:val="00835BD9"/>
    <w:rsid w:val="00835BE4"/>
    <w:rsid w:val="00835E6F"/>
    <w:rsid w:val="008360A7"/>
    <w:rsid w:val="00836448"/>
    <w:rsid w:val="0083739A"/>
    <w:rsid w:val="00837582"/>
    <w:rsid w:val="00837614"/>
    <w:rsid w:val="00837767"/>
    <w:rsid w:val="00837810"/>
    <w:rsid w:val="00837D5A"/>
    <w:rsid w:val="00837D7F"/>
    <w:rsid w:val="00837DF7"/>
    <w:rsid w:val="00837FE4"/>
    <w:rsid w:val="008406D5"/>
    <w:rsid w:val="008406E1"/>
    <w:rsid w:val="0084082C"/>
    <w:rsid w:val="00840A57"/>
    <w:rsid w:val="00840FE8"/>
    <w:rsid w:val="008410B9"/>
    <w:rsid w:val="008415DE"/>
    <w:rsid w:val="00841ADD"/>
    <w:rsid w:val="00841C08"/>
    <w:rsid w:val="00842070"/>
    <w:rsid w:val="00842948"/>
    <w:rsid w:val="00842DD8"/>
    <w:rsid w:val="00842F68"/>
    <w:rsid w:val="00843000"/>
    <w:rsid w:val="00843021"/>
    <w:rsid w:val="00843109"/>
    <w:rsid w:val="00843312"/>
    <w:rsid w:val="008434AB"/>
    <w:rsid w:val="0084351F"/>
    <w:rsid w:val="008439B5"/>
    <w:rsid w:val="008439FD"/>
    <w:rsid w:val="00843A79"/>
    <w:rsid w:val="00843D7C"/>
    <w:rsid w:val="0084443E"/>
    <w:rsid w:val="008444F2"/>
    <w:rsid w:val="0084481E"/>
    <w:rsid w:val="00844CDF"/>
    <w:rsid w:val="00844E83"/>
    <w:rsid w:val="00844FE3"/>
    <w:rsid w:val="008451D9"/>
    <w:rsid w:val="00845243"/>
    <w:rsid w:val="00845471"/>
    <w:rsid w:val="00845B9E"/>
    <w:rsid w:val="00845BC2"/>
    <w:rsid w:val="00845D86"/>
    <w:rsid w:val="00845F91"/>
    <w:rsid w:val="00846058"/>
    <w:rsid w:val="0084654E"/>
    <w:rsid w:val="0084669C"/>
    <w:rsid w:val="00846B00"/>
    <w:rsid w:val="00846CCC"/>
    <w:rsid w:val="00846EA4"/>
    <w:rsid w:val="00847471"/>
    <w:rsid w:val="00847670"/>
    <w:rsid w:val="008476B9"/>
    <w:rsid w:val="00847904"/>
    <w:rsid w:val="00847DC4"/>
    <w:rsid w:val="00847EC6"/>
    <w:rsid w:val="00850213"/>
    <w:rsid w:val="00850544"/>
    <w:rsid w:val="00850641"/>
    <w:rsid w:val="0085068C"/>
    <w:rsid w:val="00850818"/>
    <w:rsid w:val="00850858"/>
    <w:rsid w:val="00850E41"/>
    <w:rsid w:val="00851309"/>
    <w:rsid w:val="00851375"/>
    <w:rsid w:val="0085155A"/>
    <w:rsid w:val="0085160F"/>
    <w:rsid w:val="00851681"/>
    <w:rsid w:val="008517C0"/>
    <w:rsid w:val="008519C1"/>
    <w:rsid w:val="00851BBB"/>
    <w:rsid w:val="00851C1A"/>
    <w:rsid w:val="00851C52"/>
    <w:rsid w:val="00851C69"/>
    <w:rsid w:val="008524DD"/>
    <w:rsid w:val="00852535"/>
    <w:rsid w:val="008526B7"/>
    <w:rsid w:val="00852968"/>
    <w:rsid w:val="00852F89"/>
    <w:rsid w:val="00853122"/>
    <w:rsid w:val="008531B5"/>
    <w:rsid w:val="00853209"/>
    <w:rsid w:val="00853882"/>
    <w:rsid w:val="00853AE5"/>
    <w:rsid w:val="00853D36"/>
    <w:rsid w:val="00853E75"/>
    <w:rsid w:val="00853F29"/>
    <w:rsid w:val="00853FBF"/>
    <w:rsid w:val="008543C6"/>
    <w:rsid w:val="0085454E"/>
    <w:rsid w:val="00854754"/>
    <w:rsid w:val="00854802"/>
    <w:rsid w:val="008548C6"/>
    <w:rsid w:val="00854B7A"/>
    <w:rsid w:val="00854DDD"/>
    <w:rsid w:val="00854EA1"/>
    <w:rsid w:val="00855055"/>
    <w:rsid w:val="00855155"/>
    <w:rsid w:val="00855350"/>
    <w:rsid w:val="008556AE"/>
    <w:rsid w:val="008557FC"/>
    <w:rsid w:val="00855984"/>
    <w:rsid w:val="00855EA9"/>
    <w:rsid w:val="00855F7D"/>
    <w:rsid w:val="00856234"/>
    <w:rsid w:val="0085648C"/>
    <w:rsid w:val="00856A57"/>
    <w:rsid w:val="00856DF2"/>
    <w:rsid w:val="008570D5"/>
    <w:rsid w:val="00857378"/>
    <w:rsid w:val="008573C0"/>
    <w:rsid w:val="00857B69"/>
    <w:rsid w:val="00857F9B"/>
    <w:rsid w:val="00857FCD"/>
    <w:rsid w:val="00860020"/>
    <w:rsid w:val="00860761"/>
    <w:rsid w:val="008609B6"/>
    <w:rsid w:val="00860E3F"/>
    <w:rsid w:val="00860ED5"/>
    <w:rsid w:val="0086137D"/>
    <w:rsid w:val="008613A3"/>
    <w:rsid w:val="00861496"/>
    <w:rsid w:val="00861809"/>
    <w:rsid w:val="008618CE"/>
    <w:rsid w:val="00861967"/>
    <w:rsid w:val="00861D41"/>
    <w:rsid w:val="00862237"/>
    <w:rsid w:val="00862776"/>
    <w:rsid w:val="0086286C"/>
    <w:rsid w:val="00862EC9"/>
    <w:rsid w:val="00862FFF"/>
    <w:rsid w:val="00863224"/>
    <w:rsid w:val="00863273"/>
    <w:rsid w:val="00863537"/>
    <w:rsid w:val="0086361F"/>
    <w:rsid w:val="008637D9"/>
    <w:rsid w:val="0086390E"/>
    <w:rsid w:val="00863F89"/>
    <w:rsid w:val="008640BF"/>
    <w:rsid w:val="008641C1"/>
    <w:rsid w:val="008648CF"/>
    <w:rsid w:val="008649A8"/>
    <w:rsid w:val="00864C4C"/>
    <w:rsid w:val="00864C7D"/>
    <w:rsid w:val="00864DCA"/>
    <w:rsid w:val="008650AB"/>
    <w:rsid w:val="008652CA"/>
    <w:rsid w:val="008653FD"/>
    <w:rsid w:val="008656AB"/>
    <w:rsid w:val="008659A3"/>
    <w:rsid w:val="008659B2"/>
    <w:rsid w:val="00865CC4"/>
    <w:rsid w:val="00865E6C"/>
    <w:rsid w:val="00865F68"/>
    <w:rsid w:val="00866397"/>
    <w:rsid w:val="008664F1"/>
    <w:rsid w:val="008665AB"/>
    <w:rsid w:val="00866E65"/>
    <w:rsid w:val="008670AD"/>
    <w:rsid w:val="008671A9"/>
    <w:rsid w:val="00867832"/>
    <w:rsid w:val="00867E70"/>
    <w:rsid w:val="00867F18"/>
    <w:rsid w:val="0087029D"/>
    <w:rsid w:val="008702D1"/>
    <w:rsid w:val="0087047A"/>
    <w:rsid w:val="00870761"/>
    <w:rsid w:val="008707F0"/>
    <w:rsid w:val="00870CF9"/>
    <w:rsid w:val="00870D82"/>
    <w:rsid w:val="00871A6F"/>
    <w:rsid w:val="00871E5E"/>
    <w:rsid w:val="00871EE6"/>
    <w:rsid w:val="008722BD"/>
    <w:rsid w:val="008722EB"/>
    <w:rsid w:val="008723C0"/>
    <w:rsid w:val="008729F8"/>
    <w:rsid w:val="00872B5B"/>
    <w:rsid w:val="00872E6B"/>
    <w:rsid w:val="00873428"/>
    <w:rsid w:val="008739C2"/>
    <w:rsid w:val="00873D98"/>
    <w:rsid w:val="00873DC0"/>
    <w:rsid w:val="00873F9A"/>
    <w:rsid w:val="00874016"/>
    <w:rsid w:val="008742E4"/>
    <w:rsid w:val="00874940"/>
    <w:rsid w:val="008749F5"/>
    <w:rsid w:val="00874AE3"/>
    <w:rsid w:val="00875108"/>
    <w:rsid w:val="00875695"/>
    <w:rsid w:val="00875868"/>
    <w:rsid w:val="008759DD"/>
    <w:rsid w:val="00875DCC"/>
    <w:rsid w:val="00875E6F"/>
    <w:rsid w:val="008761AC"/>
    <w:rsid w:val="0087628D"/>
    <w:rsid w:val="0087663F"/>
    <w:rsid w:val="008766A8"/>
    <w:rsid w:val="00876D35"/>
    <w:rsid w:val="0087722E"/>
    <w:rsid w:val="00877543"/>
    <w:rsid w:val="00877734"/>
    <w:rsid w:val="0088001E"/>
    <w:rsid w:val="00880187"/>
    <w:rsid w:val="008808B8"/>
    <w:rsid w:val="0088091F"/>
    <w:rsid w:val="00880BF2"/>
    <w:rsid w:val="00880EB7"/>
    <w:rsid w:val="00880EBF"/>
    <w:rsid w:val="0088106B"/>
    <w:rsid w:val="0088106C"/>
    <w:rsid w:val="008813EB"/>
    <w:rsid w:val="008815E4"/>
    <w:rsid w:val="00881858"/>
    <w:rsid w:val="008819D6"/>
    <w:rsid w:val="0088209C"/>
    <w:rsid w:val="0088246A"/>
    <w:rsid w:val="00882A5B"/>
    <w:rsid w:val="008830B1"/>
    <w:rsid w:val="008831F2"/>
    <w:rsid w:val="00883260"/>
    <w:rsid w:val="0088338D"/>
    <w:rsid w:val="00883461"/>
    <w:rsid w:val="0088384D"/>
    <w:rsid w:val="0088390C"/>
    <w:rsid w:val="00883FD5"/>
    <w:rsid w:val="00884070"/>
    <w:rsid w:val="008840C3"/>
    <w:rsid w:val="00884B56"/>
    <w:rsid w:val="00884D4B"/>
    <w:rsid w:val="00884ECC"/>
    <w:rsid w:val="008854FA"/>
    <w:rsid w:val="00885A7A"/>
    <w:rsid w:val="00885B39"/>
    <w:rsid w:val="00885C9F"/>
    <w:rsid w:val="00885D3F"/>
    <w:rsid w:val="00885D75"/>
    <w:rsid w:val="00885F66"/>
    <w:rsid w:val="008861AA"/>
    <w:rsid w:val="00886446"/>
    <w:rsid w:val="00886FF5"/>
    <w:rsid w:val="008874AD"/>
    <w:rsid w:val="00887C71"/>
    <w:rsid w:val="00887D39"/>
    <w:rsid w:val="00887E58"/>
    <w:rsid w:val="00890954"/>
    <w:rsid w:val="00890CEA"/>
    <w:rsid w:val="00891414"/>
    <w:rsid w:val="008917F0"/>
    <w:rsid w:val="00891EB4"/>
    <w:rsid w:val="00892199"/>
    <w:rsid w:val="00892356"/>
    <w:rsid w:val="00892E03"/>
    <w:rsid w:val="00893245"/>
    <w:rsid w:val="00893CFA"/>
    <w:rsid w:val="00893F94"/>
    <w:rsid w:val="008940A5"/>
    <w:rsid w:val="008942F9"/>
    <w:rsid w:val="008944AE"/>
    <w:rsid w:val="008947A5"/>
    <w:rsid w:val="00894DA7"/>
    <w:rsid w:val="00894E9A"/>
    <w:rsid w:val="00895401"/>
    <w:rsid w:val="00895ABC"/>
    <w:rsid w:val="00895B58"/>
    <w:rsid w:val="00895E2C"/>
    <w:rsid w:val="00896511"/>
    <w:rsid w:val="008966BC"/>
    <w:rsid w:val="008969E9"/>
    <w:rsid w:val="00896C33"/>
    <w:rsid w:val="008970C0"/>
    <w:rsid w:val="00897116"/>
    <w:rsid w:val="00897168"/>
    <w:rsid w:val="008974EF"/>
    <w:rsid w:val="008975C5"/>
    <w:rsid w:val="008976FF"/>
    <w:rsid w:val="00897935"/>
    <w:rsid w:val="00897B87"/>
    <w:rsid w:val="00897C5E"/>
    <w:rsid w:val="00897DFD"/>
    <w:rsid w:val="008A081A"/>
    <w:rsid w:val="008A09BE"/>
    <w:rsid w:val="008A0DB5"/>
    <w:rsid w:val="008A0E13"/>
    <w:rsid w:val="008A122C"/>
    <w:rsid w:val="008A1670"/>
    <w:rsid w:val="008A1909"/>
    <w:rsid w:val="008A2686"/>
    <w:rsid w:val="008A2D5A"/>
    <w:rsid w:val="008A2FE7"/>
    <w:rsid w:val="008A35C0"/>
    <w:rsid w:val="008A3753"/>
    <w:rsid w:val="008A39EE"/>
    <w:rsid w:val="008A3D0E"/>
    <w:rsid w:val="008A3E53"/>
    <w:rsid w:val="008A3F8B"/>
    <w:rsid w:val="008A4207"/>
    <w:rsid w:val="008A44A6"/>
    <w:rsid w:val="008A4846"/>
    <w:rsid w:val="008A48FA"/>
    <w:rsid w:val="008A4ABD"/>
    <w:rsid w:val="008A4CA7"/>
    <w:rsid w:val="008A5053"/>
    <w:rsid w:val="008A5296"/>
    <w:rsid w:val="008A55E3"/>
    <w:rsid w:val="008A5A69"/>
    <w:rsid w:val="008A5CDC"/>
    <w:rsid w:val="008A647F"/>
    <w:rsid w:val="008A695F"/>
    <w:rsid w:val="008A6C8C"/>
    <w:rsid w:val="008A6D71"/>
    <w:rsid w:val="008A6D7C"/>
    <w:rsid w:val="008A73A7"/>
    <w:rsid w:val="008A7C14"/>
    <w:rsid w:val="008A7CA7"/>
    <w:rsid w:val="008A7CCC"/>
    <w:rsid w:val="008A7F75"/>
    <w:rsid w:val="008B01B9"/>
    <w:rsid w:val="008B03A4"/>
    <w:rsid w:val="008B042B"/>
    <w:rsid w:val="008B0696"/>
    <w:rsid w:val="008B078E"/>
    <w:rsid w:val="008B0A6A"/>
    <w:rsid w:val="008B0C64"/>
    <w:rsid w:val="008B0DF7"/>
    <w:rsid w:val="008B0DFD"/>
    <w:rsid w:val="008B0E22"/>
    <w:rsid w:val="008B14AB"/>
    <w:rsid w:val="008B19BA"/>
    <w:rsid w:val="008B1D62"/>
    <w:rsid w:val="008B1E2C"/>
    <w:rsid w:val="008B213F"/>
    <w:rsid w:val="008B2496"/>
    <w:rsid w:val="008B24B2"/>
    <w:rsid w:val="008B262E"/>
    <w:rsid w:val="008B26FD"/>
    <w:rsid w:val="008B276D"/>
    <w:rsid w:val="008B27FC"/>
    <w:rsid w:val="008B2C0C"/>
    <w:rsid w:val="008B2C5A"/>
    <w:rsid w:val="008B2C63"/>
    <w:rsid w:val="008B31D4"/>
    <w:rsid w:val="008B3208"/>
    <w:rsid w:val="008B3364"/>
    <w:rsid w:val="008B3A2B"/>
    <w:rsid w:val="008B3B01"/>
    <w:rsid w:val="008B3D6D"/>
    <w:rsid w:val="008B4425"/>
    <w:rsid w:val="008B4668"/>
    <w:rsid w:val="008B4902"/>
    <w:rsid w:val="008B4C26"/>
    <w:rsid w:val="008B4F5D"/>
    <w:rsid w:val="008B50A7"/>
    <w:rsid w:val="008B511F"/>
    <w:rsid w:val="008B51DC"/>
    <w:rsid w:val="008B574F"/>
    <w:rsid w:val="008B5895"/>
    <w:rsid w:val="008B5AF6"/>
    <w:rsid w:val="008B5DBC"/>
    <w:rsid w:val="008B5E39"/>
    <w:rsid w:val="008B6155"/>
    <w:rsid w:val="008B61E1"/>
    <w:rsid w:val="008B662A"/>
    <w:rsid w:val="008B662C"/>
    <w:rsid w:val="008B69E1"/>
    <w:rsid w:val="008B6A96"/>
    <w:rsid w:val="008B707A"/>
    <w:rsid w:val="008B731E"/>
    <w:rsid w:val="008B7352"/>
    <w:rsid w:val="008B7550"/>
    <w:rsid w:val="008B75B4"/>
    <w:rsid w:val="008B7790"/>
    <w:rsid w:val="008B77DD"/>
    <w:rsid w:val="008B79BF"/>
    <w:rsid w:val="008B7C7A"/>
    <w:rsid w:val="008C051F"/>
    <w:rsid w:val="008C0D57"/>
    <w:rsid w:val="008C0E48"/>
    <w:rsid w:val="008C11A5"/>
    <w:rsid w:val="008C15F1"/>
    <w:rsid w:val="008C1DA4"/>
    <w:rsid w:val="008C1FE3"/>
    <w:rsid w:val="008C24F8"/>
    <w:rsid w:val="008C25BE"/>
    <w:rsid w:val="008C2B9A"/>
    <w:rsid w:val="008C2EFF"/>
    <w:rsid w:val="008C2FBE"/>
    <w:rsid w:val="008C35D6"/>
    <w:rsid w:val="008C3635"/>
    <w:rsid w:val="008C4013"/>
    <w:rsid w:val="008C4066"/>
    <w:rsid w:val="008C40A7"/>
    <w:rsid w:val="008C44FA"/>
    <w:rsid w:val="008C4721"/>
    <w:rsid w:val="008C4B99"/>
    <w:rsid w:val="008C5946"/>
    <w:rsid w:val="008C5A6A"/>
    <w:rsid w:val="008C5AAD"/>
    <w:rsid w:val="008C6260"/>
    <w:rsid w:val="008C6386"/>
    <w:rsid w:val="008C674F"/>
    <w:rsid w:val="008C6AF4"/>
    <w:rsid w:val="008C7335"/>
    <w:rsid w:val="008C7440"/>
    <w:rsid w:val="008C75D0"/>
    <w:rsid w:val="008C76F9"/>
    <w:rsid w:val="008C7B06"/>
    <w:rsid w:val="008D0035"/>
    <w:rsid w:val="008D0071"/>
    <w:rsid w:val="008D06B3"/>
    <w:rsid w:val="008D0B73"/>
    <w:rsid w:val="008D0D9B"/>
    <w:rsid w:val="008D0FE7"/>
    <w:rsid w:val="008D13CB"/>
    <w:rsid w:val="008D1505"/>
    <w:rsid w:val="008D19D5"/>
    <w:rsid w:val="008D1C9B"/>
    <w:rsid w:val="008D1D28"/>
    <w:rsid w:val="008D1F60"/>
    <w:rsid w:val="008D22E3"/>
    <w:rsid w:val="008D2350"/>
    <w:rsid w:val="008D2636"/>
    <w:rsid w:val="008D2773"/>
    <w:rsid w:val="008D29AB"/>
    <w:rsid w:val="008D2C2F"/>
    <w:rsid w:val="008D2D26"/>
    <w:rsid w:val="008D2E3B"/>
    <w:rsid w:val="008D33EF"/>
    <w:rsid w:val="008D35D9"/>
    <w:rsid w:val="008D3749"/>
    <w:rsid w:val="008D3B8A"/>
    <w:rsid w:val="008D4304"/>
    <w:rsid w:val="008D450B"/>
    <w:rsid w:val="008D4D7D"/>
    <w:rsid w:val="008D4E08"/>
    <w:rsid w:val="008D4F89"/>
    <w:rsid w:val="008D51FF"/>
    <w:rsid w:val="008D522A"/>
    <w:rsid w:val="008D559D"/>
    <w:rsid w:val="008D583C"/>
    <w:rsid w:val="008D5C32"/>
    <w:rsid w:val="008D61EF"/>
    <w:rsid w:val="008D6332"/>
    <w:rsid w:val="008D6566"/>
    <w:rsid w:val="008D656A"/>
    <w:rsid w:val="008D664A"/>
    <w:rsid w:val="008D689D"/>
    <w:rsid w:val="008D695D"/>
    <w:rsid w:val="008D6C24"/>
    <w:rsid w:val="008D71F5"/>
    <w:rsid w:val="008D7963"/>
    <w:rsid w:val="008D7996"/>
    <w:rsid w:val="008D7CFD"/>
    <w:rsid w:val="008D7D77"/>
    <w:rsid w:val="008D7F32"/>
    <w:rsid w:val="008D7FA8"/>
    <w:rsid w:val="008E0306"/>
    <w:rsid w:val="008E0606"/>
    <w:rsid w:val="008E11F6"/>
    <w:rsid w:val="008E13C3"/>
    <w:rsid w:val="008E1604"/>
    <w:rsid w:val="008E16FF"/>
    <w:rsid w:val="008E17FC"/>
    <w:rsid w:val="008E1B12"/>
    <w:rsid w:val="008E1D4A"/>
    <w:rsid w:val="008E1F0D"/>
    <w:rsid w:val="008E2410"/>
    <w:rsid w:val="008E28A7"/>
    <w:rsid w:val="008E2907"/>
    <w:rsid w:val="008E3287"/>
    <w:rsid w:val="008E3556"/>
    <w:rsid w:val="008E376D"/>
    <w:rsid w:val="008E3F49"/>
    <w:rsid w:val="008E4089"/>
    <w:rsid w:val="008E4107"/>
    <w:rsid w:val="008E418F"/>
    <w:rsid w:val="008E471C"/>
    <w:rsid w:val="008E487E"/>
    <w:rsid w:val="008E4994"/>
    <w:rsid w:val="008E49D6"/>
    <w:rsid w:val="008E4B1A"/>
    <w:rsid w:val="008E5074"/>
    <w:rsid w:val="008E539A"/>
    <w:rsid w:val="008E53F0"/>
    <w:rsid w:val="008E54A1"/>
    <w:rsid w:val="008E55C3"/>
    <w:rsid w:val="008E58F7"/>
    <w:rsid w:val="008E59E0"/>
    <w:rsid w:val="008E5CCD"/>
    <w:rsid w:val="008E5D8E"/>
    <w:rsid w:val="008E5FDD"/>
    <w:rsid w:val="008E6320"/>
    <w:rsid w:val="008E6329"/>
    <w:rsid w:val="008E664E"/>
    <w:rsid w:val="008E67F9"/>
    <w:rsid w:val="008E68A6"/>
    <w:rsid w:val="008E6B5F"/>
    <w:rsid w:val="008E6DFE"/>
    <w:rsid w:val="008E7157"/>
    <w:rsid w:val="008E71D2"/>
    <w:rsid w:val="008E720E"/>
    <w:rsid w:val="008F00A5"/>
    <w:rsid w:val="008F014E"/>
    <w:rsid w:val="008F0360"/>
    <w:rsid w:val="008F07DD"/>
    <w:rsid w:val="008F0B04"/>
    <w:rsid w:val="008F0E73"/>
    <w:rsid w:val="008F13D5"/>
    <w:rsid w:val="008F1EE3"/>
    <w:rsid w:val="008F2CBE"/>
    <w:rsid w:val="008F2D17"/>
    <w:rsid w:val="008F2D9A"/>
    <w:rsid w:val="008F3134"/>
    <w:rsid w:val="008F3517"/>
    <w:rsid w:val="008F3D10"/>
    <w:rsid w:val="008F3E9C"/>
    <w:rsid w:val="008F4B7D"/>
    <w:rsid w:val="008F4BF4"/>
    <w:rsid w:val="008F4E2A"/>
    <w:rsid w:val="008F533A"/>
    <w:rsid w:val="008F574A"/>
    <w:rsid w:val="008F5B5D"/>
    <w:rsid w:val="008F5CC2"/>
    <w:rsid w:val="008F5D56"/>
    <w:rsid w:val="008F5EAC"/>
    <w:rsid w:val="008F62D6"/>
    <w:rsid w:val="008F6931"/>
    <w:rsid w:val="008F6D2D"/>
    <w:rsid w:val="008F6D5A"/>
    <w:rsid w:val="008F6DB7"/>
    <w:rsid w:val="008F6DF1"/>
    <w:rsid w:val="008F7168"/>
    <w:rsid w:val="008F71A8"/>
    <w:rsid w:val="008F7209"/>
    <w:rsid w:val="008F7B63"/>
    <w:rsid w:val="0090008C"/>
    <w:rsid w:val="00900573"/>
    <w:rsid w:val="00900B7A"/>
    <w:rsid w:val="00900BBA"/>
    <w:rsid w:val="00901037"/>
    <w:rsid w:val="0090179F"/>
    <w:rsid w:val="00901D2B"/>
    <w:rsid w:val="00902267"/>
    <w:rsid w:val="0090235C"/>
    <w:rsid w:val="0090297B"/>
    <w:rsid w:val="00902DC4"/>
    <w:rsid w:val="00903332"/>
    <w:rsid w:val="0090348B"/>
    <w:rsid w:val="009034A5"/>
    <w:rsid w:val="009034B5"/>
    <w:rsid w:val="00903580"/>
    <w:rsid w:val="0090407E"/>
    <w:rsid w:val="00904300"/>
    <w:rsid w:val="00904884"/>
    <w:rsid w:val="009048C4"/>
    <w:rsid w:val="009049C6"/>
    <w:rsid w:val="00904B53"/>
    <w:rsid w:val="00904E12"/>
    <w:rsid w:val="00904EEC"/>
    <w:rsid w:val="0090529F"/>
    <w:rsid w:val="00905901"/>
    <w:rsid w:val="00905C29"/>
    <w:rsid w:val="00906048"/>
    <w:rsid w:val="0090648B"/>
    <w:rsid w:val="009066ED"/>
    <w:rsid w:val="00906780"/>
    <w:rsid w:val="009067A0"/>
    <w:rsid w:val="00906AA8"/>
    <w:rsid w:val="00906F01"/>
    <w:rsid w:val="00906FFD"/>
    <w:rsid w:val="00907094"/>
    <w:rsid w:val="009070D8"/>
    <w:rsid w:val="00907508"/>
    <w:rsid w:val="00907683"/>
    <w:rsid w:val="0090774D"/>
    <w:rsid w:val="009077BA"/>
    <w:rsid w:val="00907C33"/>
    <w:rsid w:val="009103C6"/>
    <w:rsid w:val="00910624"/>
    <w:rsid w:val="009108FE"/>
    <w:rsid w:val="00910C7D"/>
    <w:rsid w:val="00910F7A"/>
    <w:rsid w:val="00911141"/>
    <w:rsid w:val="00911CCB"/>
    <w:rsid w:val="00911DEA"/>
    <w:rsid w:val="00911EBA"/>
    <w:rsid w:val="00911F8F"/>
    <w:rsid w:val="009128A4"/>
    <w:rsid w:val="0091299D"/>
    <w:rsid w:val="00912B05"/>
    <w:rsid w:val="00912E18"/>
    <w:rsid w:val="00912E39"/>
    <w:rsid w:val="00912E5C"/>
    <w:rsid w:val="00912E8D"/>
    <w:rsid w:val="009130BB"/>
    <w:rsid w:val="0091344F"/>
    <w:rsid w:val="00913826"/>
    <w:rsid w:val="00913B54"/>
    <w:rsid w:val="00913E80"/>
    <w:rsid w:val="0091407E"/>
    <w:rsid w:val="00914092"/>
    <w:rsid w:val="009149B8"/>
    <w:rsid w:val="00914E01"/>
    <w:rsid w:val="00915025"/>
    <w:rsid w:val="0091559B"/>
    <w:rsid w:val="009155D4"/>
    <w:rsid w:val="00915B50"/>
    <w:rsid w:val="00915B66"/>
    <w:rsid w:val="00915C6C"/>
    <w:rsid w:val="00915F65"/>
    <w:rsid w:val="009163F1"/>
    <w:rsid w:val="00916C54"/>
    <w:rsid w:val="00916D1B"/>
    <w:rsid w:val="0091732F"/>
    <w:rsid w:val="00917897"/>
    <w:rsid w:val="00917A30"/>
    <w:rsid w:val="00917AFD"/>
    <w:rsid w:val="00917D90"/>
    <w:rsid w:val="00917FA1"/>
    <w:rsid w:val="00917FB9"/>
    <w:rsid w:val="009200B0"/>
    <w:rsid w:val="009202C7"/>
    <w:rsid w:val="009202D4"/>
    <w:rsid w:val="009203FA"/>
    <w:rsid w:val="00920B43"/>
    <w:rsid w:val="00920C1D"/>
    <w:rsid w:val="009210D5"/>
    <w:rsid w:val="009212B8"/>
    <w:rsid w:val="009213F4"/>
    <w:rsid w:val="009216A0"/>
    <w:rsid w:val="009218DE"/>
    <w:rsid w:val="00921A10"/>
    <w:rsid w:val="00921A35"/>
    <w:rsid w:val="00921A87"/>
    <w:rsid w:val="00921BCF"/>
    <w:rsid w:val="00921BFC"/>
    <w:rsid w:val="00921D3B"/>
    <w:rsid w:val="00922580"/>
    <w:rsid w:val="0092277F"/>
    <w:rsid w:val="00922A1B"/>
    <w:rsid w:val="00922A4B"/>
    <w:rsid w:val="00922BB6"/>
    <w:rsid w:val="00922CEF"/>
    <w:rsid w:val="00922D0C"/>
    <w:rsid w:val="009230F7"/>
    <w:rsid w:val="00923176"/>
    <w:rsid w:val="00923F5C"/>
    <w:rsid w:val="0092430E"/>
    <w:rsid w:val="0092448C"/>
    <w:rsid w:val="00924694"/>
    <w:rsid w:val="0092488A"/>
    <w:rsid w:val="00924A9D"/>
    <w:rsid w:val="0092568C"/>
    <w:rsid w:val="009256A1"/>
    <w:rsid w:val="0092576D"/>
    <w:rsid w:val="00925D72"/>
    <w:rsid w:val="009260B0"/>
    <w:rsid w:val="0092624C"/>
    <w:rsid w:val="009264BD"/>
    <w:rsid w:val="009267D4"/>
    <w:rsid w:val="00926A6A"/>
    <w:rsid w:val="00927155"/>
    <w:rsid w:val="009272B7"/>
    <w:rsid w:val="009275B0"/>
    <w:rsid w:val="00927698"/>
    <w:rsid w:val="0092778D"/>
    <w:rsid w:val="00927DE9"/>
    <w:rsid w:val="00930BC0"/>
    <w:rsid w:val="00930F02"/>
    <w:rsid w:val="00930F18"/>
    <w:rsid w:val="00930F9E"/>
    <w:rsid w:val="009319F0"/>
    <w:rsid w:val="00931F2B"/>
    <w:rsid w:val="0093209B"/>
    <w:rsid w:val="009322C4"/>
    <w:rsid w:val="0093236E"/>
    <w:rsid w:val="00932797"/>
    <w:rsid w:val="00932C7B"/>
    <w:rsid w:val="00932DCF"/>
    <w:rsid w:val="00933031"/>
    <w:rsid w:val="00933940"/>
    <w:rsid w:val="00933AE6"/>
    <w:rsid w:val="00933EFF"/>
    <w:rsid w:val="00934289"/>
    <w:rsid w:val="009348F2"/>
    <w:rsid w:val="00934B54"/>
    <w:rsid w:val="00934CC9"/>
    <w:rsid w:val="00934E85"/>
    <w:rsid w:val="00934ECD"/>
    <w:rsid w:val="00935034"/>
    <w:rsid w:val="00935239"/>
    <w:rsid w:val="00935658"/>
    <w:rsid w:val="009359C6"/>
    <w:rsid w:val="00935C1C"/>
    <w:rsid w:val="00935CE0"/>
    <w:rsid w:val="00935D21"/>
    <w:rsid w:val="0093648F"/>
    <w:rsid w:val="009364DD"/>
    <w:rsid w:val="00936B0E"/>
    <w:rsid w:val="00937901"/>
    <w:rsid w:val="00937913"/>
    <w:rsid w:val="00937936"/>
    <w:rsid w:val="0093799B"/>
    <w:rsid w:val="00937DB3"/>
    <w:rsid w:val="00937DD3"/>
    <w:rsid w:val="00937EE7"/>
    <w:rsid w:val="00940479"/>
    <w:rsid w:val="00940912"/>
    <w:rsid w:val="00940917"/>
    <w:rsid w:val="00940995"/>
    <w:rsid w:val="00940C24"/>
    <w:rsid w:val="00940C60"/>
    <w:rsid w:val="00940E18"/>
    <w:rsid w:val="00940E24"/>
    <w:rsid w:val="00940F65"/>
    <w:rsid w:val="0094190E"/>
    <w:rsid w:val="00941CAF"/>
    <w:rsid w:val="00941ED3"/>
    <w:rsid w:val="0094209A"/>
    <w:rsid w:val="00942325"/>
    <w:rsid w:val="00942560"/>
    <w:rsid w:val="00942580"/>
    <w:rsid w:val="00942729"/>
    <w:rsid w:val="009429B1"/>
    <w:rsid w:val="00942D01"/>
    <w:rsid w:val="00942DF7"/>
    <w:rsid w:val="00943118"/>
    <w:rsid w:val="0094344C"/>
    <w:rsid w:val="009438C2"/>
    <w:rsid w:val="00944435"/>
    <w:rsid w:val="0094448E"/>
    <w:rsid w:val="0094451A"/>
    <w:rsid w:val="00944CEC"/>
    <w:rsid w:val="00944E67"/>
    <w:rsid w:val="00945229"/>
    <w:rsid w:val="0094583E"/>
    <w:rsid w:val="00945953"/>
    <w:rsid w:val="00945B30"/>
    <w:rsid w:val="00945E53"/>
    <w:rsid w:val="0094620B"/>
    <w:rsid w:val="009462AD"/>
    <w:rsid w:val="00946684"/>
    <w:rsid w:val="0094676B"/>
    <w:rsid w:val="009468A0"/>
    <w:rsid w:val="00946A70"/>
    <w:rsid w:val="00946D83"/>
    <w:rsid w:val="00946DF7"/>
    <w:rsid w:val="0094718D"/>
    <w:rsid w:val="0094740D"/>
    <w:rsid w:val="0094796B"/>
    <w:rsid w:val="00947A1B"/>
    <w:rsid w:val="00947D45"/>
    <w:rsid w:val="00947D70"/>
    <w:rsid w:val="00947EC0"/>
    <w:rsid w:val="00950022"/>
    <w:rsid w:val="0095004F"/>
    <w:rsid w:val="009503A8"/>
    <w:rsid w:val="00950652"/>
    <w:rsid w:val="009507BD"/>
    <w:rsid w:val="0095094E"/>
    <w:rsid w:val="009509CE"/>
    <w:rsid w:val="00950ADA"/>
    <w:rsid w:val="00950CBA"/>
    <w:rsid w:val="00950EA2"/>
    <w:rsid w:val="00950F79"/>
    <w:rsid w:val="00951A1F"/>
    <w:rsid w:val="00951B77"/>
    <w:rsid w:val="00952049"/>
    <w:rsid w:val="009524F6"/>
    <w:rsid w:val="009525C3"/>
    <w:rsid w:val="00952791"/>
    <w:rsid w:val="009528B8"/>
    <w:rsid w:val="00952A34"/>
    <w:rsid w:val="00953523"/>
    <w:rsid w:val="009536B7"/>
    <w:rsid w:val="009537FE"/>
    <w:rsid w:val="009539D9"/>
    <w:rsid w:val="00953A11"/>
    <w:rsid w:val="00953EB0"/>
    <w:rsid w:val="0095401B"/>
    <w:rsid w:val="009541A6"/>
    <w:rsid w:val="009541F4"/>
    <w:rsid w:val="009543C1"/>
    <w:rsid w:val="00954627"/>
    <w:rsid w:val="00954658"/>
    <w:rsid w:val="00954664"/>
    <w:rsid w:val="00954985"/>
    <w:rsid w:val="0095498B"/>
    <w:rsid w:val="00954B68"/>
    <w:rsid w:val="00954BF7"/>
    <w:rsid w:val="00954EEF"/>
    <w:rsid w:val="00954FA4"/>
    <w:rsid w:val="009552BD"/>
    <w:rsid w:val="00955A74"/>
    <w:rsid w:val="00955CEE"/>
    <w:rsid w:val="00955F5A"/>
    <w:rsid w:val="00956094"/>
    <w:rsid w:val="009561CE"/>
    <w:rsid w:val="009565E1"/>
    <w:rsid w:val="00956624"/>
    <w:rsid w:val="00956CEA"/>
    <w:rsid w:val="00956E36"/>
    <w:rsid w:val="009572C3"/>
    <w:rsid w:val="0095777E"/>
    <w:rsid w:val="0095784D"/>
    <w:rsid w:val="00957B40"/>
    <w:rsid w:val="00957BCB"/>
    <w:rsid w:val="00957C63"/>
    <w:rsid w:val="009605A2"/>
    <w:rsid w:val="009606CF"/>
    <w:rsid w:val="009607BE"/>
    <w:rsid w:val="00960C60"/>
    <w:rsid w:val="00960CA0"/>
    <w:rsid w:val="00960D3A"/>
    <w:rsid w:val="00960E5A"/>
    <w:rsid w:val="00960EFB"/>
    <w:rsid w:val="00960F22"/>
    <w:rsid w:val="00961089"/>
    <w:rsid w:val="0096132D"/>
    <w:rsid w:val="00961404"/>
    <w:rsid w:val="009616CF"/>
    <w:rsid w:val="00961887"/>
    <w:rsid w:val="00961D3A"/>
    <w:rsid w:val="00961D92"/>
    <w:rsid w:val="00961EB8"/>
    <w:rsid w:val="00961FC9"/>
    <w:rsid w:val="009622B4"/>
    <w:rsid w:val="00962494"/>
    <w:rsid w:val="00962C6E"/>
    <w:rsid w:val="009638BE"/>
    <w:rsid w:val="009639A2"/>
    <w:rsid w:val="00963AB7"/>
    <w:rsid w:val="00963C20"/>
    <w:rsid w:val="00964081"/>
    <w:rsid w:val="009640D6"/>
    <w:rsid w:val="009643B8"/>
    <w:rsid w:val="00964687"/>
    <w:rsid w:val="00964B02"/>
    <w:rsid w:val="00964D0F"/>
    <w:rsid w:val="00964D14"/>
    <w:rsid w:val="00965409"/>
    <w:rsid w:val="009655A0"/>
    <w:rsid w:val="0096581C"/>
    <w:rsid w:val="009658B0"/>
    <w:rsid w:val="009659C7"/>
    <w:rsid w:val="00965B6F"/>
    <w:rsid w:val="00965BF1"/>
    <w:rsid w:val="00965C8C"/>
    <w:rsid w:val="00965E80"/>
    <w:rsid w:val="009666D6"/>
    <w:rsid w:val="00966897"/>
    <w:rsid w:val="00966B95"/>
    <w:rsid w:val="00966BAF"/>
    <w:rsid w:val="00966C69"/>
    <w:rsid w:val="0096764C"/>
    <w:rsid w:val="00967A16"/>
    <w:rsid w:val="00967A86"/>
    <w:rsid w:val="00970145"/>
    <w:rsid w:val="009707D2"/>
    <w:rsid w:val="00970A6E"/>
    <w:rsid w:val="00970BAC"/>
    <w:rsid w:val="00970D41"/>
    <w:rsid w:val="00970D76"/>
    <w:rsid w:val="00970E14"/>
    <w:rsid w:val="00970E6D"/>
    <w:rsid w:val="00970EDE"/>
    <w:rsid w:val="0097106D"/>
    <w:rsid w:val="009717AB"/>
    <w:rsid w:val="00971A28"/>
    <w:rsid w:val="00971A55"/>
    <w:rsid w:val="00971DE3"/>
    <w:rsid w:val="00972155"/>
    <w:rsid w:val="0097222F"/>
    <w:rsid w:val="00972298"/>
    <w:rsid w:val="009729B1"/>
    <w:rsid w:val="00972DB1"/>
    <w:rsid w:val="00973036"/>
    <w:rsid w:val="009730AC"/>
    <w:rsid w:val="009731C7"/>
    <w:rsid w:val="00973654"/>
    <w:rsid w:val="00973726"/>
    <w:rsid w:val="009737C3"/>
    <w:rsid w:val="009737D8"/>
    <w:rsid w:val="009737DF"/>
    <w:rsid w:val="009739D5"/>
    <w:rsid w:val="00973BD0"/>
    <w:rsid w:val="009741E2"/>
    <w:rsid w:val="009742E1"/>
    <w:rsid w:val="00974480"/>
    <w:rsid w:val="0097457F"/>
    <w:rsid w:val="009749AD"/>
    <w:rsid w:val="00974D75"/>
    <w:rsid w:val="009755AC"/>
    <w:rsid w:val="0097584C"/>
    <w:rsid w:val="00975853"/>
    <w:rsid w:val="00975DF0"/>
    <w:rsid w:val="0097625E"/>
    <w:rsid w:val="009762A3"/>
    <w:rsid w:val="009763FC"/>
    <w:rsid w:val="00976503"/>
    <w:rsid w:val="00976BF3"/>
    <w:rsid w:val="00976C0C"/>
    <w:rsid w:val="00976D56"/>
    <w:rsid w:val="00976DEB"/>
    <w:rsid w:val="0097702D"/>
    <w:rsid w:val="0097723B"/>
    <w:rsid w:val="00977637"/>
    <w:rsid w:val="009779E2"/>
    <w:rsid w:val="00977A05"/>
    <w:rsid w:val="0098094B"/>
    <w:rsid w:val="00980A05"/>
    <w:rsid w:val="00981538"/>
    <w:rsid w:val="009816D0"/>
    <w:rsid w:val="00981983"/>
    <w:rsid w:val="009824EF"/>
    <w:rsid w:val="00983069"/>
    <w:rsid w:val="00983180"/>
    <w:rsid w:val="00983237"/>
    <w:rsid w:val="009833D4"/>
    <w:rsid w:val="0098380D"/>
    <w:rsid w:val="00983AA5"/>
    <w:rsid w:val="0098403E"/>
    <w:rsid w:val="009840F0"/>
    <w:rsid w:val="009848A5"/>
    <w:rsid w:val="00984CC7"/>
    <w:rsid w:val="00984D35"/>
    <w:rsid w:val="00984EDC"/>
    <w:rsid w:val="009851BC"/>
    <w:rsid w:val="0098530D"/>
    <w:rsid w:val="009853A7"/>
    <w:rsid w:val="00985687"/>
    <w:rsid w:val="00985724"/>
    <w:rsid w:val="00985984"/>
    <w:rsid w:val="00985AFD"/>
    <w:rsid w:val="00985C1F"/>
    <w:rsid w:val="009861F2"/>
    <w:rsid w:val="009862FF"/>
    <w:rsid w:val="00986469"/>
    <w:rsid w:val="00986584"/>
    <w:rsid w:val="009865D4"/>
    <w:rsid w:val="00986686"/>
    <w:rsid w:val="00986824"/>
    <w:rsid w:val="00986867"/>
    <w:rsid w:val="00986AEF"/>
    <w:rsid w:val="00986C9C"/>
    <w:rsid w:val="0098725E"/>
    <w:rsid w:val="009872C5"/>
    <w:rsid w:val="00987385"/>
    <w:rsid w:val="00987AE7"/>
    <w:rsid w:val="00987D04"/>
    <w:rsid w:val="00987E71"/>
    <w:rsid w:val="00990074"/>
    <w:rsid w:val="00990385"/>
    <w:rsid w:val="00990B21"/>
    <w:rsid w:val="00990EEE"/>
    <w:rsid w:val="00991233"/>
    <w:rsid w:val="00991403"/>
    <w:rsid w:val="009918E9"/>
    <w:rsid w:val="00991E7C"/>
    <w:rsid w:val="00992334"/>
    <w:rsid w:val="00992335"/>
    <w:rsid w:val="00992A9C"/>
    <w:rsid w:val="00992CB7"/>
    <w:rsid w:val="00992D9B"/>
    <w:rsid w:val="00993402"/>
    <w:rsid w:val="009939A7"/>
    <w:rsid w:val="009939EE"/>
    <w:rsid w:val="00993BB6"/>
    <w:rsid w:val="00993DA7"/>
    <w:rsid w:val="00993E03"/>
    <w:rsid w:val="00994894"/>
    <w:rsid w:val="00994E0F"/>
    <w:rsid w:val="009953EA"/>
    <w:rsid w:val="00995473"/>
    <w:rsid w:val="00995626"/>
    <w:rsid w:val="009959DA"/>
    <w:rsid w:val="00995B6C"/>
    <w:rsid w:val="00995E36"/>
    <w:rsid w:val="009961E9"/>
    <w:rsid w:val="00996322"/>
    <w:rsid w:val="009965D8"/>
    <w:rsid w:val="00996709"/>
    <w:rsid w:val="00996718"/>
    <w:rsid w:val="00996A59"/>
    <w:rsid w:val="00996CFF"/>
    <w:rsid w:val="00996E3F"/>
    <w:rsid w:val="00996FB3"/>
    <w:rsid w:val="009974AC"/>
    <w:rsid w:val="0099760F"/>
    <w:rsid w:val="009978C9"/>
    <w:rsid w:val="00997974"/>
    <w:rsid w:val="00997CE8"/>
    <w:rsid w:val="009A02E7"/>
    <w:rsid w:val="009A0331"/>
    <w:rsid w:val="009A050C"/>
    <w:rsid w:val="009A0E26"/>
    <w:rsid w:val="009A100E"/>
    <w:rsid w:val="009A1300"/>
    <w:rsid w:val="009A1C40"/>
    <w:rsid w:val="009A1D39"/>
    <w:rsid w:val="009A1E2B"/>
    <w:rsid w:val="009A1E92"/>
    <w:rsid w:val="009A282F"/>
    <w:rsid w:val="009A3029"/>
    <w:rsid w:val="009A35F2"/>
    <w:rsid w:val="009A3619"/>
    <w:rsid w:val="009A36A7"/>
    <w:rsid w:val="009A37FB"/>
    <w:rsid w:val="009A3DA3"/>
    <w:rsid w:val="009A3F07"/>
    <w:rsid w:val="009A4218"/>
    <w:rsid w:val="009A4561"/>
    <w:rsid w:val="009A45AA"/>
    <w:rsid w:val="009A4AED"/>
    <w:rsid w:val="009A4BC9"/>
    <w:rsid w:val="009A52F5"/>
    <w:rsid w:val="009A559A"/>
    <w:rsid w:val="009A5708"/>
    <w:rsid w:val="009A59E0"/>
    <w:rsid w:val="009A6249"/>
    <w:rsid w:val="009A641C"/>
    <w:rsid w:val="009A643B"/>
    <w:rsid w:val="009A6493"/>
    <w:rsid w:val="009A66A9"/>
    <w:rsid w:val="009A6904"/>
    <w:rsid w:val="009A6B64"/>
    <w:rsid w:val="009A708A"/>
    <w:rsid w:val="009A728C"/>
    <w:rsid w:val="009A7692"/>
    <w:rsid w:val="009A7827"/>
    <w:rsid w:val="009A78BA"/>
    <w:rsid w:val="009A7A02"/>
    <w:rsid w:val="009A7A6E"/>
    <w:rsid w:val="009A7CE7"/>
    <w:rsid w:val="009A7E2F"/>
    <w:rsid w:val="009A7F00"/>
    <w:rsid w:val="009B0365"/>
    <w:rsid w:val="009B03BC"/>
    <w:rsid w:val="009B0C92"/>
    <w:rsid w:val="009B0D61"/>
    <w:rsid w:val="009B1789"/>
    <w:rsid w:val="009B1BD4"/>
    <w:rsid w:val="009B1C80"/>
    <w:rsid w:val="009B1ED7"/>
    <w:rsid w:val="009B24CE"/>
    <w:rsid w:val="009B26D1"/>
    <w:rsid w:val="009B26F7"/>
    <w:rsid w:val="009B27D4"/>
    <w:rsid w:val="009B2B58"/>
    <w:rsid w:val="009B2B9E"/>
    <w:rsid w:val="009B2C1A"/>
    <w:rsid w:val="009B2E7C"/>
    <w:rsid w:val="009B3086"/>
    <w:rsid w:val="009B33D3"/>
    <w:rsid w:val="009B365F"/>
    <w:rsid w:val="009B3AE1"/>
    <w:rsid w:val="009B3C9E"/>
    <w:rsid w:val="009B3F4E"/>
    <w:rsid w:val="009B3FEA"/>
    <w:rsid w:val="009B4571"/>
    <w:rsid w:val="009B48D5"/>
    <w:rsid w:val="009B495F"/>
    <w:rsid w:val="009B49BA"/>
    <w:rsid w:val="009B4B54"/>
    <w:rsid w:val="009B524D"/>
    <w:rsid w:val="009B573B"/>
    <w:rsid w:val="009B5781"/>
    <w:rsid w:val="009B5A43"/>
    <w:rsid w:val="009B5AC1"/>
    <w:rsid w:val="009B5B31"/>
    <w:rsid w:val="009B5B65"/>
    <w:rsid w:val="009B5E55"/>
    <w:rsid w:val="009B60E7"/>
    <w:rsid w:val="009B61AC"/>
    <w:rsid w:val="009B63E0"/>
    <w:rsid w:val="009B698F"/>
    <w:rsid w:val="009B6AE8"/>
    <w:rsid w:val="009B6E50"/>
    <w:rsid w:val="009B71B5"/>
    <w:rsid w:val="009B761B"/>
    <w:rsid w:val="009B781F"/>
    <w:rsid w:val="009B7F6B"/>
    <w:rsid w:val="009B7F73"/>
    <w:rsid w:val="009C0134"/>
    <w:rsid w:val="009C022F"/>
    <w:rsid w:val="009C06F5"/>
    <w:rsid w:val="009C08CC"/>
    <w:rsid w:val="009C0E59"/>
    <w:rsid w:val="009C0E94"/>
    <w:rsid w:val="009C133B"/>
    <w:rsid w:val="009C1383"/>
    <w:rsid w:val="009C19CE"/>
    <w:rsid w:val="009C1CC2"/>
    <w:rsid w:val="009C1D08"/>
    <w:rsid w:val="009C20F3"/>
    <w:rsid w:val="009C2198"/>
    <w:rsid w:val="009C2419"/>
    <w:rsid w:val="009C2449"/>
    <w:rsid w:val="009C26F3"/>
    <w:rsid w:val="009C2C57"/>
    <w:rsid w:val="009C2E74"/>
    <w:rsid w:val="009C2F54"/>
    <w:rsid w:val="009C315A"/>
    <w:rsid w:val="009C3403"/>
    <w:rsid w:val="009C344A"/>
    <w:rsid w:val="009C350A"/>
    <w:rsid w:val="009C3736"/>
    <w:rsid w:val="009C3DD0"/>
    <w:rsid w:val="009C4143"/>
    <w:rsid w:val="009C442C"/>
    <w:rsid w:val="009C45BB"/>
    <w:rsid w:val="009C472C"/>
    <w:rsid w:val="009C49D1"/>
    <w:rsid w:val="009C5065"/>
    <w:rsid w:val="009C518C"/>
    <w:rsid w:val="009C554E"/>
    <w:rsid w:val="009C5675"/>
    <w:rsid w:val="009C5690"/>
    <w:rsid w:val="009C59C0"/>
    <w:rsid w:val="009C5DE2"/>
    <w:rsid w:val="009C65F1"/>
    <w:rsid w:val="009C6F54"/>
    <w:rsid w:val="009C7146"/>
    <w:rsid w:val="009C73DA"/>
    <w:rsid w:val="009C745E"/>
    <w:rsid w:val="009C75CE"/>
    <w:rsid w:val="009C7C22"/>
    <w:rsid w:val="009C7D22"/>
    <w:rsid w:val="009D00F3"/>
    <w:rsid w:val="009D01B3"/>
    <w:rsid w:val="009D0348"/>
    <w:rsid w:val="009D03AF"/>
    <w:rsid w:val="009D093A"/>
    <w:rsid w:val="009D09AB"/>
    <w:rsid w:val="009D09F1"/>
    <w:rsid w:val="009D0BA7"/>
    <w:rsid w:val="009D1337"/>
    <w:rsid w:val="009D156D"/>
    <w:rsid w:val="009D15CA"/>
    <w:rsid w:val="009D1719"/>
    <w:rsid w:val="009D1833"/>
    <w:rsid w:val="009D1A16"/>
    <w:rsid w:val="009D1AA9"/>
    <w:rsid w:val="009D1B49"/>
    <w:rsid w:val="009D1CC1"/>
    <w:rsid w:val="009D1D56"/>
    <w:rsid w:val="009D1EB6"/>
    <w:rsid w:val="009D1FF7"/>
    <w:rsid w:val="009D2181"/>
    <w:rsid w:val="009D218B"/>
    <w:rsid w:val="009D261C"/>
    <w:rsid w:val="009D2812"/>
    <w:rsid w:val="009D31B1"/>
    <w:rsid w:val="009D3311"/>
    <w:rsid w:val="009D349F"/>
    <w:rsid w:val="009D355A"/>
    <w:rsid w:val="009D3A61"/>
    <w:rsid w:val="009D406C"/>
    <w:rsid w:val="009D4117"/>
    <w:rsid w:val="009D4248"/>
    <w:rsid w:val="009D4293"/>
    <w:rsid w:val="009D4BB4"/>
    <w:rsid w:val="009D4D0D"/>
    <w:rsid w:val="009D502F"/>
    <w:rsid w:val="009D51A3"/>
    <w:rsid w:val="009D530F"/>
    <w:rsid w:val="009D53E0"/>
    <w:rsid w:val="009D5D63"/>
    <w:rsid w:val="009D5D81"/>
    <w:rsid w:val="009D5E40"/>
    <w:rsid w:val="009D6230"/>
    <w:rsid w:val="009D6890"/>
    <w:rsid w:val="009D6C11"/>
    <w:rsid w:val="009D6DA7"/>
    <w:rsid w:val="009D6DAC"/>
    <w:rsid w:val="009D6E33"/>
    <w:rsid w:val="009D722C"/>
    <w:rsid w:val="009D7643"/>
    <w:rsid w:val="009D7951"/>
    <w:rsid w:val="009D7A19"/>
    <w:rsid w:val="009D7DF1"/>
    <w:rsid w:val="009E00F4"/>
    <w:rsid w:val="009E0446"/>
    <w:rsid w:val="009E095B"/>
    <w:rsid w:val="009E0CB1"/>
    <w:rsid w:val="009E0D7E"/>
    <w:rsid w:val="009E1391"/>
    <w:rsid w:val="009E1BBD"/>
    <w:rsid w:val="009E1CAF"/>
    <w:rsid w:val="009E21FA"/>
    <w:rsid w:val="009E2AAF"/>
    <w:rsid w:val="009E2BD4"/>
    <w:rsid w:val="009E2D2F"/>
    <w:rsid w:val="009E2DF9"/>
    <w:rsid w:val="009E3291"/>
    <w:rsid w:val="009E3958"/>
    <w:rsid w:val="009E3D69"/>
    <w:rsid w:val="009E4468"/>
    <w:rsid w:val="009E4771"/>
    <w:rsid w:val="009E4BDF"/>
    <w:rsid w:val="009E4D68"/>
    <w:rsid w:val="009E4DB7"/>
    <w:rsid w:val="009E4DD0"/>
    <w:rsid w:val="009E4E5A"/>
    <w:rsid w:val="009E4EB1"/>
    <w:rsid w:val="009E4FC5"/>
    <w:rsid w:val="009E50CA"/>
    <w:rsid w:val="009E50CD"/>
    <w:rsid w:val="009E5172"/>
    <w:rsid w:val="009E5300"/>
    <w:rsid w:val="009E531D"/>
    <w:rsid w:val="009E5872"/>
    <w:rsid w:val="009E58E5"/>
    <w:rsid w:val="009E5C7B"/>
    <w:rsid w:val="009E5E32"/>
    <w:rsid w:val="009E609F"/>
    <w:rsid w:val="009E6194"/>
    <w:rsid w:val="009E68A9"/>
    <w:rsid w:val="009E695E"/>
    <w:rsid w:val="009E7086"/>
    <w:rsid w:val="009E713A"/>
    <w:rsid w:val="009E7149"/>
    <w:rsid w:val="009E77CC"/>
    <w:rsid w:val="009E7BF8"/>
    <w:rsid w:val="009E7FE3"/>
    <w:rsid w:val="009F033A"/>
    <w:rsid w:val="009F0CFC"/>
    <w:rsid w:val="009F0F75"/>
    <w:rsid w:val="009F0F7A"/>
    <w:rsid w:val="009F10F3"/>
    <w:rsid w:val="009F1141"/>
    <w:rsid w:val="009F1531"/>
    <w:rsid w:val="009F1752"/>
    <w:rsid w:val="009F17A2"/>
    <w:rsid w:val="009F1913"/>
    <w:rsid w:val="009F1ACD"/>
    <w:rsid w:val="009F1C94"/>
    <w:rsid w:val="009F1CAD"/>
    <w:rsid w:val="009F1E7E"/>
    <w:rsid w:val="009F1E8A"/>
    <w:rsid w:val="009F2A07"/>
    <w:rsid w:val="009F2B4B"/>
    <w:rsid w:val="009F2C6A"/>
    <w:rsid w:val="009F2CB4"/>
    <w:rsid w:val="009F3031"/>
    <w:rsid w:val="009F30E8"/>
    <w:rsid w:val="009F311B"/>
    <w:rsid w:val="009F36D9"/>
    <w:rsid w:val="009F3961"/>
    <w:rsid w:val="009F3A06"/>
    <w:rsid w:val="009F3C06"/>
    <w:rsid w:val="009F3EFE"/>
    <w:rsid w:val="009F3F56"/>
    <w:rsid w:val="009F4364"/>
    <w:rsid w:val="009F4FF2"/>
    <w:rsid w:val="009F5150"/>
    <w:rsid w:val="009F5199"/>
    <w:rsid w:val="009F5245"/>
    <w:rsid w:val="009F55F7"/>
    <w:rsid w:val="009F59AF"/>
    <w:rsid w:val="009F5AFF"/>
    <w:rsid w:val="009F5E76"/>
    <w:rsid w:val="009F601B"/>
    <w:rsid w:val="009F6268"/>
    <w:rsid w:val="009F67D4"/>
    <w:rsid w:val="009F6CD2"/>
    <w:rsid w:val="009F70E0"/>
    <w:rsid w:val="009F7492"/>
    <w:rsid w:val="009F775C"/>
    <w:rsid w:val="009F795D"/>
    <w:rsid w:val="00A005CB"/>
    <w:rsid w:val="00A005F4"/>
    <w:rsid w:val="00A00756"/>
    <w:rsid w:val="00A008F0"/>
    <w:rsid w:val="00A009EB"/>
    <w:rsid w:val="00A00F49"/>
    <w:rsid w:val="00A0116E"/>
    <w:rsid w:val="00A01438"/>
    <w:rsid w:val="00A019EF"/>
    <w:rsid w:val="00A01A06"/>
    <w:rsid w:val="00A0220F"/>
    <w:rsid w:val="00A02212"/>
    <w:rsid w:val="00A02239"/>
    <w:rsid w:val="00A02461"/>
    <w:rsid w:val="00A02A24"/>
    <w:rsid w:val="00A02D45"/>
    <w:rsid w:val="00A02F2B"/>
    <w:rsid w:val="00A02FD2"/>
    <w:rsid w:val="00A02FDA"/>
    <w:rsid w:val="00A03054"/>
    <w:rsid w:val="00A03286"/>
    <w:rsid w:val="00A03650"/>
    <w:rsid w:val="00A0388A"/>
    <w:rsid w:val="00A03AB1"/>
    <w:rsid w:val="00A03E3B"/>
    <w:rsid w:val="00A043CE"/>
    <w:rsid w:val="00A044E9"/>
    <w:rsid w:val="00A0452B"/>
    <w:rsid w:val="00A047A3"/>
    <w:rsid w:val="00A04A09"/>
    <w:rsid w:val="00A04B23"/>
    <w:rsid w:val="00A0551A"/>
    <w:rsid w:val="00A055CF"/>
    <w:rsid w:val="00A05BF5"/>
    <w:rsid w:val="00A05C63"/>
    <w:rsid w:val="00A063AF"/>
    <w:rsid w:val="00A06545"/>
    <w:rsid w:val="00A06E95"/>
    <w:rsid w:val="00A06F29"/>
    <w:rsid w:val="00A07193"/>
    <w:rsid w:val="00A073BA"/>
    <w:rsid w:val="00A074F4"/>
    <w:rsid w:val="00A07671"/>
    <w:rsid w:val="00A07E81"/>
    <w:rsid w:val="00A10B62"/>
    <w:rsid w:val="00A10BF4"/>
    <w:rsid w:val="00A11057"/>
    <w:rsid w:val="00A110B0"/>
    <w:rsid w:val="00A11151"/>
    <w:rsid w:val="00A1138A"/>
    <w:rsid w:val="00A113BD"/>
    <w:rsid w:val="00A1157E"/>
    <w:rsid w:val="00A119C8"/>
    <w:rsid w:val="00A11A8B"/>
    <w:rsid w:val="00A1224E"/>
    <w:rsid w:val="00A12395"/>
    <w:rsid w:val="00A125A6"/>
    <w:rsid w:val="00A125ED"/>
    <w:rsid w:val="00A128EF"/>
    <w:rsid w:val="00A12AC9"/>
    <w:rsid w:val="00A12C5E"/>
    <w:rsid w:val="00A13406"/>
    <w:rsid w:val="00A135F2"/>
    <w:rsid w:val="00A13847"/>
    <w:rsid w:val="00A13897"/>
    <w:rsid w:val="00A13E84"/>
    <w:rsid w:val="00A14C4F"/>
    <w:rsid w:val="00A14D58"/>
    <w:rsid w:val="00A15079"/>
    <w:rsid w:val="00A15309"/>
    <w:rsid w:val="00A15527"/>
    <w:rsid w:val="00A15A5C"/>
    <w:rsid w:val="00A16148"/>
    <w:rsid w:val="00A16350"/>
    <w:rsid w:val="00A16683"/>
    <w:rsid w:val="00A16978"/>
    <w:rsid w:val="00A16A58"/>
    <w:rsid w:val="00A16C43"/>
    <w:rsid w:val="00A171D6"/>
    <w:rsid w:val="00A179D5"/>
    <w:rsid w:val="00A17B48"/>
    <w:rsid w:val="00A200D7"/>
    <w:rsid w:val="00A20509"/>
    <w:rsid w:val="00A20559"/>
    <w:rsid w:val="00A20731"/>
    <w:rsid w:val="00A2075C"/>
    <w:rsid w:val="00A207DD"/>
    <w:rsid w:val="00A20B1A"/>
    <w:rsid w:val="00A21423"/>
    <w:rsid w:val="00A214C7"/>
    <w:rsid w:val="00A21936"/>
    <w:rsid w:val="00A21B8E"/>
    <w:rsid w:val="00A21CB1"/>
    <w:rsid w:val="00A21D64"/>
    <w:rsid w:val="00A21F4A"/>
    <w:rsid w:val="00A222E2"/>
    <w:rsid w:val="00A227C7"/>
    <w:rsid w:val="00A2283A"/>
    <w:rsid w:val="00A22965"/>
    <w:rsid w:val="00A2298D"/>
    <w:rsid w:val="00A22C25"/>
    <w:rsid w:val="00A22DE3"/>
    <w:rsid w:val="00A23116"/>
    <w:rsid w:val="00A2347F"/>
    <w:rsid w:val="00A23898"/>
    <w:rsid w:val="00A241F7"/>
    <w:rsid w:val="00A2435E"/>
    <w:rsid w:val="00A24609"/>
    <w:rsid w:val="00A24AD2"/>
    <w:rsid w:val="00A24D4C"/>
    <w:rsid w:val="00A25886"/>
    <w:rsid w:val="00A25B0D"/>
    <w:rsid w:val="00A25EF7"/>
    <w:rsid w:val="00A2604E"/>
    <w:rsid w:val="00A2609A"/>
    <w:rsid w:val="00A264D1"/>
    <w:rsid w:val="00A2651D"/>
    <w:rsid w:val="00A268FC"/>
    <w:rsid w:val="00A2697C"/>
    <w:rsid w:val="00A26CE5"/>
    <w:rsid w:val="00A27308"/>
    <w:rsid w:val="00A273CC"/>
    <w:rsid w:val="00A2740E"/>
    <w:rsid w:val="00A2792B"/>
    <w:rsid w:val="00A279B8"/>
    <w:rsid w:val="00A27FD4"/>
    <w:rsid w:val="00A30098"/>
    <w:rsid w:val="00A301E0"/>
    <w:rsid w:val="00A3030D"/>
    <w:rsid w:val="00A306FF"/>
    <w:rsid w:val="00A30808"/>
    <w:rsid w:val="00A30D97"/>
    <w:rsid w:val="00A314D1"/>
    <w:rsid w:val="00A3153A"/>
    <w:rsid w:val="00A31570"/>
    <w:rsid w:val="00A316E8"/>
    <w:rsid w:val="00A31706"/>
    <w:rsid w:val="00A31936"/>
    <w:rsid w:val="00A319C9"/>
    <w:rsid w:val="00A31A43"/>
    <w:rsid w:val="00A31A9B"/>
    <w:rsid w:val="00A31DDC"/>
    <w:rsid w:val="00A323D1"/>
    <w:rsid w:val="00A32719"/>
    <w:rsid w:val="00A32948"/>
    <w:rsid w:val="00A32AAD"/>
    <w:rsid w:val="00A32EB3"/>
    <w:rsid w:val="00A3323B"/>
    <w:rsid w:val="00A33634"/>
    <w:rsid w:val="00A338A1"/>
    <w:rsid w:val="00A33AE3"/>
    <w:rsid w:val="00A33F72"/>
    <w:rsid w:val="00A34574"/>
    <w:rsid w:val="00A34847"/>
    <w:rsid w:val="00A34B3D"/>
    <w:rsid w:val="00A34C2D"/>
    <w:rsid w:val="00A34DC0"/>
    <w:rsid w:val="00A34E72"/>
    <w:rsid w:val="00A35500"/>
    <w:rsid w:val="00A35743"/>
    <w:rsid w:val="00A3603D"/>
    <w:rsid w:val="00A3628B"/>
    <w:rsid w:val="00A363B4"/>
    <w:rsid w:val="00A364BB"/>
    <w:rsid w:val="00A36574"/>
    <w:rsid w:val="00A36A6F"/>
    <w:rsid w:val="00A36E92"/>
    <w:rsid w:val="00A37551"/>
    <w:rsid w:val="00A37855"/>
    <w:rsid w:val="00A37CA7"/>
    <w:rsid w:val="00A40C02"/>
    <w:rsid w:val="00A40CED"/>
    <w:rsid w:val="00A40DB0"/>
    <w:rsid w:val="00A40FE2"/>
    <w:rsid w:val="00A41080"/>
    <w:rsid w:val="00A41585"/>
    <w:rsid w:val="00A419D0"/>
    <w:rsid w:val="00A41F63"/>
    <w:rsid w:val="00A42082"/>
    <w:rsid w:val="00A42AFF"/>
    <w:rsid w:val="00A42D6D"/>
    <w:rsid w:val="00A42ED1"/>
    <w:rsid w:val="00A431D2"/>
    <w:rsid w:val="00A432A4"/>
    <w:rsid w:val="00A433B4"/>
    <w:rsid w:val="00A43451"/>
    <w:rsid w:val="00A434E1"/>
    <w:rsid w:val="00A43633"/>
    <w:rsid w:val="00A4376F"/>
    <w:rsid w:val="00A43CB2"/>
    <w:rsid w:val="00A4421C"/>
    <w:rsid w:val="00A442DD"/>
    <w:rsid w:val="00A44809"/>
    <w:rsid w:val="00A44BAD"/>
    <w:rsid w:val="00A44C43"/>
    <w:rsid w:val="00A44E09"/>
    <w:rsid w:val="00A450B9"/>
    <w:rsid w:val="00A45496"/>
    <w:rsid w:val="00A45501"/>
    <w:rsid w:val="00A456C4"/>
    <w:rsid w:val="00A4587E"/>
    <w:rsid w:val="00A45D81"/>
    <w:rsid w:val="00A468C7"/>
    <w:rsid w:val="00A46F39"/>
    <w:rsid w:val="00A46F5C"/>
    <w:rsid w:val="00A47179"/>
    <w:rsid w:val="00A47677"/>
    <w:rsid w:val="00A47A41"/>
    <w:rsid w:val="00A47D30"/>
    <w:rsid w:val="00A47F4F"/>
    <w:rsid w:val="00A5017B"/>
    <w:rsid w:val="00A5020D"/>
    <w:rsid w:val="00A50529"/>
    <w:rsid w:val="00A5066C"/>
    <w:rsid w:val="00A5084B"/>
    <w:rsid w:val="00A50C14"/>
    <w:rsid w:val="00A518D5"/>
    <w:rsid w:val="00A51A47"/>
    <w:rsid w:val="00A51FE8"/>
    <w:rsid w:val="00A520D0"/>
    <w:rsid w:val="00A525E2"/>
    <w:rsid w:val="00A53136"/>
    <w:rsid w:val="00A53263"/>
    <w:rsid w:val="00A53565"/>
    <w:rsid w:val="00A53E86"/>
    <w:rsid w:val="00A542E3"/>
    <w:rsid w:val="00A5480D"/>
    <w:rsid w:val="00A54AE0"/>
    <w:rsid w:val="00A54C1E"/>
    <w:rsid w:val="00A55118"/>
    <w:rsid w:val="00A5517D"/>
    <w:rsid w:val="00A553B1"/>
    <w:rsid w:val="00A5550F"/>
    <w:rsid w:val="00A559B0"/>
    <w:rsid w:val="00A55F7F"/>
    <w:rsid w:val="00A567F5"/>
    <w:rsid w:val="00A568B8"/>
    <w:rsid w:val="00A56B59"/>
    <w:rsid w:val="00A56BC3"/>
    <w:rsid w:val="00A570C3"/>
    <w:rsid w:val="00A574D8"/>
    <w:rsid w:val="00A57612"/>
    <w:rsid w:val="00A5766A"/>
    <w:rsid w:val="00A5799F"/>
    <w:rsid w:val="00A57F56"/>
    <w:rsid w:val="00A60065"/>
    <w:rsid w:val="00A601EA"/>
    <w:rsid w:val="00A60229"/>
    <w:rsid w:val="00A60272"/>
    <w:rsid w:val="00A603A4"/>
    <w:rsid w:val="00A605D0"/>
    <w:rsid w:val="00A60654"/>
    <w:rsid w:val="00A6068D"/>
    <w:rsid w:val="00A60767"/>
    <w:rsid w:val="00A60AA2"/>
    <w:rsid w:val="00A60CAE"/>
    <w:rsid w:val="00A611C5"/>
    <w:rsid w:val="00A613C5"/>
    <w:rsid w:val="00A61493"/>
    <w:rsid w:val="00A6149E"/>
    <w:rsid w:val="00A6198A"/>
    <w:rsid w:val="00A61DDE"/>
    <w:rsid w:val="00A61E00"/>
    <w:rsid w:val="00A61ECC"/>
    <w:rsid w:val="00A61F78"/>
    <w:rsid w:val="00A620C1"/>
    <w:rsid w:val="00A62328"/>
    <w:rsid w:val="00A6293E"/>
    <w:rsid w:val="00A62983"/>
    <w:rsid w:val="00A63570"/>
    <w:rsid w:val="00A63AD8"/>
    <w:rsid w:val="00A63AF6"/>
    <w:rsid w:val="00A63DE3"/>
    <w:rsid w:val="00A63E32"/>
    <w:rsid w:val="00A63E77"/>
    <w:rsid w:val="00A64003"/>
    <w:rsid w:val="00A64789"/>
    <w:rsid w:val="00A64B0D"/>
    <w:rsid w:val="00A64B9F"/>
    <w:rsid w:val="00A64DEC"/>
    <w:rsid w:val="00A6509B"/>
    <w:rsid w:val="00A65154"/>
    <w:rsid w:val="00A6537D"/>
    <w:rsid w:val="00A6545D"/>
    <w:rsid w:val="00A65629"/>
    <w:rsid w:val="00A65B69"/>
    <w:rsid w:val="00A65D15"/>
    <w:rsid w:val="00A664D5"/>
    <w:rsid w:val="00A66976"/>
    <w:rsid w:val="00A66BAE"/>
    <w:rsid w:val="00A66E6B"/>
    <w:rsid w:val="00A66F81"/>
    <w:rsid w:val="00A67401"/>
    <w:rsid w:val="00A678EC"/>
    <w:rsid w:val="00A67A1D"/>
    <w:rsid w:val="00A67C3A"/>
    <w:rsid w:val="00A67E94"/>
    <w:rsid w:val="00A70441"/>
    <w:rsid w:val="00A7074A"/>
    <w:rsid w:val="00A707FC"/>
    <w:rsid w:val="00A70807"/>
    <w:rsid w:val="00A708B5"/>
    <w:rsid w:val="00A70EAD"/>
    <w:rsid w:val="00A70ED7"/>
    <w:rsid w:val="00A71241"/>
    <w:rsid w:val="00A715C8"/>
    <w:rsid w:val="00A71B8E"/>
    <w:rsid w:val="00A71BAA"/>
    <w:rsid w:val="00A7205A"/>
    <w:rsid w:val="00A721ED"/>
    <w:rsid w:val="00A72A4A"/>
    <w:rsid w:val="00A73190"/>
    <w:rsid w:val="00A731D8"/>
    <w:rsid w:val="00A73B7A"/>
    <w:rsid w:val="00A73BC4"/>
    <w:rsid w:val="00A73D13"/>
    <w:rsid w:val="00A73E9E"/>
    <w:rsid w:val="00A73FA8"/>
    <w:rsid w:val="00A741F7"/>
    <w:rsid w:val="00A74315"/>
    <w:rsid w:val="00A7449F"/>
    <w:rsid w:val="00A7487B"/>
    <w:rsid w:val="00A74E70"/>
    <w:rsid w:val="00A7564A"/>
    <w:rsid w:val="00A75CCE"/>
    <w:rsid w:val="00A75D4F"/>
    <w:rsid w:val="00A76166"/>
    <w:rsid w:val="00A76ED7"/>
    <w:rsid w:val="00A77075"/>
    <w:rsid w:val="00A77252"/>
    <w:rsid w:val="00A77C74"/>
    <w:rsid w:val="00A77D12"/>
    <w:rsid w:val="00A77DEA"/>
    <w:rsid w:val="00A8001D"/>
    <w:rsid w:val="00A80233"/>
    <w:rsid w:val="00A8027B"/>
    <w:rsid w:val="00A8048D"/>
    <w:rsid w:val="00A80BCA"/>
    <w:rsid w:val="00A80C10"/>
    <w:rsid w:val="00A80EB8"/>
    <w:rsid w:val="00A81122"/>
    <w:rsid w:val="00A81811"/>
    <w:rsid w:val="00A81893"/>
    <w:rsid w:val="00A818EB"/>
    <w:rsid w:val="00A81994"/>
    <w:rsid w:val="00A81EB9"/>
    <w:rsid w:val="00A8212A"/>
    <w:rsid w:val="00A82739"/>
    <w:rsid w:val="00A82E26"/>
    <w:rsid w:val="00A82EDC"/>
    <w:rsid w:val="00A83508"/>
    <w:rsid w:val="00A83860"/>
    <w:rsid w:val="00A83BAF"/>
    <w:rsid w:val="00A84D8F"/>
    <w:rsid w:val="00A84E24"/>
    <w:rsid w:val="00A85311"/>
    <w:rsid w:val="00A853DF"/>
    <w:rsid w:val="00A854E9"/>
    <w:rsid w:val="00A854F5"/>
    <w:rsid w:val="00A8577A"/>
    <w:rsid w:val="00A857E3"/>
    <w:rsid w:val="00A857E5"/>
    <w:rsid w:val="00A85DE0"/>
    <w:rsid w:val="00A85FD3"/>
    <w:rsid w:val="00A86013"/>
    <w:rsid w:val="00A860DA"/>
    <w:rsid w:val="00A862C9"/>
    <w:rsid w:val="00A86479"/>
    <w:rsid w:val="00A864A8"/>
    <w:rsid w:val="00A86614"/>
    <w:rsid w:val="00A867BC"/>
    <w:rsid w:val="00A86941"/>
    <w:rsid w:val="00A86A65"/>
    <w:rsid w:val="00A86D70"/>
    <w:rsid w:val="00A86E6C"/>
    <w:rsid w:val="00A870F7"/>
    <w:rsid w:val="00A871A4"/>
    <w:rsid w:val="00A87211"/>
    <w:rsid w:val="00A87459"/>
    <w:rsid w:val="00A874C8"/>
    <w:rsid w:val="00A8788A"/>
    <w:rsid w:val="00A87E0C"/>
    <w:rsid w:val="00A87FA7"/>
    <w:rsid w:val="00A90330"/>
    <w:rsid w:val="00A90663"/>
    <w:rsid w:val="00A9071F"/>
    <w:rsid w:val="00A9089E"/>
    <w:rsid w:val="00A90990"/>
    <w:rsid w:val="00A90A2A"/>
    <w:rsid w:val="00A90CAD"/>
    <w:rsid w:val="00A90CE3"/>
    <w:rsid w:val="00A90D76"/>
    <w:rsid w:val="00A91341"/>
    <w:rsid w:val="00A9145E"/>
    <w:rsid w:val="00A91460"/>
    <w:rsid w:val="00A917C9"/>
    <w:rsid w:val="00A91DB6"/>
    <w:rsid w:val="00A921FC"/>
    <w:rsid w:val="00A92290"/>
    <w:rsid w:val="00A92D3B"/>
    <w:rsid w:val="00A931F0"/>
    <w:rsid w:val="00A9334C"/>
    <w:rsid w:val="00A9340D"/>
    <w:rsid w:val="00A93461"/>
    <w:rsid w:val="00A93A78"/>
    <w:rsid w:val="00A93CBC"/>
    <w:rsid w:val="00A93DEB"/>
    <w:rsid w:val="00A9440F"/>
    <w:rsid w:val="00A944EB"/>
    <w:rsid w:val="00A94AF9"/>
    <w:rsid w:val="00A94B56"/>
    <w:rsid w:val="00A94B91"/>
    <w:rsid w:val="00A94C4C"/>
    <w:rsid w:val="00A94D4D"/>
    <w:rsid w:val="00A94E64"/>
    <w:rsid w:val="00A95639"/>
    <w:rsid w:val="00A9571E"/>
    <w:rsid w:val="00A95922"/>
    <w:rsid w:val="00A95B9B"/>
    <w:rsid w:val="00A96327"/>
    <w:rsid w:val="00A9638F"/>
    <w:rsid w:val="00A96745"/>
    <w:rsid w:val="00A9675E"/>
    <w:rsid w:val="00A96871"/>
    <w:rsid w:val="00A96A65"/>
    <w:rsid w:val="00A96C77"/>
    <w:rsid w:val="00A970E4"/>
    <w:rsid w:val="00A9740C"/>
    <w:rsid w:val="00A974BE"/>
    <w:rsid w:val="00A974D8"/>
    <w:rsid w:val="00A97ACB"/>
    <w:rsid w:val="00A97B1D"/>
    <w:rsid w:val="00A97E95"/>
    <w:rsid w:val="00AA0494"/>
    <w:rsid w:val="00AA0549"/>
    <w:rsid w:val="00AA061B"/>
    <w:rsid w:val="00AA06BB"/>
    <w:rsid w:val="00AA0CFA"/>
    <w:rsid w:val="00AA0D72"/>
    <w:rsid w:val="00AA0F68"/>
    <w:rsid w:val="00AA108A"/>
    <w:rsid w:val="00AA110F"/>
    <w:rsid w:val="00AA15C0"/>
    <w:rsid w:val="00AA15E0"/>
    <w:rsid w:val="00AA16B1"/>
    <w:rsid w:val="00AA1968"/>
    <w:rsid w:val="00AA1B46"/>
    <w:rsid w:val="00AA1D15"/>
    <w:rsid w:val="00AA1DB5"/>
    <w:rsid w:val="00AA1E4C"/>
    <w:rsid w:val="00AA1E91"/>
    <w:rsid w:val="00AA2300"/>
    <w:rsid w:val="00AA28B2"/>
    <w:rsid w:val="00AA2AF5"/>
    <w:rsid w:val="00AA2B99"/>
    <w:rsid w:val="00AA2FF4"/>
    <w:rsid w:val="00AA316D"/>
    <w:rsid w:val="00AA31BB"/>
    <w:rsid w:val="00AA33CE"/>
    <w:rsid w:val="00AA33D9"/>
    <w:rsid w:val="00AA35DD"/>
    <w:rsid w:val="00AA3746"/>
    <w:rsid w:val="00AA3AF9"/>
    <w:rsid w:val="00AA3CAD"/>
    <w:rsid w:val="00AA463B"/>
    <w:rsid w:val="00AA46DA"/>
    <w:rsid w:val="00AA4B3D"/>
    <w:rsid w:val="00AA4EC6"/>
    <w:rsid w:val="00AA5169"/>
    <w:rsid w:val="00AA52DE"/>
    <w:rsid w:val="00AA53D6"/>
    <w:rsid w:val="00AA56DF"/>
    <w:rsid w:val="00AA5B5E"/>
    <w:rsid w:val="00AA5B71"/>
    <w:rsid w:val="00AA5DB0"/>
    <w:rsid w:val="00AA5E48"/>
    <w:rsid w:val="00AA6241"/>
    <w:rsid w:val="00AA6781"/>
    <w:rsid w:val="00AA67D3"/>
    <w:rsid w:val="00AA67E9"/>
    <w:rsid w:val="00AA6AC3"/>
    <w:rsid w:val="00AA6C81"/>
    <w:rsid w:val="00AA6CAD"/>
    <w:rsid w:val="00AA6DF5"/>
    <w:rsid w:val="00AA6F34"/>
    <w:rsid w:val="00AA728A"/>
    <w:rsid w:val="00AA778A"/>
    <w:rsid w:val="00AA7F4E"/>
    <w:rsid w:val="00AB06D4"/>
    <w:rsid w:val="00AB06EB"/>
    <w:rsid w:val="00AB078A"/>
    <w:rsid w:val="00AB0A12"/>
    <w:rsid w:val="00AB0E7A"/>
    <w:rsid w:val="00AB11B5"/>
    <w:rsid w:val="00AB14EA"/>
    <w:rsid w:val="00AB150A"/>
    <w:rsid w:val="00AB17C1"/>
    <w:rsid w:val="00AB1A8B"/>
    <w:rsid w:val="00AB1AE9"/>
    <w:rsid w:val="00AB1B5D"/>
    <w:rsid w:val="00AB1DD1"/>
    <w:rsid w:val="00AB2476"/>
    <w:rsid w:val="00AB2530"/>
    <w:rsid w:val="00AB274E"/>
    <w:rsid w:val="00AB2B55"/>
    <w:rsid w:val="00AB2BD7"/>
    <w:rsid w:val="00AB2CE2"/>
    <w:rsid w:val="00AB305C"/>
    <w:rsid w:val="00AB34DF"/>
    <w:rsid w:val="00AB35CC"/>
    <w:rsid w:val="00AB387F"/>
    <w:rsid w:val="00AB3C62"/>
    <w:rsid w:val="00AB3E85"/>
    <w:rsid w:val="00AB3FCA"/>
    <w:rsid w:val="00AB5472"/>
    <w:rsid w:val="00AB5C48"/>
    <w:rsid w:val="00AB5C89"/>
    <w:rsid w:val="00AB626B"/>
    <w:rsid w:val="00AB6285"/>
    <w:rsid w:val="00AB6B12"/>
    <w:rsid w:val="00AB6B5C"/>
    <w:rsid w:val="00AB6BB7"/>
    <w:rsid w:val="00AB6C31"/>
    <w:rsid w:val="00AB731B"/>
    <w:rsid w:val="00AB7433"/>
    <w:rsid w:val="00AB75E7"/>
    <w:rsid w:val="00AB7959"/>
    <w:rsid w:val="00AB7ADB"/>
    <w:rsid w:val="00AB7CB7"/>
    <w:rsid w:val="00AB7CB8"/>
    <w:rsid w:val="00AB7D13"/>
    <w:rsid w:val="00AB7DF6"/>
    <w:rsid w:val="00AC01C7"/>
    <w:rsid w:val="00AC0F18"/>
    <w:rsid w:val="00AC12A0"/>
    <w:rsid w:val="00AC148A"/>
    <w:rsid w:val="00AC14C2"/>
    <w:rsid w:val="00AC15DD"/>
    <w:rsid w:val="00AC1D22"/>
    <w:rsid w:val="00AC2225"/>
    <w:rsid w:val="00AC22E7"/>
    <w:rsid w:val="00AC244D"/>
    <w:rsid w:val="00AC2762"/>
    <w:rsid w:val="00AC286B"/>
    <w:rsid w:val="00AC287D"/>
    <w:rsid w:val="00AC28DD"/>
    <w:rsid w:val="00AC2BB3"/>
    <w:rsid w:val="00AC2BC1"/>
    <w:rsid w:val="00AC2DE8"/>
    <w:rsid w:val="00AC34EC"/>
    <w:rsid w:val="00AC3B3F"/>
    <w:rsid w:val="00AC4037"/>
    <w:rsid w:val="00AC41A5"/>
    <w:rsid w:val="00AC44AF"/>
    <w:rsid w:val="00AC45C7"/>
    <w:rsid w:val="00AC4A50"/>
    <w:rsid w:val="00AC4D5E"/>
    <w:rsid w:val="00AC5241"/>
    <w:rsid w:val="00AC5280"/>
    <w:rsid w:val="00AC59E4"/>
    <w:rsid w:val="00AC5BF4"/>
    <w:rsid w:val="00AC5C38"/>
    <w:rsid w:val="00AC62D8"/>
    <w:rsid w:val="00AC66A6"/>
    <w:rsid w:val="00AC696E"/>
    <w:rsid w:val="00AC6EF0"/>
    <w:rsid w:val="00AC7077"/>
    <w:rsid w:val="00AC72DC"/>
    <w:rsid w:val="00AC7E37"/>
    <w:rsid w:val="00AC7F14"/>
    <w:rsid w:val="00AD00EA"/>
    <w:rsid w:val="00AD07CC"/>
    <w:rsid w:val="00AD0863"/>
    <w:rsid w:val="00AD0DA2"/>
    <w:rsid w:val="00AD0FFA"/>
    <w:rsid w:val="00AD109C"/>
    <w:rsid w:val="00AD118B"/>
    <w:rsid w:val="00AD15C6"/>
    <w:rsid w:val="00AD1733"/>
    <w:rsid w:val="00AD1752"/>
    <w:rsid w:val="00AD1764"/>
    <w:rsid w:val="00AD1AD6"/>
    <w:rsid w:val="00AD1AF7"/>
    <w:rsid w:val="00AD20C0"/>
    <w:rsid w:val="00AD23C0"/>
    <w:rsid w:val="00AD2417"/>
    <w:rsid w:val="00AD2513"/>
    <w:rsid w:val="00AD2627"/>
    <w:rsid w:val="00AD321D"/>
    <w:rsid w:val="00AD3BF1"/>
    <w:rsid w:val="00AD43C1"/>
    <w:rsid w:val="00AD4595"/>
    <w:rsid w:val="00AD4CD2"/>
    <w:rsid w:val="00AD4F34"/>
    <w:rsid w:val="00AD51D0"/>
    <w:rsid w:val="00AD5B5F"/>
    <w:rsid w:val="00AD6234"/>
    <w:rsid w:val="00AD6A28"/>
    <w:rsid w:val="00AD7139"/>
    <w:rsid w:val="00AD770C"/>
    <w:rsid w:val="00AD7BA1"/>
    <w:rsid w:val="00AE03B8"/>
    <w:rsid w:val="00AE040B"/>
    <w:rsid w:val="00AE045E"/>
    <w:rsid w:val="00AE079D"/>
    <w:rsid w:val="00AE09F0"/>
    <w:rsid w:val="00AE1186"/>
    <w:rsid w:val="00AE1268"/>
    <w:rsid w:val="00AE1367"/>
    <w:rsid w:val="00AE13F8"/>
    <w:rsid w:val="00AE1A5E"/>
    <w:rsid w:val="00AE1A9C"/>
    <w:rsid w:val="00AE25D2"/>
    <w:rsid w:val="00AE25F3"/>
    <w:rsid w:val="00AE26FE"/>
    <w:rsid w:val="00AE2750"/>
    <w:rsid w:val="00AE2B4C"/>
    <w:rsid w:val="00AE2C89"/>
    <w:rsid w:val="00AE303F"/>
    <w:rsid w:val="00AE341D"/>
    <w:rsid w:val="00AE384E"/>
    <w:rsid w:val="00AE38B4"/>
    <w:rsid w:val="00AE39E8"/>
    <w:rsid w:val="00AE469F"/>
    <w:rsid w:val="00AE4791"/>
    <w:rsid w:val="00AE48AE"/>
    <w:rsid w:val="00AE4E25"/>
    <w:rsid w:val="00AE4E30"/>
    <w:rsid w:val="00AE50EC"/>
    <w:rsid w:val="00AE513B"/>
    <w:rsid w:val="00AE60E4"/>
    <w:rsid w:val="00AE6409"/>
    <w:rsid w:val="00AE68BF"/>
    <w:rsid w:val="00AE6A2A"/>
    <w:rsid w:val="00AE6D4B"/>
    <w:rsid w:val="00AE704A"/>
    <w:rsid w:val="00AE7217"/>
    <w:rsid w:val="00AE75F2"/>
    <w:rsid w:val="00AE7B2F"/>
    <w:rsid w:val="00AE7B79"/>
    <w:rsid w:val="00AE7D81"/>
    <w:rsid w:val="00AF0727"/>
    <w:rsid w:val="00AF0972"/>
    <w:rsid w:val="00AF101A"/>
    <w:rsid w:val="00AF165C"/>
    <w:rsid w:val="00AF1EE4"/>
    <w:rsid w:val="00AF1F56"/>
    <w:rsid w:val="00AF1FAC"/>
    <w:rsid w:val="00AF1FE4"/>
    <w:rsid w:val="00AF26B8"/>
    <w:rsid w:val="00AF2AAE"/>
    <w:rsid w:val="00AF2B26"/>
    <w:rsid w:val="00AF33B2"/>
    <w:rsid w:val="00AF35F1"/>
    <w:rsid w:val="00AF39E1"/>
    <w:rsid w:val="00AF3C71"/>
    <w:rsid w:val="00AF3FC1"/>
    <w:rsid w:val="00AF4050"/>
    <w:rsid w:val="00AF4830"/>
    <w:rsid w:val="00AF4997"/>
    <w:rsid w:val="00AF4A6F"/>
    <w:rsid w:val="00AF545B"/>
    <w:rsid w:val="00AF61EB"/>
    <w:rsid w:val="00AF6356"/>
    <w:rsid w:val="00AF6398"/>
    <w:rsid w:val="00AF6BB7"/>
    <w:rsid w:val="00AF74A4"/>
    <w:rsid w:val="00AF79B9"/>
    <w:rsid w:val="00AF79CC"/>
    <w:rsid w:val="00B00279"/>
    <w:rsid w:val="00B00B7F"/>
    <w:rsid w:val="00B00F83"/>
    <w:rsid w:val="00B010C7"/>
    <w:rsid w:val="00B01109"/>
    <w:rsid w:val="00B0118E"/>
    <w:rsid w:val="00B012A6"/>
    <w:rsid w:val="00B013B6"/>
    <w:rsid w:val="00B015C8"/>
    <w:rsid w:val="00B01AE4"/>
    <w:rsid w:val="00B025F5"/>
    <w:rsid w:val="00B0260A"/>
    <w:rsid w:val="00B02629"/>
    <w:rsid w:val="00B02833"/>
    <w:rsid w:val="00B02956"/>
    <w:rsid w:val="00B02C8F"/>
    <w:rsid w:val="00B0302A"/>
    <w:rsid w:val="00B0318B"/>
    <w:rsid w:val="00B03340"/>
    <w:rsid w:val="00B03687"/>
    <w:rsid w:val="00B036AA"/>
    <w:rsid w:val="00B036E5"/>
    <w:rsid w:val="00B03CFF"/>
    <w:rsid w:val="00B04090"/>
    <w:rsid w:val="00B043F9"/>
    <w:rsid w:val="00B044DA"/>
    <w:rsid w:val="00B045C1"/>
    <w:rsid w:val="00B04A11"/>
    <w:rsid w:val="00B04B2B"/>
    <w:rsid w:val="00B04D4E"/>
    <w:rsid w:val="00B0512E"/>
    <w:rsid w:val="00B053C7"/>
    <w:rsid w:val="00B05445"/>
    <w:rsid w:val="00B0557A"/>
    <w:rsid w:val="00B05C93"/>
    <w:rsid w:val="00B05E5A"/>
    <w:rsid w:val="00B0614F"/>
    <w:rsid w:val="00B06C2F"/>
    <w:rsid w:val="00B06FB3"/>
    <w:rsid w:val="00B0706D"/>
    <w:rsid w:val="00B0709B"/>
    <w:rsid w:val="00B07C2D"/>
    <w:rsid w:val="00B10204"/>
    <w:rsid w:val="00B105F0"/>
    <w:rsid w:val="00B10903"/>
    <w:rsid w:val="00B10E7B"/>
    <w:rsid w:val="00B1128A"/>
    <w:rsid w:val="00B11494"/>
    <w:rsid w:val="00B123CD"/>
    <w:rsid w:val="00B1287A"/>
    <w:rsid w:val="00B12926"/>
    <w:rsid w:val="00B12C28"/>
    <w:rsid w:val="00B12D63"/>
    <w:rsid w:val="00B13243"/>
    <w:rsid w:val="00B136BD"/>
    <w:rsid w:val="00B13795"/>
    <w:rsid w:val="00B13907"/>
    <w:rsid w:val="00B13DC3"/>
    <w:rsid w:val="00B144C8"/>
    <w:rsid w:val="00B147F0"/>
    <w:rsid w:val="00B149FC"/>
    <w:rsid w:val="00B14AEE"/>
    <w:rsid w:val="00B14B93"/>
    <w:rsid w:val="00B14CBD"/>
    <w:rsid w:val="00B14E96"/>
    <w:rsid w:val="00B14FBC"/>
    <w:rsid w:val="00B156CF"/>
    <w:rsid w:val="00B15BF6"/>
    <w:rsid w:val="00B15EE5"/>
    <w:rsid w:val="00B1638E"/>
    <w:rsid w:val="00B168D0"/>
    <w:rsid w:val="00B17028"/>
    <w:rsid w:val="00B17263"/>
    <w:rsid w:val="00B17609"/>
    <w:rsid w:val="00B17CB0"/>
    <w:rsid w:val="00B17F80"/>
    <w:rsid w:val="00B20502"/>
    <w:rsid w:val="00B20560"/>
    <w:rsid w:val="00B20775"/>
    <w:rsid w:val="00B2080D"/>
    <w:rsid w:val="00B20B2F"/>
    <w:rsid w:val="00B20C6D"/>
    <w:rsid w:val="00B21018"/>
    <w:rsid w:val="00B2105F"/>
    <w:rsid w:val="00B2122F"/>
    <w:rsid w:val="00B2148B"/>
    <w:rsid w:val="00B215E1"/>
    <w:rsid w:val="00B21902"/>
    <w:rsid w:val="00B2193D"/>
    <w:rsid w:val="00B22070"/>
    <w:rsid w:val="00B223D4"/>
    <w:rsid w:val="00B22575"/>
    <w:rsid w:val="00B22721"/>
    <w:rsid w:val="00B22D81"/>
    <w:rsid w:val="00B23C3F"/>
    <w:rsid w:val="00B23E9C"/>
    <w:rsid w:val="00B23F51"/>
    <w:rsid w:val="00B241A3"/>
    <w:rsid w:val="00B248BB"/>
    <w:rsid w:val="00B24C2F"/>
    <w:rsid w:val="00B24F1B"/>
    <w:rsid w:val="00B25829"/>
    <w:rsid w:val="00B2589E"/>
    <w:rsid w:val="00B258A8"/>
    <w:rsid w:val="00B25DDB"/>
    <w:rsid w:val="00B26473"/>
    <w:rsid w:val="00B264F1"/>
    <w:rsid w:val="00B26531"/>
    <w:rsid w:val="00B2653F"/>
    <w:rsid w:val="00B26694"/>
    <w:rsid w:val="00B266EC"/>
    <w:rsid w:val="00B26C97"/>
    <w:rsid w:val="00B26CA3"/>
    <w:rsid w:val="00B26D46"/>
    <w:rsid w:val="00B26D99"/>
    <w:rsid w:val="00B2721D"/>
    <w:rsid w:val="00B27702"/>
    <w:rsid w:val="00B279D3"/>
    <w:rsid w:val="00B27A3E"/>
    <w:rsid w:val="00B27AFC"/>
    <w:rsid w:val="00B27CF8"/>
    <w:rsid w:val="00B30148"/>
    <w:rsid w:val="00B302FA"/>
    <w:rsid w:val="00B303F6"/>
    <w:rsid w:val="00B3060C"/>
    <w:rsid w:val="00B30AD6"/>
    <w:rsid w:val="00B30E56"/>
    <w:rsid w:val="00B30EA4"/>
    <w:rsid w:val="00B3143F"/>
    <w:rsid w:val="00B31448"/>
    <w:rsid w:val="00B31771"/>
    <w:rsid w:val="00B3195B"/>
    <w:rsid w:val="00B31A09"/>
    <w:rsid w:val="00B31A0C"/>
    <w:rsid w:val="00B31AF1"/>
    <w:rsid w:val="00B31E9A"/>
    <w:rsid w:val="00B31EFB"/>
    <w:rsid w:val="00B31F75"/>
    <w:rsid w:val="00B3227E"/>
    <w:rsid w:val="00B324D4"/>
    <w:rsid w:val="00B32586"/>
    <w:rsid w:val="00B329D1"/>
    <w:rsid w:val="00B32D76"/>
    <w:rsid w:val="00B33D4F"/>
    <w:rsid w:val="00B33DFF"/>
    <w:rsid w:val="00B33F03"/>
    <w:rsid w:val="00B340BC"/>
    <w:rsid w:val="00B3435C"/>
    <w:rsid w:val="00B345E1"/>
    <w:rsid w:val="00B34A3E"/>
    <w:rsid w:val="00B34CC6"/>
    <w:rsid w:val="00B35010"/>
    <w:rsid w:val="00B350AC"/>
    <w:rsid w:val="00B3521D"/>
    <w:rsid w:val="00B3543D"/>
    <w:rsid w:val="00B35627"/>
    <w:rsid w:val="00B35678"/>
    <w:rsid w:val="00B35784"/>
    <w:rsid w:val="00B35E27"/>
    <w:rsid w:val="00B3610B"/>
    <w:rsid w:val="00B3641F"/>
    <w:rsid w:val="00B36476"/>
    <w:rsid w:val="00B36502"/>
    <w:rsid w:val="00B36554"/>
    <w:rsid w:val="00B36784"/>
    <w:rsid w:val="00B368A9"/>
    <w:rsid w:val="00B36DAE"/>
    <w:rsid w:val="00B36DD2"/>
    <w:rsid w:val="00B37908"/>
    <w:rsid w:val="00B37B42"/>
    <w:rsid w:val="00B37B97"/>
    <w:rsid w:val="00B37EC2"/>
    <w:rsid w:val="00B37FEF"/>
    <w:rsid w:val="00B4171A"/>
    <w:rsid w:val="00B417C6"/>
    <w:rsid w:val="00B418E9"/>
    <w:rsid w:val="00B41A6C"/>
    <w:rsid w:val="00B41AFC"/>
    <w:rsid w:val="00B41B95"/>
    <w:rsid w:val="00B41BE8"/>
    <w:rsid w:val="00B424D8"/>
    <w:rsid w:val="00B42615"/>
    <w:rsid w:val="00B42655"/>
    <w:rsid w:val="00B42B0B"/>
    <w:rsid w:val="00B42F25"/>
    <w:rsid w:val="00B4311C"/>
    <w:rsid w:val="00B43127"/>
    <w:rsid w:val="00B435E8"/>
    <w:rsid w:val="00B43C8B"/>
    <w:rsid w:val="00B43C95"/>
    <w:rsid w:val="00B43FDD"/>
    <w:rsid w:val="00B43FFC"/>
    <w:rsid w:val="00B440B1"/>
    <w:rsid w:val="00B44170"/>
    <w:rsid w:val="00B4426C"/>
    <w:rsid w:val="00B44908"/>
    <w:rsid w:val="00B44929"/>
    <w:rsid w:val="00B44E99"/>
    <w:rsid w:val="00B44FC0"/>
    <w:rsid w:val="00B45664"/>
    <w:rsid w:val="00B45DC2"/>
    <w:rsid w:val="00B45FA5"/>
    <w:rsid w:val="00B460AF"/>
    <w:rsid w:val="00B460D8"/>
    <w:rsid w:val="00B461E4"/>
    <w:rsid w:val="00B46416"/>
    <w:rsid w:val="00B4651F"/>
    <w:rsid w:val="00B46942"/>
    <w:rsid w:val="00B46E0A"/>
    <w:rsid w:val="00B46FE3"/>
    <w:rsid w:val="00B47458"/>
    <w:rsid w:val="00B474A9"/>
    <w:rsid w:val="00B479A3"/>
    <w:rsid w:val="00B500DB"/>
    <w:rsid w:val="00B5079C"/>
    <w:rsid w:val="00B5110A"/>
    <w:rsid w:val="00B51230"/>
    <w:rsid w:val="00B515BB"/>
    <w:rsid w:val="00B5169C"/>
    <w:rsid w:val="00B5191B"/>
    <w:rsid w:val="00B51984"/>
    <w:rsid w:val="00B51AD4"/>
    <w:rsid w:val="00B51C1D"/>
    <w:rsid w:val="00B51F05"/>
    <w:rsid w:val="00B52305"/>
    <w:rsid w:val="00B523D0"/>
    <w:rsid w:val="00B52C24"/>
    <w:rsid w:val="00B52F03"/>
    <w:rsid w:val="00B5359A"/>
    <w:rsid w:val="00B535BE"/>
    <w:rsid w:val="00B53781"/>
    <w:rsid w:val="00B53A59"/>
    <w:rsid w:val="00B53D88"/>
    <w:rsid w:val="00B53E48"/>
    <w:rsid w:val="00B53E68"/>
    <w:rsid w:val="00B53F72"/>
    <w:rsid w:val="00B54980"/>
    <w:rsid w:val="00B54B53"/>
    <w:rsid w:val="00B54EB4"/>
    <w:rsid w:val="00B54F67"/>
    <w:rsid w:val="00B5513F"/>
    <w:rsid w:val="00B55462"/>
    <w:rsid w:val="00B55828"/>
    <w:rsid w:val="00B55CA3"/>
    <w:rsid w:val="00B55CE9"/>
    <w:rsid w:val="00B55D83"/>
    <w:rsid w:val="00B55E97"/>
    <w:rsid w:val="00B56008"/>
    <w:rsid w:val="00B564B2"/>
    <w:rsid w:val="00B56777"/>
    <w:rsid w:val="00B56907"/>
    <w:rsid w:val="00B574C0"/>
    <w:rsid w:val="00B57C05"/>
    <w:rsid w:val="00B57F26"/>
    <w:rsid w:val="00B57FC7"/>
    <w:rsid w:val="00B57FD4"/>
    <w:rsid w:val="00B606AF"/>
    <w:rsid w:val="00B61389"/>
    <w:rsid w:val="00B613CE"/>
    <w:rsid w:val="00B61433"/>
    <w:rsid w:val="00B615A4"/>
    <w:rsid w:val="00B619F2"/>
    <w:rsid w:val="00B61B2B"/>
    <w:rsid w:val="00B61D8B"/>
    <w:rsid w:val="00B61F69"/>
    <w:rsid w:val="00B620A9"/>
    <w:rsid w:val="00B6229B"/>
    <w:rsid w:val="00B625E2"/>
    <w:rsid w:val="00B626CA"/>
    <w:rsid w:val="00B62990"/>
    <w:rsid w:val="00B62C0C"/>
    <w:rsid w:val="00B62C89"/>
    <w:rsid w:val="00B62CEC"/>
    <w:rsid w:val="00B62D2D"/>
    <w:rsid w:val="00B62FB1"/>
    <w:rsid w:val="00B63469"/>
    <w:rsid w:val="00B635A1"/>
    <w:rsid w:val="00B63C83"/>
    <w:rsid w:val="00B63CAA"/>
    <w:rsid w:val="00B63DEF"/>
    <w:rsid w:val="00B63F28"/>
    <w:rsid w:val="00B6428C"/>
    <w:rsid w:val="00B6458F"/>
    <w:rsid w:val="00B645B9"/>
    <w:rsid w:val="00B64A6C"/>
    <w:rsid w:val="00B64F66"/>
    <w:rsid w:val="00B64F7B"/>
    <w:rsid w:val="00B6523A"/>
    <w:rsid w:val="00B653AA"/>
    <w:rsid w:val="00B653EE"/>
    <w:rsid w:val="00B659AB"/>
    <w:rsid w:val="00B65C53"/>
    <w:rsid w:val="00B65ED2"/>
    <w:rsid w:val="00B66080"/>
    <w:rsid w:val="00B665E5"/>
    <w:rsid w:val="00B668CC"/>
    <w:rsid w:val="00B66A06"/>
    <w:rsid w:val="00B67080"/>
    <w:rsid w:val="00B67169"/>
    <w:rsid w:val="00B67558"/>
    <w:rsid w:val="00B6763B"/>
    <w:rsid w:val="00B677C4"/>
    <w:rsid w:val="00B67C1D"/>
    <w:rsid w:val="00B67D57"/>
    <w:rsid w:val="00B67DB8"/>
    <w:rsid w:val="00B67E6B"/>
    <w:rsid w:val="00B67F94"/>
    <w:rsid w:val="00B67FBA"/>
    <w:rsid w:val="00B700E2"/>
    <w:rsid w:val="00B7045B"/>
    <w:rsid w:val="00B70659"/>
    <w:rsid w:val="00B70794"/>
    <w:rsid w:val="00B70F33"/>
    <w:rsid w:val="00B712BE"/>
    <w:rsid w:val="00B71334"/>
    <w:rsid w:val="00B716AE"/>
    <w:rsid w:val="00B71737"/>
    <w:rsid w:val="00B717CD"/>
    <w:rsid w:val="00B71897"/>
    <w:rsid w:val="00B71C9C"/>
    <w:rsid w:val="00B71D58"/>
    <w:rsid w:val="00B71FBF"/>
    <w:rsid w:val="00B724B8"/>
    <w:rsid w:val="00B7255D"/>
    <w:rsid w:val="00B7285F"/>
    <w:rsid w:val="00B73140"/>
    <w:rsid w:val="00B73186"/>
    <w:rsid w:val="00B73797"/>
    <w:rsid w:val="00B73822"/>
    <w:rsid w:val="00B73FEE"/>
    <w:rsid w:val="00B744AE"/>
    <w:rsid w:val="00B74905"/>
    <w:rsid w:val="00B74A4A"/>
    <w:rsid w:val="00B74ACB"/>
    <w:rsid w:val="00B74D1B"/>
    <w:rsid w:val="00B75234"/>
    <w:rsid w:val="00B75381"/>
    <w:rsid w:val="00B75574"/>
    <w:rsid w:val="00B755EA"/>
    <w:rsid w:val="00B75628"/>
    <w:rsid w:val="00B75B1A"/>
    <w:rsid w:val="00B75BDF"/>
    <w:rsid w:val="00B75CAB"/>
    <w:rsid w:val="00B75ED2"/>
    <w:rsid w:val="00B76207"/>
    <w:rsid w:val="00B7635B"/>
    <w:rsid w:val="00B7636D"/>
    <w:rsid w:val="00B763F3"/>
    <w:rsid w:val="00B7661F"/>
    <w:rsid w:val="00B76BC4"/>
    <w:rsid w:val="00B76C05"/>
    <w:rsid w:val="00B76CF9"/>
    <w:rsid w:val="00B76FF8"/>
    <w:rsid w:val="00B7700D"/>
    <w:rsid w:val="00B77042"/>
    <w:rsid w:val="00B77127"/>
    <w:rsid w:val="00B77538"/>
    <w:rsid w:val="00B7766B"/>
    <w:rsid w:val="00B77DA8"/>
    <w:rsid w:val="00B802B4"/>
    <w:rsid w:val="00B804BD"/>
    <w:rsid w:val="00B8074C"/>
    <w:rsid w:val="00B808F9"/>
    <w:rsid w:val="00B80AEC"/>
    <w:rsid w:val="00B80AF7"/>
    <w:rsid w:val="00B80B32"/>
    <w:rsid w:val="00B80C64"/>
    <w:rsid w:val="00B81068"/>
    <w:rsid w:val="00B81440"/>
    <w:rsid w:val="00B814EC"/>
    <w:rsid w:val="00B815E4"/>
    <w:rsid w:val="00B818B3"/>
    <w:rsid w:val="00B81E88"/>
    <w:rsid w:val="00B81F85"/>
    <w:rsid w:val="00B8208F"/>
    <w:rsid w:val="00B820C7"/>
    <w:rsid w:val="00B821B4"/>
    <w:rsid w:val="00B8255A"/>
    <w:rsid w:val="00B82946"/>
    <w:rsid w:val="00B82C52"/>
    <w:rsid w:val="00B83147"/>
    <w:rsid w:val="00B833A4"/>
    <w:rsid w:val="00B8359D"/>
    <w:rsid w:val="00B83912"/>
    <w:rsid w:val="00B8395F"/>
    <w:rsid w:val="00B83A63"/>
    <w:rsid w:val="00B83B35"/>
    <w:rsid w:val="00B83B6A"/>
    <w:rsid w:val="00B848C0"/>
    <w:rsid w:val="00B849D9"/>
    <w:rsid w:val="00B84D90"/>
    <w:rsid w:val="00B84F49"/>
    <w:rsid w:val="00B8504E"/>
    <w:rsid w:val="00B850DA"/>
    <w:rsid w:val="00B85612"/>
    <w:rsid w:val="00B857A7"/>
    <w:rsid w:val="00B858A0"/>
    <w:rsid w:val="00B85DC3"/>
    <w:rsid w:val="00B85DCB"/>
    <w:rsid w:val="00B85E90"/>
    <w:rsid w:val="00B861C7"/>
    <w:rsid w:val="00B863B2"/>
    <w:rsid w:val="00B86A95"/>
    <w:rsid w:val="00B86AFB"/>
    <w:rsid w:val="00B86C7A"/>
    <w:rsid w:val="00B86DFD"/>
    <w:rsid w:val="00B87016"/>
    <w:rsid w:val="00B870FC"/>
    <w:rsid w:val="00B8712D"/>
    <w:rsid w:val="00B87245"/>
    <w:rsid w:val="00B8744B"/>
    <w:rsid w:val="00B87519"/>
    <w:rsid w:val="00B87BB6"/>
    <w:rsid w:val="00B87C7E"/>
    <w:rsid w:val="00B87CC4"/>
    <w:rsid w:val="00B9017C"/>
    <w:rsid w:val="00B90241"/>
    <w:rsid w:val="00B9048A"/>
    <w:rsid w:val="00B904E7"/>
    <w:rsid w:val="00B90544"/>
    <w:rsid w:val="00B909B0"/>
    <w:rsid w:val="00B90A6E"/>
    <w:rsid w:val="00B90B06"/>
    <w:rsid w:val="00B90C90"/>
    <w:rsid w:val="00B9154B"/>
    <w:rsid w:val="00B917E2"/>
    <w:rsid w:val="00B91C18"/>
    <w:rsid w:val="00B9220E"/>
    <w:rsid w:val="00B922AD"/>
    <w:rsid w:val="00B92407"/>
    <w:rsid w:val="00B92CC7"/>
    <w:rsid w:val="00B92FD3"/>
    <w:rsid w:val="00B937A6"/>
    <w:rsid w:val="00B93AC2"/>
    <w:rsid w:val="00B93D77"/>
    <w:rsid w:val="00B94355"/>
    <w:rsid w:val="00B944C2"/>
    <w:rsid w:val="00B94637"/>
    <w:rsid w:val="00B94748"/>
    <w:rsid w:val="00B94923"/>
    <w:rsid w:val="00B94AB8"/>
    <w:rsid w:val="00B94B73"/>
    <w:rsid w:val="00B9528C"/>
    <w:rsid w:val="00B9538A"/>
    <w:rsid w:val="00B95C02"/>
    <w:rsid w:val="00B95D99"/>
    <w:rsid w:val="00B960D1"/>
    <w:rsid w:val="00B9671B"/>
    <w:rsid w:val="00B96723"/>
    <w:rsid w:val="00B96756"/>
    <w:rsid w:val="00B96882"/>
    <w:rsid w:val="00B96F1A"/>
    <w:rsid w:val="00B97085"/>
    <w:rsid w:val="00B976CE"/>
    <w:rsid w:val="00B97C3A"/>
    <w:rsid w:val="00B97FF8"/>
    <w:rsid w:val="00BA02DA"/>
    <w:rsid w:val="00BA074C"/>
    <w:rsid w:val="00BA0AFE"/>
    <w:rsid w:val="00BA0BC9"/>
    <w:rsid w:val="00BA0E5C"/>
    <w:rsid w:val="00BA15DA"/>
    <w:rsid w:val="00BA1680"/>
    <w:rsid w:val="00BA1862"/>
    <w:rsid w:val="00BA18D7"/>
    <w:rsid w:val="00BA1DFD"/>
    <w:rsid w:val="00BA20D4"/>
    <w:rsid w:val="00BA24B5"/>
    <w:rsid w:val="00BA2662"/>
    <w:rsid w:val="00BA2D39"/>
    <w:rsid w:val="00BA3383"/>
    <w:rsid w:val="00BA3973"/>
    <w:rsid w:val="00BA3F47"/>
    <w:rsid w:val="00BA4061"/>
    <w:rsid w:val="00BA40FC"/>
    <w:rsid w:val="00BA4762"/>
    <w:rsid w:val="00BA49EC"/>
    <w:rsid w:val="00BA4C6B"/>
    <w:rsid w:val="00BA4EA3"/>
    <w:rsid w:val="00BA50C3"/>
    <w:rsid w:val="00BA5206"/>
    <w:rsid w:val="00BA5251"/>
    <w:rsid w:val="00BA537A"/>
    <w:rsid w:val="00BA54CE"/>
    <w:rsid w:val="00BA5A51"/>
    <w:rsid w:val="00BA5A52"/>
    <w:rsid w:val="00BA5D32"/>
    <w:rsid w:val="00BA5D41"/>
    <w:rsid w:val="00BA5E82"/>
    <w:rsid w:val="00BA628B"/>
    <w:rsid w:val="00BA63B2"/>
    <w:rsid w:val="00BA641B"/>
    <w:rsid w:val="00BA6556"/>
    <w:rsid w:val="00BA6869"/>
    <w:rsid w:val="00BA6B45"/>
    <w:rsid w:val="00BA6F5E"/>
    <w:rsid w:val="00BA749C"/>
    <w:rsid w:val="00BA75A7"/>
    <w:rsid w:val="00BA7B1B"/>
    <w:rsid w:val="00BB0064"/>
    <w:rsid w:val="00BB05A8"/>
    <w:rsid w:val="00BB06A6"/>
    <w:rsid w:val="00BB09EC"/>
    <w:rsid w:val="00BB0C5C"/>
    <w:rsid w:val="00BB136D"/>
    <w:rsid w:val="00BB1658"/>
    <w:rsid w:val="00BB1A65"/>
    <w:rsid w:val="00BB1E41"/>
    <w:rsid w:val="00BB203B"/>
    <w:rsid w:val="00BB24EB"/>
    <w:rsid w:val="00BB2537"/>
    <w:rsid w:val="00BB2E56"/>
    <w:rsid w:val="00BB307B"/>
    <w:rsid w:val="00BB3139"/>
    <w:rsid w:val="00BB32E7"/>
    <w:rsid w:val="00BB373A"/>
    <w:rsid w:val="00BB3BA7"/>
    <w:rsid w:val="00BB3C5A"/>
    <w:rsid w:val="00BB3C97"/>
    <w:rsid w:val="00BB3E7B"/>
    <w:rsid w:val="00BB3E9F"/>
    <w:rsid w:val="00BB41B6"/>
    <w:rsid w:val="00BB4416"/>
    <w:rsid w:val="00BB46A8"/>
    <w:rsid w:val="00BB5020"/>
    <w:rsid w:val="00BB51F5"/>
    <w:rsid w:val="00BB534C"/>
    <w:rsid w:val="00BB53EE"/>
    <w:rsid w:val="00BB54CB"/>
    <w:rsid w:val="00BB55F7"/>
    <w:rsid w:val="00BB5870"/>
    <w:rsid w:val="00BB5AA8"/>
    <w:rsid w:val="00BB5E85"/>
    <w:rsid w:val="00BB5EF7"/>
    <w:rsid w:val="00BB5FFE"/>
    <w:rsid w:val="00BB60BF"/>
    <w:rsid w:val="00BB6225"/>
    <w:rsid w:val="00BB646B"/>
    <w:rsid w:val="00BB686F"/>
    <w:rsid w:val="00BB6ABA"/>
    <w:rsid w:val="00BB6D03"/>
    <w:rsid w:val="00BB70D1"/>
    <w:rsid w:val="00BB7235"/>
    <w:rsid w:val="00BB74A6"/>
    <w:rsid w:val="00BB760C"/>
    <w:rsid w:val="00BB76EE"/>
    <w:rsid w:val="00BB794B"/>
    <w:rsid w:val="00BB7D57"/>
    <w:rsid w:val="00BB7DF0"/>
    <w:rsid w:val="00BC0131"/>
    <w:rsid w:val="00BC026F"/>
    <w:rsid w:val="00BC0461"/>
    <w:rsid w:val="00BC04F9"/>
    <w:rsid w:val="00BC0CCE"/>
    <w:rsid w:val="00BC13F3"/>
    <w:rsid w:val="00BC140E"/>
    <w:rsid w:val="00BC1422"/>
    <w:rsid w:val="00BC1909"/>
    <w:rsid w:val="00BC1FB4"/>
    <w:rsid w:val="00BC2070"/>
    <w:rsid w:val="00BC236B"/>
    <w:rsid w:val="00BC2500"/>
    <w:rsid w:val="00BC2710"/>
    <w:rsid w:val="00BC28C8"/>
    <w:rsid w:val="00BC2915"/>
    <w:rsid w:val="00BC2D66"/>
    <w:rsid w:val="00BC2DD5"/>
    <w:rsid w:val="00BC2E8A"/>
    <w:rsid w:val="00BC321A"/>
    <w:rsid w:val="00BC3335"/>
    <w:rsid w:val="00BC33E6"/>
    <w:rsid w:val="00BC358E"/>
    <w:rsid w:val="00BC3DC7"/>
    <w:rsid w:val="00BC4019"/>
    <w:rsid w:val="00BC4163"/>
    <w:rsid w:val="00BC4230"/>
    <w:rsid w:val="00BC4320"/>
    <w:rsid w:val="00BC46FA"/>
    <w:rsid w:val="00BC47FA"/>
    <w:rsid w:val="00BC48FF"/>
    <w:rsid w:val="00BC4981"/>
    <w:rsid w:val="00BC4B77"/>
    <w:rsid w:val="00BC4CA2"/>
    <w:rsid w:val="00BC504C"/>
    <w:rsid w:val="00BC5127"/>
    <w:rsid w:val="00BC512E"/>
    <w:rsid w:val="00BC5593"/>
    <w:rsid w:val="00BC58E2"/>
    <w:rsid w:val="00BC5DFF"/>
    <w:rsid w:val="00BC5E38"/>
    <w:rsid w:val="00BC6054"/>
    <w:rsid w:val="00BC60D6"/>
    <w:rsid w:val="00BC62F7"/>
    <w:rsid w:val="00BC69AE"/>
    <w:rsid w:val="00BC74FC"/>
    <w:rsid w:val="00BC7611"/>
    <w:rsid w:val="00BC7DA2"/>
    <w:rsid w:val="00BC7E48"/>
    <w:rsid w:val="00BD0002"/>
    <w:rsid w:val="00BD0373"/>
    <w:rsid w:val="00BD0375"/>
    <w:rsid w:val="00BD03FF"/>
    <w:rsid w:val="00BD04C7"/>
    <w:rsid w:val="00BD06EE"/>
    <w:rsid w:val="00BD07BF"/>
    <w:rsid w:val="00BD07CC"/>
    <w:rsid w:val="00BD09CA"/>
    <w:rsid w:val="00BD0D80"/>
    <w:rsid w:val="00BD0F08"/>
    <w:rsid w:val="00BD1587"/>
    <w:rsid w:val="00BD18CF"/>
    <w:rsid w:val="00BD1B14"/>
    <w:rsid w:val="00BD1D9E"/>
    <w:rsid w:val="00BD1EBC"/>
    <w:rsid w:val="00BD200E"/>
    <w:rsid w:val="00BD248D"/>
    <w:rsid w:val="00BD2496"/>
    <w:rsid w:val="00BD2529"/>
    <w:rsid w:val="00BD25AD"/>
    <w:rsid w:val="00BD2DEC"/>
    <w:rsid w:val="00BD2E06"/>
    <w:rsid w:val="00BD2F68"/>
    <w:rsid w:val="00BD2FE9"/>
    <w:rsid w:val="00BD375D"/>
    <w:rsid w:val="00BD4042"/>
    <w:rsid w:val="00BD41B7"/>
    <w:rsid w:val="00BD4616"/>
    <w:rsid w:val="00BD46DB"/>
    <w:rsid w:val="00BD4A18"/>
    <w:rsid w:val="00BD4A60"/>
    <w:rsid w:val="00BD4CD5"/>
    <w:rsid w:val="00BD54B2"/>
    <w:rsid w:val="00BD56D9"/>
    <w:rsid w:val="00BD5CE4"/>
    <w:rsid w:val="00BD5F12"/>
    <w:rsid w:val="00BD60A3"/>
    <w:rsid w:val="00BD64C7"/>
    <w:rsid w:val="00BD6522"/>
    <w:rsid w:val="00BD69BE"/>
    <w:rsid w:val="00BD6D36"/>
    <w:rsid w:val="00BD7624"/>
    <w:rsid w:val="00BD779E"/>
    <w:rsid w:val="00BD77A1"/>
    <w:rsid w:val="00BD7B65"/>
    <w:rsid w:val="00BD7DED"/>
    <w:rsid w:val="00BD7F9E"/>
    <w:rsid w:val="00BE0DB7"/>
    <w:rsid w:val="00BE1030"/>
    <w:rsid w:val="00BE104F"/>
    <w:rsid w:val="00BE192B"/>
    <w:rsid w:val="00BE199B"/>
    <w:rsid w:val="00BE1FCE"/>
    <w:rsid w:val="00BE22D5"/>
    <w:rsid w:val="00BE230A"/>
    <w:rsid w:val="00BE2361"/>
    <w:rsid w:val="00BE25EF"/>
    <w:rsid w:val="00BE2700"/>
    <w:rsid w:val="00BE29B2"/>
    <w:rsid w:val="00BE2D46"/>
    <w:rsid w:val="00BE3845"/>
    <w:rsid w:val="00BE3D2C"/>
    <w:rsid w:val="00BE3E39"/>
    <w:rsid w:val="00BE40B5"/>
    <w:rsid w:val="00BE40CA"/>
    <w:rsid w:val="00BE419B"/>
    <w:rsid w:val="00BE471D"/>
    <w:rsid w:val="00BE4742"/>
    <w:rsid w:val="00BE4B99"/>
    <w:rsid w:val="00BE4CA8"/>
    <w:rsid w:val="00BE4F35"/>
    <w:rsid w:val="00BE50D6"/>
    <w:rsid w:val="00BE54D3"/>
    <w:rsid w:val="00BE54F6"/>
    <w:rsid w:val="00BE5588"/>
    <w:rsid w:val="00BE5601"/>
    <w:rsid w:val="00BE57A5"/>
    <w:rsid w:val="00BE5FDF"/>
    <w:rsid w:val="00BE63E9"/>
    <w:rsid w:val="00BE66DF"/>
    <w:rsid w:val="00BE6759"/>
    <w:rsid w:val="00BE6805"/>
    <w:rsid w:val="00BE6A5E"/>
    <w:rsid w:val="00BE71A2"/>
    <w:rsid w:val="00BE7381"/>
    <w:rsid w:val="00BE75CA"/>
    <w:rsid w:val="00BE7966"/>
    <w:rsid w:val="00BE7A3C"/>
    <w:rsid w:val="00BE7AB9"/>
    <w:rsid w:val="00BE7AE6"/>
    <w:rsid w:val="00BE7BB7"/>
    <w:rsid w:val="00BE7CE4"/>
    <w:rsid w:val="00BE7DB2"/>
    <w:rsid w:val="00BE7F95"/>
    <w:rsid w:val="00BF03D0"/>
    <w:rsid w:val="00BF05DE"/>
    <w:rsid w:val="00BF05F6"/>
    <w:rsid w:val="00BF0956"/>
    <w:rsid w:val="00BF0AC6"/>
    <w:rsid w:val="00BF0C14"/>
    <w:rsid w:val="00BF0E9C"/>
    <w:rsid w:val="00BF11D0"/>
    <w:rsid w:val="00BF18DD"/>
    <w:rsid w:val="00BF1AB7"/>
    <w:rsid w:val="00BF2172"/>
    <w:rsid w:val="00BF2957"/>
    <w:rsid w:val="00BF2B43"/>
    <w:rsid w:val="00BF2BB8"/>
    <w:rsid w:val="00BF2D2B"/>
    <w:rsid w:val="00BF2E5E"/>
    <w:rsid w:val="00BF2ED0"/>
    <w:rsid w:val="00BF32F5"/>
    <w:rsid w:val="00BF3307"/>
    <w:rsid w:val="00BF3390"/>
    <w:rsid w:val="00BF3800"/>
    <w:rsid w:val="00BF3925"/>
    <w:rsid w:val="00BF3D4C"/>
    <w:rsid w:val="00BF3DC0"/>
    <w:rsid w:val="00BF3E1A"/>
    <w:rsid w:val="00BF3FE3"/>
    <w:rsid w:val="00BF43E6"/>
    <w:rsid w:val="00BF4510"/>
    <w:rsid w:val="00BF45AF"/>
    <w:rsid w:val="00BF488D"/>
    <w:rsid w:val="00BF49AC"/>
    <w:rsid w:val="00BF4A54"/>
    <w:rsid w:val="00BF4EB6"/>
    <w:rsid w:val="00BF4F46"/>
    <w:rsid w:val="00BF5017"/>
    <w:rsid w:val="00BF50D0"/>
    <w:rsid w:val="00BF57B5"/>
    <w:rsid w:val="00BF57F1"/>
    <w:rsid w:val="00BF5832"/>
    <w:rsid w:val="00BF58AA"/>
    <w:rsid w:val="00BF5C15"/>
    <w:rsid w:val="00BF5E12"/>
    <w:rsid w:val="00BF63B8"/>
    <w:rsid w:val="00BF641C"/>
    <w:rsid w:val="00BF643A"/>
    <w:rsid w:val="00BF65D6"/>
    <w:rsid w:val="00BF65EE"/>
    <w:rsid w:val="00BF69C7"/>
    <w:rsid w:val="00BF6E9C"/>
    <w:rsid w:val="00BF70E7"/>
    <w:rsid w:val="00BF76F3"/>
    <w:rsid w:val="00BF77B8"/>
    <w:rsid w:val="00BF7945"/>
    <w:rsid w:val="00BF7BE7"/>
    <w:rsid w:val="00BF7DDD"/>
    <w:rsid w:val="00C002E6"/>
    <w:rsid w:val="00C006DD"/>
    <w:rsid w:val="00C0072B"/>
    <w:rsid w:val="00C00AC6"/>
    <w:rsid w:val="00C01059"/>
    <w:rsid w:val="00C01124"/>
    <w:rsid w:val="00C0189C"/>
    <w:rsid w:val="00C01C88"/>
    <w:rsid w:val="00C01F27"/>
    <w:rsid w:val="00C01FDA"/>
    <w:rsid w:val="00C0211A"/>
    <w:rsid w:val="00C027B9"/>
    <w:rsid w:val="00C02A96"/>
    <w:rsid w:val="00C0309B"/>
    <w:rsid w:val="00C036ED"/>
    <w:rsid w:val="00C03896"/>
    <w:rsid w:val="00C03B00"/>
    <w:rsid w:val="00C03BF3"/>
    <w:rsid w:val="00C03CD3"/>
    <w:rsid w:val="00C03EF9"/>
    <w:rsid w:val="00C03F06"/>
    <w:rsid w:val="00C040EF"/>
    <w:rsid w:val="00C04AEF"/>
    <w:rsid w:val="00C04C41"/>
    <w:rsid w:val="00C04E95"/>
    <w:rsid w:val="00C05408"/>
    <w:rsid w:val="00C054EB"/>
    <w:rsid w:val="00C0580C"/>
    <w:rsid w:val="00C058E9"/>
    <w:rsid w:val="00C063FE"/>
    <w:rsid w:val="00C06C3C"/>
    <w:rsid w:val="00C071D4"/>
    <w:rsid w:val="00C073D7"/>
    <w:rsid w:val="00C07743"/>
    <w:rsid w:val="00C07E7C"/>
    <w:rsid w:val="00C07FB8"/>
    <w:rsid w:val="00C10459"/>
    <w:rsid w:val="00C105F4"/>
    <w:rsid w:val="00C10686"/>
    <w:rsid w:val="00C1096F"/>
    <w:rsid w:val="00C10ECE"/>
    <w:rsid w:val="00C110ED"/>
    <w:rsid w:val="00C111E3"/>
    <w:rsid w:val="00C1130D"/>
    <w:rsid w:val="00C11855"/>
    <w:rsid w:val="00C11865"/>
    <w:rsid w:val="00C119EF"/>
    <w:rsid w:val="00C11ABD"/>
    <w:rsid w:val="00C11CC7"/>
    <w:rsid w:val="00C11CD1"/>
    <w:rsid w:val="00C11EF0"/>
    <w:rsid w:val="00C11F0C"/>
    <w:rsid w:val="00C1207D"/>
    <w:rsid w:val="00C122ED"/>
    <w:rsid w:val="00C1257B"/>
    <w:rsid w:val="00C1271F"/>
    <w:rsid w:val="00C127D3"/>
    <w:rsid w:val="00C12AA8"/>
    <w:rsid w:val="00C12ABD"/>
    <w:rsid w:val="00C133BB"/>
    <w:rsid w:val="00C134F1"/>
    <w:rsid w:val="00C1372E"/>
    <w:rsid w:val="00C13B77"/>
    <w:rsid w:val="00C14023"/>
    <w:rsid w:val="00C141BA"/>
    <w:rsid w:val="00C14744"/>
    <w:rsid w:val="00C14A63"/>
    <w:rsid w:val="00C14B64"/>
    <w:rsid w:val="00C14EB5"/>
    <w:rsid w:val="00C15009"/>
    <w:rsid w:val="00C1551F"/>
    <w:rsid w:val="00C15700"/>
    <w:rsid w:val="00C15918"/>
    <w:rsid w:val="00C15A6A"/>
    <w:rsid w:val="00C15CD3"/>
    <w:rsid w:val="00C15F3C"/>
    <w:rsid w:val="00C16095"/>
    <w:rsid w:val="00C1677F"/>
    <w:rsid w:val="00C167DB"/>
    <w:rsid w:val="00C16814"/>
    <w:rsid w:val="00C168B4"/>
    <w:rsid w:val="00C16921"/>
    <w:rsid w:val="00C16A1B"/>
    <w:rsid w:val="00C16ABD"/>
    <w:rsid w:val="00C16D2F"/>
    <w:rsid w:val="00C16ED3"/>
    <w:rsid w:val="00C16F8E"/>
    <w:rsid w:val="00C172B1"/>
    <w:rsid w:val="00C17391"/>
    <w:rsid w:val="00C1775B"/>
    <w:rsid w:val="00C17BF8"/>
    <w:rsid w:val="00C17C30"/>
    <w:rsid w:val="00C17E02"/>
    <w:rsid w:val="00C200E1"/>
    <w:rsid w:val="00C20142"/>
    <w:rsid w:val="00C20455"/>
    <w:rsid w:val="00C209FF"/>
    <w:rsid w:val="00C2121E"/>
    <w:rsid w:val="00C21287"/>
    <w:rsid w:val="00C21469"/>
    <w:rsid w:val="00C21564"/>
    <w:rsid w:val="00C21A07"/>
    <w:rsid w:val="00C21C67"/>
    <w:rsid w:val="00C2269A"/>
    <w:rsid w:val="00C226C8"/>
    <w:rsid w:val="00C22E78"/>
    <w:rsid w:val="00C22F85"/>
    <w:rsid w:val="00C237C5"/>
    <w:rsid w:val="00C238D7"/>
    <w:rsid w:val="00C2414D"/>
    <w:rsid w:val="00C249BB"/>
    <w:rsid w:val="00C24A3D"/>
    <w:rsid w:val="00C24A44"/>
    <w:rsid w:val="00C24C6D"/>
    <w:rsid w:val="00C25517"/>
    <w:rsid w:val="00C25750"/>
    <w:rsid w:val="00C25751"/>
    <w:rsid w:val="00C25885"/>
    <w:rsid w:val="00C258F4"/>
    <w:rsid w:val="00C25B78"/>
    <w:rsid w:val="00C25C48"/>
    <w:rsid w:val="00C27413"/>
    <w:rsid w:val="00C27690"/>
    <w:rsid w:val="00C277EF"/>
    <w:rsid w:val="00C27A7C"/>
    <w:rsid w:val="00C27AA0"/>
    <w:rsid w:val="00C27B92"/>
    <w:rsid w:val="00C27B98"/>
    <w:rsid w:val="00C27C95"/>
    <w:rsid w:val="00C27D1A"/>
    <w:rsid w:val="00C27F40"/>
    <w:rsid w:val="00C27F77"/>
    <w:rsid w:val="00C27FF5"/>
    <w:rsid w:val="00C301CE"/>
    <w:rsid w:val="00C302D9"/>
    <w:rsid w:val="00C303BD"/>
    <w:rsid w:val="00C303EC"/>
    <w:rsid w:val="00C30947"/>
    <w:rsid w:val="00C30AF7"/>
    <w:rsid w:val="00C30BDA"/>
    <w:rsid w:val="00C30F1E"/>
    <w:rsid w:val="00C30F45"/>
    <w:rsid w:val="00C314A6"/>
    <w:rsid w:val="00C31C1D"/>
    <w:rsid w:val="00C31FB9"/>
    <w:rsid w:val="00C320CF"/>
    <w:rsid w:val="00C32440"/>
    <w:rsid w:val="00C32797"/>
    <w:rsid w:val="00C3294F"/>
    <w:rsid w:val="00C32C93"/>
    <w:rsid w:val="00C3336C"/>
    <w:rsid w:val="00C337D7"/>
    <w:rsid w:val="00C339A2"/>
    <w:rsid w:val="00C33FA2"/>
    <w:rsid w:val="00C343EF"/>
    <w:rsid w:val="00C346E6"/>
    <w:rsid w:val="00C34A47"/>
    <w:rsid w:val="00C34BB8"/>
    <w:rsid w:val="00C34EE5"/>
    <w:rsid w:val="00C34FE4"/>
    <w:rsid w:val="00C3515F"/>
    <w:rsid w:val="00C352DB"/>
    <w:rsid w:val="00C353EF"/>
    <w:rsid w:val="00C35562"/>
    <w:rsid w:val="00C36483"/>
    <w:rsid w:val="00C365F8"/>
    <w:rsid w:val="00C3709B"/>
    <w:rsid w:val="00C37274"/>
    <w:rsid w:val="00C37747"/>
    <w:rsid w:val="00C37810"/>
    <w:rsid w:val="00C37E95"/>
    <w:rsid w:val="00C4071F"/>
    <w:rsid w:val="00C40BD6"/>
    <w:rsid w:val="00C40EE7"/>
    <w:rsid w:val="00C4129C"/>
    <w:rsid w:val="00C416B6"/>
    <w:rsid w:val="00C41811"/>
    <w:rsid w:val="00C41E5D"/>
    <w:rsid w:val="00C41EF9"/>
    <w:rsid w:val="00C42430"/>
    <w:rsid w:val="00C425CD"/>
    <w:rsid w:val="00C42934"/>
    <w:rsid w:val="00C42B45"/>
    <w:rsid w:val="00C4342B"/>
    <w:rsid w:val="00C436D5"/>
    <w:rsid w:val="00C4382E"/>
    <w:rsid w:val="00C43A34"/>
    <w:rsid w:val="00C43E61"/>
    <w:rsid w:val="00C43FB5"/>
    <w:rsid w:val="00C44301"/>
    <w:rsid w:val="00C4481E"/>
    <w:rsid w:val="00C44A1B"/>
    <w:rsid w:val="00C44EFC"/>
    <w:rsid w:val="00C4507E"/>
    <w:rsid w:val="00C453D1"/>
    <w:rsid w:val="00C4587B"/>
    <w:rsid w:val="00C4592E"/>
    <w:rsid w:val="00C45A90"/>
    <w:rsid w:val="00C45A96"/>
    <w:rsid w:val="00C45B5E"/>
    <w:rsid w:val="00C45B9D"/>
    <w:rsid w:val="00C45CD4"/>
    <w:rsid w:val="00C45CFE"/>
    <w:rsid w:val="00C46347"/>
    <w:rsid w:val="00C4681F"/>
    <w:rsid w:val="00C4695C"/>
    <w:rsid w:val="00C46CAB"/>
    <w:rsid w:val="00C47469"/>
    <w:rsid w:val="00C47A4B"/>
    <w:rsid w:val="00C47E63"/>
    <w:rsid w:val="00C47F83"/>
    <w:rsid w:val="00C50029"/>
    <w:rsid w:val="00C50454"/>
    <w:rsid w:val="00C50713"/>
    <w:rsid w:val="00C511A6"/>
    <w:rsid w:val="00C512E7"/>
    <w:rsid w:val="00C51463"/>
    <w:rsid w:val="00C514F3"/>
    <w:rsid w:val="00C5157E"/>
    <w:rsid w:val="00C51587"/>
    <w:rsid w:val="00C51B13"/>
    <w:rsid w:val="00C51F8F"/>
    <w:rsid w:val="00C5257A"/>
    <w:rsid w:val="00C5296A"/>
    <w:rsid w:val="00C52C64"/>
    <w:rsid w:val="00C53236"/>
    <w:rsid w:val="00C53803"/>
    <w:rsid w:val="00C53F89"/>
    <w:rsid w:val="00C5448B"/>
    <w:rsid w:val="00C54733"/>
    <w:rsid w:val="00C54A88"/>
    <w:rsid w:val="00C54C3B"/>
    <w:rsid w:val="00C54DF2"/>
    <w:rsid w:val="00C54FAB"/>
    <w:rsid w:val="00C55A5D"/>
    <w:rsid w:val="00C55DAA"/>
    <w:rsid w:val="00C55EE4"/>
    <w:rsid w:val="00C56029"/>
    <w:rsid w:val="00C56180"/>
    <w:rsid w:val="00C56B0C"/>
    <w:rsid w:val="00C56E16"/>
    <w:rsid w:val="00C57104"/>
    <w:rsid w:val="00C57A0A"/>
    <w:rsid w:val="00C57F64"/>
    <w:rsid w:val="00C604BE"/>
    <w:rsid w:val="00C60578"/>
    <w:rsid w:val="00C60667"/>
    <w:rsid w:val="00C60680"/>
    <w:rsid w:val="00C609D1"/>
    <w:rsid w:val="00C60BC8"/>
    <w:rsid w:val="00C60D1D"/>
    <w:rsid w:val="00C60EE0"/>
    <w:rsid w:val="00C6184F"/>
    <w:rsid w:val="00C6188E"/>
    <w:rsid w:val="00C61B18"/>
    <w:rsid w:val="00C61BA9"/>
    <w:rsid w:val="00C61C10"/>
    <w:rsid w:val="00C61CDB"/>
    <w:rsid w:val="00C61D3A"/>
    <w:rsid w:val="00C61FD3"/>
    <w:rsid w:val="00C62108"/>
    <w:rsid w:val="00C62D4D"/>
    <w:rsid w:val="00C630D0"/>
    <w:rsid w:val="00C63145"/>
    <w:rsid w:val="00C635CA"/>
    <w:rsid w:val="00C638D1"/>
    <w:rsid w:val="00C63A0E"/>
    <w:rsid w:val="00C63B6B"/>
    <w:rsid w:val="00C6425D"/>
    <w:rsid w:val="00C644A2"/>
    <w:rsid w:val="00C64536"/>
    <w:rsid w:val="00C6462C"/>
    <w:rsid w:val="00C6470B"/>
    <w:rsid w:val="00C64CF8"/>
    <w:rsid w:val="00C65B84"/>
    <w:rsid w:val="00C65F47"/>
    <w:rsid w:val="00C65FFD"/>
    <w:rsid w:val="00C6625A"/>
    <w:rsid w:val="00C663D3"/>
    <w:rsid w:val="00C66713"/>
    <w:rsid w:val="00C66B2B"/>
    <w:rsid w:val="00C66B97"/>
    <w:rsid w:val="00C66F8B"/>
    <w:rsid w:val="00C670CE"/>
    <w:rsid w:val="00C6723C"/>
    <w:rsid w:val="00C676ED"/>
    <w:rsid w:val="00C67AC4"/>
    <w:rsid w:val="00C67B62"/>
    <w:rsid w:val="00C67C86"/>
    <w:rsid w:val="00C67CA4"/>
    <w:rsid w:val="00C67D68"/>
    <w:rsid w:val="00C67ECB"/>
    <w:rsid w:val="00C67F07"/>
    <w:rsid w:val="00C700EC"/>
    <w:rsid w:val="00C70314"/>
    <w:rsid w:val="00C70995"/>
    <w:rsid w:val="00C70E11"/>
    <w:rsid w:val="00C7224C"/>
    <w:rsid w:val="00C7289F"/>
    <w:rsid w:val="00C72C0F"/>
    <w:rsid w:val="00C72C66"/>
    <w:rsid w:val="00C72D0C"/>
    <w:rsid w:val="00C72DFD"/>
    <w:rsid w:val="00C730ED"/>
    <w:rsid w:val="00C732DA"/>
    <w:rsid w:val="00C7385F"/>
    <w:rsid w:val="00C73E0F"/>
    <w:rsid w:val="00C73F84"/>
    <w:rsid w:val="00C7402A"/>
    <w:rsid w:val="00C7433A"/>
    <w:rsid w:val="00C7433E"/>
    <w:rsid w:val="00C743BD"/>
    <w:rsid w:val="00C744BE"/>
    <w:rsid w:val="00C7452E"/>
    <w:rsid w:val="00C7474C"/>
    <w:rsid w:val="00C74AF9"/>
    <w:rsid w:val="00C75107"/>
    <w:rsid w:val="00C752ED"/>
    <w:rsid w:val="00C7584F"/>
    <w:rsid w:val="00C75FA0"/>
    <w:rsid w:val="00C75FFA"/>
    <w:rsid w:val="00C764E4"/>
    <w:rsid w:val="00C765A9"/>
    <w:rsid w:val="00C7664E"/>
    <w:rsid w:val="00C76A8C"/>
    <w:rsid w:val="00C76DB9"/>
    <w:rsid w:val="00C76FDC"/>
    <w:rsid w:val="00C7720E"/>
    <w:rsid w:val="00C774B3"/>
    <w:rsid w:val="00C77788"/>
    <w:rsid w:val="00C779EE"/>
    <w:rsid w:val="00C80524"/>
    <w:rsid w:val="00C806B0"/>
    <w:rsid w:val="00C80BD7"/>
    <w:rsid w:val="00C80D4C"/>
    <w:rsid w:val="00C80F49"/>
    <w:rsid w:val="00C80F53"/>
    <w:rsid w:val="00C81222"/>
    <w:rsid w:val="00C8127E"/>
    <w:rsid w:val="00C813D5"/>
    <w:rsid w:val="00C81762"/>
    <w:rsid w:val="00C81BE9"/>
    <w:rsid w:val="00C81D57"/>
    <w:rsid w:val="00C81EEF"/>
    <w:rsid w:val="00C82554"/>
    <w:rsid w:val="00C82569"/>
    <w:rsid w:val="00C826AA"/>
    <w:rsid w:val="00C828A3"/>
    <w:rsid w:val="00C82986"/>
    <w:rsid w:val="00C82A22"/>
    <w:rsid w:val="00C8312F"/>
    <w:rsid w:val="00C8347E"/>
    <w:rsid w:val="00C83815"/>
    <w:rsid w:val="00C84505"/>
    <w:rsid w:val="00C84690"/>
    <w:rsid w:val="00C84FE4"/>
    <w:rsid w:val="00C85204"/>
    <w:rsid w:val="00C853E4"/>
    <w:rsid w:val="00C85648"/>
    <w:rsid w:val="00C85E91"/>
    <w:rsid w:val="00C86027"/>
    <w:rsid w:val="00C86045"/>
    <w:rsid w:val="00C86A75"/>
    <w:rsid w:val="00C86D44"/>
    <w:rsid w:val="00C86FFA"/>
    <w:rsid w:val="00C87334"/>
    <w:rsid w:val="00C875ED"/>
    <w:rsid w:val="00C87E2A"/>
    <w:rsid w:val="00C9012F"/>
    <w:rsid w:val="00C90457"/>
    <w:rsid w:val="00C90976"/>
    <w:rsid w:val="00C90C26"/>
    <w:rsid w:val="00C9123E"/>
    <w:rsid w:val="00C912A0"/>
    <w:rsid w:val="00C916F4"/>
    <w:rsid w:val="00C91790"/>
    <w:rsid w:val="00C917A0"/>
    <w:rsid w:val="00C91918"/>
    <w:rsid w:val="00C91AA1"/>
    <w:rsid w:val="00C91C26"/>
    <w:rsid w:val="00C9202B"/>
    <w:rsid w:val="00C92325"/>
    <w:rsid w:val="00C92837"/>
    <w:rsid w:val="00C92CCC"/>
    <w:rsid w:val="00C936E2"/>
    <w:rsid w:val="00C93B04"/>
    <w:rsid w:val="00C93BD2"/>
    <w:rsid w:val="00C93C06"/>
    <w:rsid w:val="00C93EF8"/>
    <w:rsid w:val="00C9401A"/>
    <w:rsid w:val="00C94241"/>
    <w:rsid w:val="00C942F7"/>
    <w:rsid w:val="00C9431E"/>
    <w:rsid w:val="00C9437E"/>
    <w:rsid w:val="00C94606"/>
    <w:rsid w:val="00C9475D"/>
    <w:rsid w:val="00C94BDE"/>
    <w:rsid w:val="00C9500B"/>
    <w:rsid w:val="00C9503F"/>
    <w:rsid w:val="00C95104"/>
    <w:rsid w:val="00C951F3"/>
    <w:rsid w:val="00C952DA"/>
    <w:rsid w:val="00C95441"/>
    <w:rsid w:val="00C955BA"/>
    <w:rsid w:val="00C955C7"/>
    <w:rsid w:val="00C9560E"/>
    <w:rsid w:val="00C95704"/>
    <w:rsid w:val="00C95B83"/>
    <w:rsid w:val="00C95E19"/>
    <w:rsid w:val="00C960F6"/>
    <w:rsid w:val="00C96937"/>
    <w:rsid w:val="00C96C69"/>
    <w:rsid w:val="00C96D63"/>
    <w:rsid w:val="00C96E20"/>
    <w:rsid w:val="00C972AB"/>
    <w:rsid w:val="00C9797F"/>
    <w:rsid w:val="00C97B5D"/>
    <w:rsid w:val="00CA027C"/>
    <w:rsid w:val="00CA0A69"/>
    <w:rsid w:val="00CA0CF6"/>
    <w:rsid w:val="00CA1151"/>
    <w:rsid w:val="00CA11BE"/>
    <w:rsid w:val="00CA12A7"/>
    <w:rsid w:val="00CA13E0"/>
    <w:rsid w:val="00CA1719"/>
    <w:rsid w:val="00CA181A"/>
    <w:rsid w:val="00CA198E"/>
    <w:rsid w:val="00CA1C93"/>
    <w:rsid w:val="00CA288E"/>
    <w:rsid w:val="00CA2981"/>
    <w:rsid w:val="00CA2B76"/>
    <w:rsid w:val="00CA300E"/>
    <w:rsid w:val="00CA347A"/>
    <w:rsid w:val="00CA3486"/>
    <w:rsid w:val="00CA3914"/>
    <w:rsid w:val="00CA39DE"/>
    <w:rsid w:val="00CA3B94"/>
    <w:rsid w:val="00CA3C92"/>
    <w:rsid w:val="00CA4100"/>
    <w:rsid w:val="00CA419F"/>
    <w:rsid w:val="00CA4235"/>
    <w:rsid w:val="00CA4920"/>
    <w:rsid w:val="00CA4D53"/>
    <w:rsid w:val="00CA4E3D"/>
    <w:rsid w:val="00CA4F54"/>
    <w:rsid w:val="00CA51F1"/>
    <w:rsid w:val="00CA53AE"/>
    <w:rsid w:val="00CA574B"/>
    <w:rsid w:val="00CA5973"/>
    <w:rsid w:val="00CA5D45"/>
    <w:rsid w:val="00CA5E50"/>
    <w:rsid w:val="00CA60AE"/>
    <w:rsid w:val="00CA62D6"/>
    <w:rsid w:val="00CA6323"/>
    <w:rsid w:val="00CA652C"/>
    <w:rsid w:val="00CA68AA"/>
    <w:rsid w:val="00CA694F"/>
    <w:rsid w:val="00CA715B"/>
    <w:rsid w:val="00CA71AB"/>
    <w:rsid w:val="00CA7A54"/>
    <w:rsid w:val="00CA7E43"/>
    <w:rsid w:val="00CB05BC"/>
    <w:rsid w:val="00CB061C"/>
    <w:rsid w:val="00CB06D3"/>
    <w:rsid w:val="00CB0C0B"/>
    <w:rsid w:val="00CB1577"/>
    <w:rsid w:val="00CB1635"/>
    <w:rsid w:val="00CB1682"/>
    <w:rsid w:val="00CB17E0"/>
    <w:rsid w:val="00CB1C7E"/>
    <w:rsid w:val="00CB21BF"/>
    <w:rsid w:val="00CB24CE"/>
    <w:rsid w:val="00CB2561"/>
    <w:rsid w:val="00CB25A4"/>
    <w:rsid w:val="00CB26BB"/>
    <w:rsid w:val="00CB27DD"/>
    <w:rsid w:val="00CB27E3"/>
    <w:rsid w:val="00CB28FC"/>
    <w:rsid w:val="00CB290B"/>
    <w:rsid w:val="00CB2D0B"/>
    <w:rsid w:val="00CB2F27"/>
    <w:rsid w:val="00CB338A"/>
    <w:rsid w:val="00CB33F2"/>
    <w:rsid w:val="00CB3838"/>
    <w:rsid w:val="00CB3929"/>
    <w:rsid w:val="00CB3A54"/>
    <w:rsid w:val="00CB3CB9"/>
    <w:rsid w:val="00CB428D"/>
    <w:rsid w:val="00CB469C"/>
    <w:rsid w:val="00CB4C1D"/>
    <w:rsid w:val="00CB4FF5"/>
    <w:rsid w:val="00CB5214"/>
    <w:rsid w:val="00CB59FF"/>
    <w:rsid w:val="00CB5A8A"/>
    <w:rsid w:val="00CB5AA4"/>
    <w:rsid w:val="00CB5F13"/>
    <w:rsid w:val="00CB5F1F"/>
    <w:rsid w:val="00CB60CF"/>
    <w:rsid w:val="00CB6124"/>
    <w:rsid w:val="00CB614E"/>
    <w:rsid w:val="00CB6732"/>
    <w:rsid w:val="00CB6DEE"/>
    <w:rsid w:val="00CB74C5"/>
    <w:rsid w:val="00CB7765"/>
    <w:rsid w:val="00CB78EB"/>
    <w:rsid w:val="00CB7B7A"/>
    <w:rsid w:val="00CB7BEB"/>
    <w:rsid w:val="00CB7EB1"/>
    <w:rsid w:val="00CB7F8B"/>
    <w:rsid w:val="00CB7FC9"/>
    <w:rsid w:val="00CC01D3"/>
    <w:rsid w:val="00CC0873"/>
    <w:rsid w:val="00CC0888"/>
    <w:rsid w:val="00CC09C9"/>
    <w:rsid w:val="00CC0A24"/>
    <w:rsid w:val="00CC0A62"/>
    <w:rsid w:val="00CC0AFA"/>
    <w:rsid w:val="00CC1172"/>
    <w:rsid w:val="00CC11AB"/>
    <w:rsid w:val="00CC1223"/>
    <w:rsid w:val="00CC1458"/>
    <w:rsid w:val="00CC19D4"/>
    <w:rsid w:val="00CC1AA8"/>
    <w:rsid w:val="00CC2491"/>
    <w:rsid w:val="00CC255D"/>
    <w:rsid w:val="00CC29A2"/>
    <w:rsid w:val="00CC30B2"/>
    <w:rsid w:val="00CC31BC"/>
    <w:rsid w:val="00CC321E"/>
    <w:rsid w:val="00CC350C"/>
    <w:rsid w:val="00CC360D"/>
    <w:rsid w:val="00CC36A4"/>
    <w:rsid w:val="00CC38F3"/>
    <w:rsid w:val="00CC3FA0"/>
    <w:rsid w:val="00CC4064"/>
    <w:rsid w:val="00CC41D3"/>
    <w:rsid w:val="00CC4341"/>
    <w:rsid w:val="00CC465F"/>
    <w:rsid w:val="00CC496F"/>
    <w:rsid w:val="00CC4F2E"/>
    <w:rsid w:val="00CC534D"/>
    <w:rsid w:val="00CC54D9"/>
    <w:rsid w:val="00CC568C"/>
    <w:rsid w:val="00CC579D"/>
    <w:rsid w:val="00CC5A13"/>
    <w:rsid w:val="00CC5E7F"/>
    <w:rsid w:val="00CC5E93"/>
    <w:rsid w:val="00CC5FEB"/>
    <w:rsid w:val="00CC6064"/>
    <w:rsid w:val="00CC6146"/>
    <w:rsid w:val="00CC6209"/>
    <w:rsid w:val="00CC63EA"/>
    <w:rsid w:val="00CC679C"/>
    <w:rsid w:val="00CC6A7B"/>
    <w:rsid w:val="00CC6F19"/>
    <w:rsid w:val="00CC7367"/>
    <w:rsid w:val="00CC7A7C"/>
    <w:rsid w:val="00CC7E88"/>
    <w:rsid w:val="00CC7F3A"/>
    <w:rsid w:val="00CC7FBF"/>
    <w:rsid w:val="00CD0125"/>
    <w:rsid w:val="00CD01A2"/>
    <w:rsid w:val="00CD061C"/>
    <w:rsid w:val="00CD061F"/>
    <w:rsid w:val="00CD0966"/>
    <w:rsid w:val="00CD114A"/>
    <w:rsid w:val="00CD11AC"/>
    <w:rsid w:val="00CD1AFB"/>
    <w:rsid w:val="00CD1D10"/>
    <w:rsid w:val="00CD1DA4"/>
    <w:rsid w:val="00CD211A"/>
    <w:rsid w:val="00CD26A4"/>
    <w:rsid w:val="00CD2798"/>
    <w:rsid w:val="00CD27C8"/>
    <w:rsid w:val="00CD299E"/>
    <w:rsid w:val="00CD2AB9"/>
    <w:rsid w:val="00CD2C36"/>
    <w:rsid w:val="00CD2DE9"/>
    <w:rsid w:val="00CD3275"/>
    <w:rsid w:val="00CD33DD"/>
    <w:rsid w:val="00CD36B6"/>
    <w:rsid w:val="00CD3943"/>
    <w:rsid w:val="00CD3E56"/>
    <w:rsid w:val="00CD41CB"/>
    <w:rsid w:val="00CD4296"/>
    <w:rsid w:val="00CD430D"/>
    <w:rsid w:val="00CD444A"/>
    <w:rsid w:val="00CD4603"/>
    <w:rsid w:val="00CD474F"/>
    <w:rsid w:val="00CD4CBE"/>
    <w:rsid w:val="00CD4D9D"/>
    <w:rsid w:val="00CD4E0E"/>
    <w:rsid w:val="00CD4E72"/>
    <w:rsid w:val="00CD4EA2"/>
    <w:rsid w:val="00CD4ED1"/>
    <w:rsid w:val="00CD4ED2"/>
    <w:rsid w:val="00CD4F5B"/>
    <w:rsid w:val="00CD4F8E"/>
    <w:rsid w:val="00CD510E"/>
    <w:rsid w:val="00CD565B"/>
    <w:rsid w:val="00CD57F7"/>
    <w:rsid w:val="00CD5981"/>
    <w:rsid w:val="00CD5C6A"/>
    <w:rsid w:val="00CD5E4D"/>
    <w:rsid w:val="00CD60F3"/>
    <w:rsid w:val="00CD639E"/>
    <w:rsid w:val="00CD63C7"/>
    <w:rsid w:val="00CD6780"/>
    <w:rsid w:val="00CD67D4"/>
    <w:rsid w:val="00CD67E9"/>
    <w:rsid w:val="00CD69BC"/>
    <w:rsid w:val="00CD69C1"/>
    <w:rsid w:val="00CD6BED"/>
    <w:rsid w:val="00CD6DDA"/>
    <w:rsid w:val="00CD7E31"/>
    <w:rsid w:val="00CE0178"/>
    <w:rsid w:val="00CE072A"/>
    <w:rsid w:val="00CE0906"/>
    <w:rsid w:val="00CE0B75"/>
    <w:rsid w:val="00CE0ED0"/>
    <w:rsid w:val="00CE0F4C"/>
    <w:rsid w:val="00CE167E"/>
    <w:rsid w:val="00CE17EE"/>
    <w:rsid w:val="00CE1CA4"/>
    <w:rsid w:val="00CE1FE3"/>
    <w:rsid w:val="00CE226D"/>
    <w:rsid w:val="00CE26C5"/>
    <w:rsid w:val="00CE2AAB"/>
    <w:rsid w:val="00CE2D42"/>
    <w:rsid w:val="00CE3097"/>
    <w:rsid w:val="00CE3BF5"/>
    <w:rsid w:val="00CE3C71"/>
    <w:rsid w:val="00CE3E2E"/>
    <w:rsid w:val="00CE3E73"/>
    <w:rsid w:val="00CE4716"/>
    <w:rsid w:val="00CE5067"/>
    <w:rsid w:val="00CE527C"/>
    <w:rsid w:val="00CE539A"/>
    <w:rsid w:val="00CE5C76"/>
    <w:rsid w:val="00CE6774"/>
    <w:rsid w:val="00CE6C37"/>
    <w:rsid w:val="00CE6F5F"/>
    <w:rsid w:val="00CE6FE2"/>
    <w:rsid w:val="00CE769A"/>
    <w:rsid w:val="00CE785B"/>
    <w:rsid w:val="00CE79B1"/>
    <w:rsid w:val="00CE7C2A"/>
    <w:rsid w:val="00CE7E6F"/>
    <w:rsid w:val="00CF0489"/>
    <w:rsid w:val="00CF097F"/>
    <w:rsid w:val="00CF0D90"/>
    <w:rsid w:val="00CF1075"/>
    <w:rsid w:val="00CF1083"/>
    <w:rsid w:val="00CF12A8"/>
    <w:rsid w:val="00CF1834"/>
    <w:rsid w:val="00CF1AFA"/>
    <w:rsid w:val="00CF1C3A"/>
    <w:rsid w:val="00CF1D26"/>
    <w:rsid w:val="00CF1F5A"/>
    <w:rsid w:val="00CF2265"/>
    <w:rsid w:val="00CF2487"/>
    <w:rsid w:val="00CF24D4"/>
    <w:rsid w:val="00CF2598"/>
    <w:rsid w:val="00CF2897"/>
    <w:rsid w:val="00CF2E14"/>
    <w:rsid w:val="00CF2F8C"/>
    <w:rsid w:val="00CF32E1"/>
    <w:rsid w:val="00CF34B5"/>
    <w:rsid w:val="00CF355F"/>
    <w:rsid w:val="00CF36F1"/>
    <w:rsid w:val="00CF386A"/>
    <w:rsid w:val="00CF3D74"/>
    <w:rsid w:val="00CF41F1"/>
    <w:rsid w:val="00CF43D2"/>
    <w:rsid w:val="00CF44D2"/>
    <w:rsid w:val="00CF471E"/>
    <w:rsid w:val="00CF4746"/>
    <w:rsid w:val="00CF4D6F"/>
    <w:rsid w:val="00CF4FAF"/>
    <w:rsid w:val="00CF5291"/>
    <w:rsid w:val="00CF557B"/>
    <w:rsid w:val="00CF5847"/>
    <w:rsid w:val="00CF5A60"/>
    <w:rsid w:val="00CF61AB"/>
    <w:rsid w:val="00CF6343"/>
    <w:rsid w:val="00CF649C"/>
    <w:rsid w:val="00CF668B"/>
    <w:rsid w:val="00CF6822"/>
    <w:rsid w:val="00CF6935"/>
    <w:rsid w:val="00CF697D"/>
    <w:rsid w:val="00CF69A3"/>
    <w:rsid w:val="00CF6BC3"/>
    <w:rsid w:val="00CF6C16"/>
    <w:rsid w:val="00CF719D"/>
    <w:rsid w:val="00CF738C"/>
    <w:rsid w:val="00CF7431"/>
    <w:rsid w:val="00CF7CA2"/>
    <w:rsid w:val="00CF7D63"/>
    <w:rsid w:val="00CF7EC9"/>
    <w:rsid w:val="00D003F4"/>
    <w:rsid w:val="00D00513"/>
    <w:rsid w:val="00D0060D"/>
    <w:rsid w:val="00D007C4"/>
    <w:rsid w:val="00D0089C"/>
    <w:rsid w:val="00D00AD8"/>
    <w:rsid w:val="00D01029"/>
    <w:rsid w:val="00D012B9"/>
    <w:rsid w:val="00D01473"/>
    <w:rsid w:val="00D01680"/>
    <w:rsid w:val="00D019F4"/>
    <w:rsid w:val="00D01CA8"/>
    <w:rsid w:val="00D01CF2"/>
    <w:rsid w:val="00D01EBF"/>
    <w:rsid w:val="00D02508"/>
    <w:rsid w:val="00D0251D"/>
    <w:rsid w:val="00D02628"/>
    <w:rsid w:val="00D02A2C"/>
    <w:rsid w:val="00D02C57"/>
    <w:rsid w:val="00D02E0F"/>
    <w:rsid w:val="00D02F12"/>
    <w:rsid w:val="00D03012"/>
    <w:rsid w:val="00D03017"/>
    <w:rsid w:val="00D03112"/>
    <w:rsid w:val="00D0328B"/>
    <w:rsid w:val="00D03C06"/>
    <w:rsid w:val="00D03F92"/>
    <w:rsid w:val="00D04077"/>
    <w:rsid w:val="00D041CA"/>
    <w:rsid w:val="00D043BE"/>
    <w:rsid w:val="00D04449"/>
    <w:rsid w:val="00D051E7"/>
    <w:rsid w:val="00D054DA"/>
    <w:rsid w:val="00D05561"/>
    <w:rsid w:val="00D05990"/>
    <w:rsid w:val="00D059C8"/>
    <w:rsid w:val="00D05C61"/>
    <w:rsid w:val="00D05CBC"/>
    <w:rsid w:val="00D05F54"/>
    <w:rsid w:val="00D06173"/>
    <w:rsid w:val="00D061B5"/>
    <w:rsid w:val="00D065E7"/>
    <w:rsid w:val="00D0671F"/>
    <w:rsid w:val="00D06819"/>
    <w:rsid w:val="00D069A6"/>
    <w:rsid w:val="00D069F4"/>
    <w:rsid w:val="00D06BFA"/>
    <w:rsid w:val="00D06D81"/>
    <w:rsid w:val="00D06F46"/>
    <w:rsid w:val="00D06F65"/>
    <w:rsid w:val="00D06FA4"/>
    <w:rsid w:val="00D06FC0"/>
    <w:rsid w:val="00D0707F"/>
    <w:rsid w:val="00D071CB"/>
    <w:rsid w:val="00D0747A"/>
    <w:rsid w:val="00D07637"/>
    <w:rsid w:val="00D0795C"/>
    <w:rsid w:val="00D07A50"/>
    <w:rsid w:val="00D07EDD"/>
    <w:rsid w:val="00D07F61"/>
    <w:rsid w:val="00D1014E"/>
    <w:rsid w:val="00D1028D"/>
    <w:rsid w:val="00D10805"/>
    <w:rsid w:val="00D1084D"/>
    <w:rsid w:val="00D10CA8"/>
    <w:rsid w:val="00D10F0D"/>
    <w:rsid w:val="00D11086"/>
    <w:rsid w:val="00D11BA6"/>
    <w:rsid w:val="00D12149"/>
    <w:rsid w:val="00D121F4"/>
    <w:rsid w:val="00D13285"/>
    <w:rsid w:val="00D1393A"/>
    <w:rsid w:val="00D139BC"/>
    <w:rsid w:val="00D13AA0"/>
    <w:rsid w:val="00D13B5F"/>
    <w:rsid w:val="00D13CF4"/>
    <w:rsid w:val="00D13F25"/>
    <w:rsid w:val="00D1431C"/>
    <w:rsid w:val="00D14461"/>
    <w:rsid w:val="00D14715"/>
    <w:rsid w:val="00D1478C"/>
    <w:rsid w:val="00D1496F"/>
    <w:rsid w:val="00D14ACE"/>
    <w:rsid w:val="00D150A5"/>
    <w:rsid w:val="00D151C1"/>
    <w:rsid w:val="00D1520E"/>
    <w:rsid w:val="00D154B8"/>
    <w:rsid w:val="00D1595D"/>
    <w:rsid w:val="00D15FBD"/>
    <w:rsid w:val="00D1611D"/>
    <w:rsid w:val="00D163A5"/>
    <w:rsid w:val="00D166AB"/>
    <w:rsid w:val="00D16E65"/>
    <w:rsid w:val="00D17176"/>
    <w:rsid w:val="00D17265"/>
    <w:rsid w:val="00D17977"/>
    <w:rsid w:val="00D17C60"/>
    <w:rsid w:val="00D20028"/>
    <w:rsid w:val="00D201D3"/>
    <w:rsid w:val="00D20285"/>
    <w:rsid w:val="00D2046A"/>
    <w:rsid w:val="00D208B4"/>
    <w:rsid w:val="00D20A93"/>
    <w:rsid w:val="00D20BC9"/>
    <w:rsid w:val="00D2143E"/>
    <w:rsid w:val="00D21474"/>
    <w:rsid w:val="00D21F58"/>
    <w:rsid w:val="00D21F89"/>
    <w:rsid w:val="00D21FFC"/>
    <w:rsid w:val="00D2224C"/>
    <w:rsid w:val="00D22391"/>
    <w:rsid w:val="00D2247A"/>
    <w:rsid w:val="00D224E5"/>
    <w:rsid w:val="00D22B68"/>
    <w:rsid w:val="00D22C68"/>
    <w:rsid w:val="00D22CAF"/>
    <w:rsid w:val="00D23252"/>
    <w:rsid w:val="00D23595"/>
    <w:rsid w:val="00D23BA5"/>
    <w:rsid w:val="00D24170"/>
    <w:rsid w:val="00D24B2E"/>
    <w:rsid w:val="00D25143"/>
    <w:rsid w:val="00D25233"/>
    <w:rsid w:val="00D253F2"/>
    <w:rsid w:val="00D25627"/>
    <w:rsid w:val="00D261A6"/>
    <w:rsid w:val="00D2645B"/>
    <w:rsid w:val="00D2657F"/>
    <w:rsid w:val="00D26798"/>
    <w:rsid w:val="00D26D47"/>
    <w:rsid w:val="00D26DD0"/>
    <w:rsid w:val="00D27284"/>
    <w:rsid w:val="00D27949"/>
    <w:rsid w:val="00D27C44"/>
    <w:rsid w:val="00D27D46"/>
    <w:rsid w:val="00D30691"/>
    <w:rsid w:val="00D30986"/>
    <w:rsid w:val="00D309D6"/>
    <w:rsid w:val="00D30BA0"/>
    <w:rsid w:val="00D30CB1"/>
    <w:rsid w:val="00D31417"/>
    <w:rsid w:val="00D316ED"/>
    <w:rsid w:val="00D3186E"/>
    <w:rsid w:val="00D3233B"/>
    <w:rsid w:val="00D32347"/>
    <w:rsid w:val="00D325F7"/>
    <w:rsid w:val="00D32622"/>
    <w:rsid w:val="00D327BB"/>
    <w:rsid w:val="00D3288D"/>
    <w:rsid w:val="00D328DD"/>
    <w:rsid w:val="00D32906"/>
    <w:rsid w:val="00D32A6C"/>
    <w:rsid w:val="00D32C50"/>
    <w:rsid w:val="00D32D06"/>
    <w:rsid w:val="00D32F2D"/>
    <w:rsid w:val="00D33173"/>
    <w:rsid w:val="00D332F5"/>
    <w:rsid w:val="00D333DA"/>
    <w:rsid w:val="00D33680"/>
    <w:rsid w:val="00D337BC"/>
    <w:rsid w:val="00D338B1"/>
    <w:rsid w:val="00D33A05"/>
    <w:rsid w:val="00D33AB7"/>
    <w:rsid w:val="00D33BB2"/>
    <w:rsid w:val="00D34239"/>
    <w:rsid w:val="00D343C5"/>
    <w:rsid w:val="00D34400"/>
    <w:rsid w:val="00D346B4"/>
    <w:rsid w:val="00D34D22"/>
    <w:rsid w:val="00D350FD"/>
    <w:rsid w:val="00D35247"/>
    <w:rsid w:val="00D3530D"/>
    <w:rsid w:val="00D35454"/>
    <w:rsid w:val="00D35534"/>
    <w:rsid w:val="00D3592C"/>
    <w:rsid w:val="00D35A88"/>
    <w:rsid w:val="00D35B83"/>
    <w:rsid w:val="00D35BCA"/>
    <w:rsid w:val="00D35D98"/>
    <w:rsid w:val="00D35EFF"/>
    <w:rsid w:val="00D36043"/>
    <w:rsid w:val="00D3607A"/>
    <w:rsid w:val="00D36255"/>
    <w:rsid w:val="00D3630F"/>
    <w:rsid w:val="00D36380"/>
    <w:rsid w:val="00D36795"/>
    <w:rsid w:val="00D36814"/>
    <w:rsid w:val="00D368A4"/>
    <w:rsid w:val="00D36B40"/>
    <w:rsid w:val="00D36C9C"/>
    <w:rsid w:val="00D36FCD"/>
    <w:rsid w:val="00D36FF2"/>
    <w:rsid w:val="00D37636"/>
    <w:rsid w:val="00D378F5"/>
    <w:rsid w:val="00D37D3B"/>
    <w:rsid w:val="00D37E1C"/>
    <w:rsid w:val="00D37E85"/>
    <w:rsid w:val="00D40241"/>
    <w:rsid w:val="00D4027F"/>
    <w:rsid w:val="00D408D3"/>
    <w:rsid w:val="00D409F0"/>
    <w:rsid w:val="00D40BC6"/>
    <w:rsid w:val="00D40DA3"/>
    <w:rsid w:val="00D41081"/>
    <w:rsid w:val="00D411E9"/>
    <w:rsid w:val="00D41297"/>
    <w:rsid w:val="00D41508"/>
    <w:rsid w:val="00D41881"/>
    <w:rsid w:val="00D41C21"/>
    <w:rsid w:val="00D41DA1"/>
    <w:rsid w:val="00D41F68"/>
    <w:rsid w:val="00D41F9F"/>
    <w:rsid w:val="00D4207B"/>
    <w:rsid w:val="00D423B6"/>
    <w:rsid w:val="00D42407"/>
    <w:rsid w:val="00D42693"/>
    <w:rsid w:val="00D42999"/>
    <w:rsid w:val="00D4344C"/>
    <w:rsid w:val="00D434AD"/>
    <w:rsid w:val="00D434F6"/>
    <w:rsid w:val="00D43522"/>
    <w:rsid w:val="00D43678"/>
    <w:rsid w:val="00D43A21"/>
    <w:rsid w:val="00D43D32"/>
    <w:rsid w:val="00D43FB6"/>
    <w:rsid w:val="00D44275"/>
    <w:rsid w:val="00D445FD"/>
    <w:rsid w:val="00D446AB"/>
    <w:rsid w:val="00D44734"/>
    <w:rsid w:val="00D44BCD"/>
    <w:rsid w:val="00D44E84"/>
    <w:rsid w:val="00D4508A"/>
    <w:rsid w:val="00D45122"/>
    <w:rsid w:val="00D453A3"/>
    <w:rsid w:val="00D453D8"/>
    <w:rsid w:val="00D45A40"/>
    <w:rsid w:val="00D45EB1"/>
    <w:rsid w:val="00D45ED2"/>
    <w:rsid w:val="00D45F8A"/>
    <w:rsid w:val="00D46044"/>
    <w:rsid w:val="00D462BD"/>
    <w:rsid w:val="00D46EC7"/>
    <w:rsid w:val="00D4706C"/>
    <w:rsid w:val="00D4724B"/>
    <w:rsid w:val="00D4760F"/>
    <w:rsid w:val="00D47774"/>
    <w:rsid w:val="00D47C51"/>
    <w:rsid w:val="00D47CE4"/>
    <w:rsid w:val="00D47F96"/>
    <w:rsid w:val="00D50060"/>
    <w:rsid w:val="00D50951"/>
    <w:rsid w:val="00D511F2"/>
    <w:rsid w:val="00D515D7"/>
    <w:rsid w:val="00D51801"/>
    <w:rsid w:val="00D51A16"/>
    <w:rsid w:val="00D51B67"/>
    <w:rsid w:val="00D51D00"/>
    <w:rsid w:val="00D51E14"/>
    <w:rsid w:val="00D51F33"/>
    <w:rsid w:val="00D51F8E"/>
    <w:rsid w:val="00D52420"/>
    <w:rsid w:val="00D52694"/>
    <w:rsid w:val="00D52E04"/>
    <w:rsid w:val="00D52EC3"/>
    <w:rsid w:val="00D53169"/>
    <w:rsid w:val="00D531C7"/>
    <w:rsid w:val="00D53885"/>
    <w:rsid w:val="00D53915"/>
    <w:rsid w:val="00D53B8F"/>
    <w:rsid w:val="00D53B97"/>
    <w:rsid w:val="00D53BDD"/>
    <w:rsid w:val="00D5405D"/>
    <w:rsid w:val="00D5419A"/>
    <w:rsid w:val="00D5434B"/>
    <w:rsid w:val="00D54FA3"/>
    <w:rsid w:val="00D55167"/>
    <w:rsid w:val="00D551A5"/>
    <w:rsid w:val="00D555EF"/>
    <w:rsid w:val="00D55C91"/>
    <w:rsid w:val="00D55CD6"/>
    <w:rsid w:val="00D55D27"/>
    <w:rsid w:val="00D55D63"/>
    <w:rsid w:val="00D55EB2"/>
    <w:rsid w:val="00D562E5"/>
    <w:rsid w:val="00D56822"/>
    <w:rsid w:val="00D569AB"/>
    <w:rsid w:val="00D56AF0"/>
    <w:rsid w:val="00D56D19"/>
    <w:rsid w:val="00D56DD2"/>
    <w:rsid w:val="00D56F6E"/>
    <w:rsid w:val="00D57124"/>
    <w:rsid w:val="00D571C9"/>
    <w:rsid w:val="00D571D3"/>
    <w:rsid w:val="00D573FB"/>
    <w:rsid w:val="00D57552"/>
    <w:rsid w:val="00D57687"/>
    <w:rsid w:val="00D5792E"/>
    <w:rsid w:val="00D57C28"/>
    <w:rsid w:val="00D6017E"/>
    <w:rsid w:val="00D6030E"/>
    <w:rsid w:val="00D6039A"/>
    <w:rsid w:val="00D605A7"/>
    <w:rsid w:val="00D6075D"/>
    <w:rsid w:val="00D6086A"/>
    <w:rsid w:val="00D61081"/>
    <w:rsid w:val="00D614C1"/>
    <w:rsid w:val="00D61527"/>
    <w:rsid w:val="00D61896"/>
    <w:rsid w:val="00D61BA8"/>
    <w:rsid w:val="00D61CAA"/>
    <w:rsid w:val="00D61FB8"/>
    <w:rsid w:val="00D61FBE"/>
    <w:rsid w:val="00D62365"/>
    <w:rsid w:val="00D623FB"/>
    <w:rsid w:val="00D624B9"/>
    <w:rsid w:val="00D6269A"/>
    <w:rsid w:val="00D626F6"/>
    <w:rsid w:val="00D6271F"/>
    <w:rsid w:val="00D62A81"/>
    <w:rsid w:val="00D62A9A"/>
    <w:rsid w:val="00D62BF2"/>
    <w:rsid w:val="00D62DF0"/>
    <w:rsid w:val="00D63983"/>
    <w:rsid w:val="00D63D4B"/>
    <w:rsid w:val="00D63F75"/>
    <w:rsid w:val="00D63FD1"/>
    <w:rsid w:val="00D64527"/>
    <w:rsid w:val="00D645DF"/>
    <w:rsid w:val="00D646E7"/>
    <w:rsid w:val="00D64B00"/>
    <w:rsid w:val="00D64B0E"/>
    <w:rsid w:val="00D64DCC"/>
    <w:rsid w:val="00D64E81"/>
    <w:rsid w:val="00D651EE"/>
    <w:rsid w:val="00D6530B"/>
    <w:rsid w:val="00D65497"/>
    <w:rsid w:val="00D65521"/>
    <w:rsid w:val="00D6581D"/>
    <w:rsid w:val="00D65E64"/>
    <w:rsid w:val="00D6617A"/>
    <w:rsid w:val="00D662A1"/>
    <w:rsid w:val="00D66384"/>
    <w:rsid w:val="00D667EE"/>
    <w:rsid w:val="00D6696D"/>
    <w:rsid w:val="00D66BE4"/>
    <w:rsid w:val="00D66DAE"/>
    <w:rsid w:val="00D66E98"/>
    <w:rsid w:val="00D67535"/>
    <w:rsid w:val="00D67A96"/>
    <w:rsid w:val="00D67AE4"/>
    <w:rsid w:val="00D67BF5"/>
    <w:rsid w:val="00D67CE8"/>
    <w:rsid w:val="00D67EB4"/>
    <w:rsid w:val="00D70023"/>
    <w:rsid w:val="00D70188"/>
    <w:rsid w:val="00D704BE"/>
    <w:rsid w:val="00D70982"/>
    <w:rsid w:val="00D70AB2"/>
    <w:rsid w:val="00D70BC0"/>
    <w:rsid w:val="00D70DA6"/>
    <w:rsid w:val="00D70EA4"/>
    <w:rsid w:val="00D70F01"/>
    <w:rsid w:val="00D70F34"/>
    <w:rsid w:val="00D710FF"/>
    <w:rsid w:val="00D7115A"/>
    <w:rsid w:val="00D71223"/>
    <w:rsid w:val="00D71510"/>
    <w:rsid w:val="00D71523"/>
    <w:rsid w:val="00D71E6A"/>
    <w:rsid w:val="00D71F96"/>
    <w:rsid w:val="00D71FD8"/>
    <w:rsid w:val="00D720B0"/>
    <w:rsid w:val="00D72488"/>
    <w:rsid w:val="00D725BD"/>
    <w:rsid w:val="00D7270A"/>
    <w:rsid w:val="00D7293D"/>
    <w:rsid w:val="00D72ED4"/>
    <w:rsid w:val="00D732D0"/>
    <w:rsid w:val="00D734FB"/>
    <w:rsid w:val="00D73597"/>
    <w:rsid w:val="00D735EC"/>
    <w:rsid w:val="00D73BB4"/>
    <w:rsid w:val="00D73DB9"/>
    <w:rsid w:val="00D7431B"/>
    <w:rsid w:val="00D7450D"/>
    <w:rsid w:val="00D74A85"/>
    <w:rsid w:val="00D74B75"/>
    <w:rsid w:val="00D74C0D"/>
    <w:rsid w:val="00D74C8E"/>
    <w:rsid w:val="00D74D29"/>
    <w:rsid w:val="00D75044"/>
    <w:rsid w:val="00D7549F"/>
    <w:rsid w:val="00D7560B"/>
    <w:rsid w:val="00D7594E"/>
    <w:rsid w:val="00D759AB"/>
    <w:rsid w:val="00D75C88"/>
    <w:rsid w:val="00D75CE3"/>
    <w:rsid w:val="00D75F8C"/>
    <w:rsid w:val="00D76619"/>
    <w:rsid w:val="00D7696B"/>
    <w:rsid w:val="00D7696F"/>
    <w:rsid w:val="00D76C86"/>
    <w:rsid w:val="00D76D18"/>
    <w:rsid w:val="00D77097"/>
    <w:rsid w:val="00D772B2"/>
    <w:rsid w:val="00D7768F"/>
    <w:rsid w:val="00D7798A"/>
    <w:rsid w:val="00D77D05"/>
    <w:rsid w:val="00D80437"/>
    <w:rsid w:val="00D806B2"/>
    <w:rsid w:val="00D809FB"/>
    <w:rsid w:val="00D810AF"/>
    <w:rsid w:val="00D812BF"/>
    <w:rsid w:val="00D812D9"/>
    <w:rsid w:val="00D8137F"/>
    <w:rsid w:val="00D81FBE"/>
    <w:rsid w:val="00D82008"/>
    <w:rsid w:val="00D82251"/>
    <w:rsid w:val="00D829D8"/>
    <w:rsid w:val="00D8324D"/>
    <w:rsid w:val="00D83262"/>
    <w:rsid w:val="00D83748"/>
    <w:rsid w:val="00D83DDE"/>
    <w:rsid w:val="00D83FC0"/>
    <w:rsid w:val="00D840F2"/>
    <w:rsid w:val="00D8420B"/>
    <w:rsid w:val="00D845EB"/>
    <w:rsid w:val="00D845F7"/>
    <w:rsid w:val="00D847CB"/>
    <w:rsid w:val="00D848A0"/>
    <w:rsid w:val="00D84D5A"/>
    <w:rsid w:val="00D859B0"/>
    <w:rsid w:val="00D85AA1"/>
    <w:rsid w:val="00D85F16"/>
    <w:rsid w:val="00D86806"/>
    <w:rsid w:val="00D86F0F"/>
    <w:rsid w:val="00D874D0"/>
    <w:rsid w:val="00D87B0E"/>
    <w:rsid w:val="00D87D24"/>
    <w:rsid w:val="00D87F24"/>
    <w:rsid w:val="00D908EB"/>
    <w:rsid w:val="00D90A6C"/>
    <w:rsid w:val="00D90A7A"/>
    <w:rsid w:val="00D90D34"/>
    <w:rsid w:val="00D90E85"/>
    <w:rsid w:val="00D91019"/>
    <w:rsid w:val="00D912D0"/>
    <w:rsid w:val="00D9146D"/>
    <w:rsid w:val="00D91483"/>
    <w:rsid w:val="00D915C8"/>
    <w:rsid w:val="00D91B2E"/>
    <w:rsid w:val="00D91B64"/>
    <w:rsid w:val="00D91E94"/>
    <w:rsid w:val="00D922CC"/>
    <w:rsid w:val="00D923F4"/>
    <w:rsid w:val="00D923F6"/>
    <w:rsid w:val="00D927D0"/>
    <w:rsid w:val="00D928AB"/>
    <w:rsid w:val="00D929D0"/>
    <w:rsid w:val="00D92AB4"/>
    <w:rsid w:val="00D92E4A"/>
    <w:rsid w:val="00D931B7"/>
    <w:rsid w:val="00D9357D"/>
    <w:rsid w:val="00D9371E"/>
    <w:rsid w:val="00D937B9"/>
    <w:rsid w:val="00D939FE"/>
    <w:rsid w:val="00D93CD2"/>
    <w:rsid w:val="00D94D5D"/>
    <w:rsid w:val="00D95180"/>
    <w:rsid w:val="00D951AA"/>
    <w:rsid w:val="00D955F6"/>
    <w:rsid w:val="00D95714"/>
    <w:rsid w:val="00D95B86"/>
    <w:rsid w:val="00D95EA4"/>
    <w:rsid w:val="00D95F9C"/>
    <w:rsid w:val="00D96582"/>
    <w:rsid w:val="00D96D6E"/>
    <w:rsid w:val="00D96E2C"/>
    <w:rsid w:val="00D96E83"/>
    <w:rsid w:val="00D96F64"/>
    <w:rsid w:val="00D97240"/>
    <w:rsid w:val="00D97445"/>
    <w:rsid w:val="00D97538"/>
    <w:rsid w:val="00D9786D"/>
    <w:rsid w:val="00D97D84"/>
    <w:rsid w:val="00DA01E0"/>
    <w:rsid w:val="00DA03F8"/>
    <w:rsid w:val="00DA06A3"/>
    <w:rsid w:val="00DA071C"/>
    <w:rsid w:val="00DA0887"/>
    <w:rsid w:val="00DA09C3"/>
    <w:rsid w:val="00DA0D47"/>
    <w:rsid w:val="00DA117A"/>
    <w:rsid w:val="00DA169A"/>
    <w:rsid w:val="00DA1E74"/>
    <w:rsid w:val="00DA2370"/>
    <w:rsid w:val="00DA2760"/>
    <w:rsid w:val="00DA29C9"/>
    <w:rsid w:val="00DA2DA4"/>
    <w:rsid w:val="00DA3463"/>
    <w:rsid w:val="00DA38FE"/>
    <w:rsid w:val="00DA39B7"/>
    <w:rsid w:val="00DA3D3D"/>
    <w:rsid w:val="00DA3EE6"/>
    <w:rsid w:val="00DA4032"/>
    <w:rsid w:val="00DA42A0"/>
    <w:rsid w:val="00DA4C60"/>
    <w:rsid w:val="00DA52A3"/>
    <w:rsid w:val="00DA541F"/>
    <w:rsid w:val="00DA567D"/>
    <w:rsid w:val="00DA5808"/>
    <w:rsid w:val="00DA5A7A"/>
    <w:rsid w:val="00DA5B09"/>
    <w:rsid w:val="00DA5DC2"/>
    <w:rsid w:val="00DA616A"/>
    <w:rsid w:val="00DA621B"/>
    <w:rsid w:val="00DA6257"/>
    <w:rsid w:val="00DA6337"/>
    <w:rsid w:val="00DA6489"/>
    <w:rsid w:val="00DA673B"/>
    <w:rsid w:val="00DA6868"/>
    <w:rsid w:val="00DA6FAF"/>
    <w:rsid w:val="00DA74A4"/>
    <w:rsid w:val="00DA74CC"/>
    <w:rsid w:val="00DA7A11"/>
    <w:rsid w:val="00DB02A3"/>
    <w:rsid w:val="00DB03AE"/>
    <w:rsid w:val="00DB0486"/>
    <w:rsid w:val="00DB05B0"/>
    <w:rsid w:val="00DB0816"/>
    <w:rsid w:val="00DB092A"/>
    <w:rsid w:val="00DB095C"/>
    <w:rsid w:val="00DB0D94"/>
    <w:rsid w:val="00DB0E19"/>
    <w:rsid w:val="00DB0E46"/>
    <w:rsid w:val="00DB0EA0"/>
    <w:rsid w:val="00DB1192"/>
    <w:rsid w:val="00DB158C"/>
    <w:rsid w:val="00DB182E"/>
    <w:rsid w:val="00DB1E36"/>
    <w:rsid w:val="00DB239F"/>
    <w:rsid w:val="00DB27A3"/>
    <w:rsid w:val="00DB28B9"/>
    <w:rsid w:val="00DB2936"/>
    <w:rsid w:val="00DB2AC5"/>
    <w:rsid w:val="00DB2AED"/>
    <w:rsid w:val="00DB2C5D"/>
    <w:rsid w:val="00DB2C9D"/>
    <w:rsid w:val="00DB36D9"/>
    <w:rsid w:val="00DB38A2"/>
    <w:rsid w:val="00DB3913"/>
    <w:rsid w:val="00DB3C55"/>
    <w:rsid w:val="00DB3C5C"/>
    <w:rsid w:val="00DB3CAB"/>
    <w:rsid w:val="00DB4855"/>
    <w:rsid w:val="00DB48FC"/>
    <w:rsid w:val="00DB4941"/>
    <w:rsid w:val="00DB4A75"/>
    <w:rsid w:val="00DB4BDA"/>
    <w:rsid w:val="00DB4E47"/>
    <w:rsid w:val="00DB4EF9"/>
    <w:rsid w:val="00DB5679"/>
    <w:rsid w:val="00DB58FE"/>
    <w:rsid w:val="00DB5BD0"/>
    <w:rsid w:val="00DB5FBE"/>
    <w:rsid w:val="00DB634B"/>
    <w:rsid w:val="00DB6621"/>
    <w:rsid w:val="00DB6720"/>
    <w:rsid w:val="00DB6A68"/>
    <w:rsid w:val="00DB703E"/>
    <w:rsid w:val="00DB714B"/>
    <w:rsid w:val="00DB72FD"/>
    <w:rsid w:val="00DB7F95"/>
    <w:rsid w:val="00DC01B8"/>
    <w:rsid w:val="00DC0821"/>
    <w:rsid w:val="00DC09F3"/>
    <w:rsid w:val="00DC114D"/>
    <w:rsid w:val="00DC130D"/>
    <w:rsid w:val="00DC140F"/>
    <w:rsid w:val="00DC1446"/>
    <w:rsid w:val="00DC18A7"/>
    <w:rsid w:val="00DC1A36"/>
    <w:rsid w:val="00DC1FF9"/>
    <w:rsid w:val="00DC2029"/>
    <w:rsid w:val="00DC2073"/>
    <w:rsid w:val="00DC2286"/>
    <w:rsid w:val="00DC24C1"/>
    <w:rsid w:val="00DC2838"/>
    <w:rsid w:val="00DC2D50"/>
    <w:rsid w:val="00DC2E2D"/>
    <w:rsid w:val="00DC2FBA"/>
    <w:rsid w:val="00DC31C9"/>
    <w:rsid w:val="00DC322D"/>
    <w:rsid w:val="00DC322E"/>
    <w:rsid w:val="00DC33B8"/>
    <w:rsid w:val="00DC350D"/>
    <w:rsid w:val="00DC3787"/>
    <w:rsid w:val="00DC3C7A"/>
    <w:rsid w:val="00DC3C91"/>
    <w:rsid w:val="00DC3DAE"/>
    <w:rsid w:val="00DC3DC7"/>
    <w:rsid w:val="00DC3E2F"/>
    <w:rsid w:val="00DC3E84"/>
    <w:rsid w:val="00DC4011"/>
    <w:rsid w:val="00DC4258"/>
    <w:rsid w:val="00DC45E8"/>
    <w:rsid w:val="00DC4952"/>
    <w:rsid w:val="00DC4ADF"/>
    <w:rsid w:val="00DC4AE1"/>
    <w:rsid w:val="00DC4FA4"/>
    <w:rsid w:val="00DC50AD"/>
    <w:rsid w:val="00DC59CB"/>
    <w:rsid w:val="00DC6046"/>
    <w:rsid w:val="00DC6356"/>
    <w:rsid w:val="00DC645A"/>
    <w:rsid w:val="00DC6759"/>
    <w:rsid w:val="00DC6D7E"/>
    <w:rsid w:val="00DC71E9"/>
    <w:rsid w:val="00DC7342"/>
    <w:rsid w:val="00DC7347"/>
    <w:rsid w:val="00DC7BAF"/>
    <w:rsid w:val="00DC7F7B"/>
    <w:rsid w:val="00DD0775"/>
    <w:rsid w:val="00DD099A"/>
    <w:rsid w:val="00DD0DFE"/>
    <w:rsid w:val="00DD0E23"/>
    <w:rsid w:val="00DD1104"/>
    <w:rsid w:val="00DD114F"/>
    <w:rsid w:val="00DD1179"/>
    <w:rsid w:val="00DD1A9A"/>
    <w:rsid w:val="00DD1F1A"/>
    <w:rsid w:val="00DD220E"/>
    <w:rsid w:val="00DD2254"/>
    <w:rsid w:val="00DD2342"/>
    <w:rsid w:val="00DD239E"/>
    <w:rsid w:val="00DD2526"/>
    <w:rsid w:val="00DD26F9"/>
    <w:rsid w:val="00DD271B"/>
    <w:rsid w:val="00DD2B52"/>
    <w:rsid w:val="00DD2BB4"/>
    <w:rsid w:val="00DD336C"/>
    <w:rsid w:val="00DD3492"/>
    <w:rsid w:val="00DD3715"/>
    <w:rsid w:val="00DD3BAE"/>
    <w:rsid w:val="00DD42AE"/>
    <w:rsid w:val="00DD43C2"/>
    <w:rsid w:val="00DD465A"/>
    <w:rsid w:val="00DD492C"/>
    <w:rsid w:val="00DD49A4"/>
    <w:rsid w:val="00DD4EC5"/>
    <w:rsid w:val="00DD51F0"/>
    <w:rsid w:val="00DD5252"/>
    <w:rsid w:val="00DD5695"/>
    <w:rsid w:val="00DD586B"/>
    <w:rsid w:val="00DD5C27"/>
    <w:rsid w:val="00DD5E2E"/>
    <w:rsid w:val="00DD5F60"/>
    <w:rsid w:val="00DD5FE0"/>
    <w:rsid w:val="00DD67F1"/>
    <w:rsid w:val="00DD6884"/>
    <w:rsid w:val="00DD6B15"/>
    <w:rsid w:val="00DD6C21"/>
    <w:rsid w:val="00DD7432"/>
    <w:rsid w:val="00DD7491"/>
    <w:rsid w:val="00DD750D"/>
    <w:rsid w:val="00DD795D"/>
    <w:rsid w:val="00DD7BF5"/>
    <w:rsid w:val="00DD7CE8"/>
    <w:rsid w:val="00DD7E5C"/>
    <w:rsid w:val="00DE0165"/>
    <w:rsid w:val="00DE0A61"/>
    <w:rsid w:val="00DE0AF0"/>
    <w:rsid w:val="00DE0FC4"/>
    <w:rsid w:val="00DE0FFD"/>
    <w:rsid w:val="00DE1071"/>
    <w:rsid w:val="00DE125C"/>
    <w:rsid w:val="00DE1348"/>
    <w:rsid w:val="00DE136B"/>
    <w:rsid w:val="00DE1452"/>
    <w:rsid w:val="00DE1ED9"/>
    <w:rsid w:val="00DE1F1F"/>
    <w:rsid w:val="00DE2486"/>
    <w:rsid w:val="00DE28E1"/>
    <w:rsid w:val="00DE2992"/>
    <w:rsid w:val="00DE2BDE"/>
    <w:rsid w:val="00DE2E4A"/>
    <w:rsid w:val="00DE3073"/>
    <w:rsid w:val="00DE314A"/>
    <w:rsid w:val="00DE329E"/>
    <w:rsid w:val="00DE3321"/>
    <w:rsid w:val="00DE33ED"/>
    <w:rsid w:val="00DE381F"/>
    <w:rsid w:val="00DE3B4D"/>
    <w:rsid w:val="00DE41E3"/>
    <w:rsid w:val="00DE42B7"/>
    <w:rsid w:val="00DE4475"/>
    <w:rsid w:val="00DE4838"/>
    <w:rsid w:val="00DE4969"/>
    <w:rsid w:val="00DE4B82"/>
    <w:rsid w:val="00DE4E6D"/>
    <w:rsid w:val="00DE531D"/>
    <w:rsid w:val="00DE5365"/>
    <w:rsid w:val="00DE5731"/>
    <w:rsid w:val="00DE5C57"/>
    <w:rsid w:val="00DE5C9A"/>
    <w:rsid w:val="00DE5D53"/>
    <w:rsid w:val="00DE6150"/>
    <w:rsid w:val="00DE61E8"/>
    <w:rsid w:val="00DE62BE"/>
    <w:rsid w:val="00DE6429"/>
    <w:rsid w:val="00DE66AF"/>
    <w:rsid w:val="00DE678A"/>
    <w:rsid w:val="00DE67D7"/>
    <w:rsid w:val="00DE6BEF"/>
    <w:rsid w:val="00DE6C65"/>
    <w:rsid w:val="00DE6CEB"/>
    <w:rsid w:val="00DE6CEF"/>
    <w:rsid w:val="00DE6E96"/>
    <w:rsid w:val="00DE717F"/>
    <w:rsid w:val="00DE76E1"/>
    <w:rsid w:val="00DE7A36"/>
    <w:rsid w:val="00DE7A7C"/>
    <w:rsid w:val="00DF000A"/>
    <w:rsid w:val="00DF0407"/>
    <w:rsid w:val="00DF04C2"/>
    <w:rsid w:val="00DF0A3F"/>
    <w:rsid w:val="00DF0D54"/>
    <w:rsid w:val="00DF0FBE"/>
    <w:rsid w:val="00DF1199"/>
    <w:rsid w:val="00DF15C1"/>
    <w:rsid w:val="00DF1AA9"/>
    <w:rsid w:val="00DF1AEF"/>
    <w:rsid w:val="00DF1BC4"/>
    <w:rsid w:val="00DF1D53"/>
    <w:rsid w:val="00DF2150"/>
    <w:rsid w:val="00DF21C1"/>
    <w:rsid w:val="00DF22D4"/>
    <w:rsid w:val="00DF22EB"/>
    <w:rsid w:val="00DF2B80"/>
    <w:rsid w:val="00DF30D0"/>
    <w:rsid w:val="00DF312C"/>
    <w:rsid w:val="00DF325F"/>
    <w:rsid w:val="00DF342F"/>
    <w:rsid w:val="00DF3456"/>
    <w:rsid w:val="00DF349F"/>
    <w:rsid w:val="00DF41E4"/>
    <w:rsid w:val="00DF42C0"/>
    <w:rsid w:val="00DF43D9"/>
    <w:rsid w:val="00DF4AE3"/>
    <w:rsid w:val="00DF4D7B"/>
    <w:rsid w:val="00DF4E38"/>
    <w:rsid w:val="00DF539D"/>
    <w:rsid w:val="00DF55E9"/>
    <w:rsid w:val="00DF57FE"/>
    <w:rsid w:val="00DF5905"/>
    <w:rsid w:val="00DF5CC7"/>
    <w:rsid w:val="00DF5D8C"/>
    <w:rsid w:val="00DF5F02"/>
    <w:rsid w:val="00DF6454"/>
    <w:rsid w:val="00DF678D"/>
    <w:rsid w:val="00DF6842"/>
    <w:rsid w:val="00DF6A0B"/>
    <w:rsid w:val="00DF6E70"/>
    <w:rsid w:val="00DF7091"/>
    <w:rsid w:val="00DF76D5"/>
    <w:rsid w:val="00DF76EB"/>
    <w:rsid w:val="00DF76FF"/>
    <w:rsid w:val="00DF7980"/>
    <w:rsid w:val="00E000B9"/>
    <w:rsid w:val="00E0040C"/>
    <w:rsid w:val="00E0040E"/>
    <w:rsid w:val="00E007B5"/>
    <w:rsid w:val="00E00BB8"/>
    <w:rsid w:val="00E00CD3"/>
    <w:rsid w:val="00E00E01"/>
    <w:rsid w:val="00E0130B"/>
    <w:rsid w:val="00E01D60"/>
    <w:rsid w:val="00E01F3C"/>
    <w:rsid w:val="00E0221B"/>
    <w:rsid w:val="00E02258"/>
    <w:rsid w:val="00E02453"/>
    <w:rsid w:val="00E025CC"/>
    <w:rsid w:val="00E0293E"/>
    <w:rsid w:val="00E02AEB"/>
    <w:rsid w:val="00E02BEF"/>
    <w:rsid w:val="00E02EFC"/>
    <w:rsid w:val="00E0306C"/>
    <w:rsid w:val="00E0320D"/>
    <w:rsid w:val="00E0396A"/>
    <w:rsid w:val="00E03AAB"/>
    <w:rsid w:val="00E03AB5"/>
    <w:rsid w:val="00E03DBC"/>
    <w:rsid w:val="00E045D6"/>
    <w:rsid w:val="00E048B5"/>
    <w:rsid w:val="00E04B52"/>
    <w:rsid w:val="00E05470"/>
    <w:rsid w:val="00E05C16"/>
    <w:rsid w:val="00E05FF9"/>
    <w:rsid w:val="00E062E8"/>
    <w:rsid w:val="00E064C5"/>
    <w:rsid w:val="00E064E0"/>
    <w:rsid w:val="00E065CD"/>
    <w:rsid w:val="00E066A7"/>
    <w:rsid w:val="00E06987"/>
    <w:rsid w:val="00E06D8C"/>
    <w:rsid w:val="00E0717C"/>
    <w:rsid w:val="00E074D7"/>
    <w:rsid w:val="00E07975"/>
    <w:rsid w:val="00E07B6A"/>
    <w:rsid w:val="00E07C83"/>
    <w:rsid w:val="00E07D28"/>
    <w:rsid w:val="00E101FC"/>
    <w:rsid w:val="00E10650"/>
    <w:rsid w:val="00E106BD"/>
    <w:rsid w:val="00E106C9"/>
    <w:rsid w:val="00E106D4"/>
    <w:rsid w:val="00E108F8"/>
    <w:rsid w:val="00E109CE"/>
    <w:rsid w:val="00E11530"/>
    <w:rsid w:val="00E117D3"/>
    <w:rsid w:val="00E11821"/>
    <w:rsid w:val="00E119D1"/>
    <w:rsid w:val="00E11AFA"/>
    <w:rsid w:val="00E11E1C"/>
    <w:rsid w:val="00E12107"/>
    <w:rsid w:val="00E123E2"/>
    <w:rsid w:val="00E13100"/>
    <w:rsid w:val="00E13298"/>
    <w:rsid w:val="00E13F6F"/>
    <w:rsid w:val="00E14007"/>
    <w:rsid w:val="00E1462A"/>
    <w:rsid w:val="00E14925"/>
    <w:rsid w:val="00E151B3"/>
    <w:rsid w:val="00E15412"/>
    <w:rsid w:val="00E15524"/>
    <w:rsid w:val="00E156E8"/>
    <w:rsid w:val="00E157CB"/>
    <w:rsid w:val="00E15D2B"/>
    <w:rsid w:val="00E15D7E"/>
    <w:rsid w:val="00E15E40"/>
    <w:rsid w:val="00E15EB0"/>
    <w:rsid w:val="00E161D6"/>
    <w:rsid w:val="00E16282"/>
    <w:rsid w:val="00E163C7"/>
    <w:rsid w:val="00E1663C"/>
    <w:rsid w:val="00E16B47"/>
    <w:rsid w:val="00E1728C"/>
    <w:rsid w:val="00E172A8"/>
    <w:rsid w:val="00E173B0"/>
    <w:rsid w:val="00E1766B"/>
    <w:rsid w:val="00E17A7A"/>
    <w:rsid w:val="00E17D33"/>
    <w:rsid w:val="00E17EF3"/>
    <w:rsid w:val="00E20120"/>
    <w:rsid w:val="00E204E7"/>
    <w:rsid w:val="00E20BC1"/>
    <w:rsid w:val="00E21112"/>
    <w:rsid w:val="00E213A5"/>
    <w:rsid w:val="00E218B0"/>
    <w:rsid w:val="00E21945"/>
    <w:rsid w:val="00E21CF7"/>
    <w:rsid w:val="00E21DF2"/>
    <w:rsid w:val="00E21EB0"/>
    <w:rsid w:val="00E22133"/>
    <w:rsid w:val="00E2277F"/>
    <w:rsid w:val="00E227AC"/>
    <w:rsid w:val="00E229D6"/>
    <w:rsid w:val="00E22CDC"/>
    <w:rsid w:val="00E22E70"/>
    <w:rsid w:val="00E23179"/>
    <w:rsid w:val="00E23198"/>
    <w:rsid w:val="00E235F5"/>
    <w:rsid w:val="00E23AFD"/>
    <w:rsid w:val="00E23B12"/>
    <w:rsid w:val="00E23BC8"/>
    <w:rsid w:val="00E243C4"/>
    <w:rsid w:val="00E245E4"/>
    <w:rsid w:val="00E2483D"/>
    <w:rsid w:val="00E2497B"/>
    <w:rsid w:val="00E24EF6"/>
    <w:rsid w:val="00E252CC"/>
    <w:rsid w:val="00E2596F"/>
    <w:rsid w:val="00E259DA"/>
    <w:rsid w:val="00E25AD1"/>
    <w:rsid w:val="00E25FE9"/>
    <w:rsid w:val="00E2669C"/>
    <w:rsid w:val="00E266EE"/>
    <w:rsid w:val="00E26849"/>
    <w:rsid w:val="00E26B0C"/>
    <w:rsid w:val="00E26C7F"/>
    <w:rsid w:val="00E26CDD"/>
    <w:rsid w:val="00E26D31"/>
    <w:rsid w:val="00E26FF5"/>
    <w:rsid w:val="00E2747C"/>
    <w:rsid w:val="00E27E45"/>
    <w:rsid w:val="00E30011"/>
    <w:rsid w:val="00E30020"/>
    <w:rsid w:val="00E302DC"/>
    <w:rsid w:val="00E305ED"/>
    <w:rsid w:val="00E30873"/>
    <w:rsid w:val="00E30C4E"/>
    <w:rsid w:val="00E30E15"/>
    <w:rsid w:val="00E30E20"/>
    <w:rsid w:val="00E30E4F"/>
    <w:rsid w:val="00E311C3"/>
    <w:rsid w:val="00E315D8"/>
    <w:rsid w:val="00E31805"/>
    <w:rsid w:val="00E31AB5"/>
    <w:rsid w:val="00E31C40"/>
    <w:rsid w:val="00E31ED5"/>
    <w:rsid w:val="00E3220B"/>
    <w:rsid w:val="00E32497"/>
    <w:rsid w:val="00E3254E"/>
    <w:rsid w:val="00E32644"/>
    <w:rsid w:val="00E326DB"/>
    <w:rsid w:val="00E3316A"/>
    <w:rsid w:val="00E3342A"/>
    <w:rsid w:val="00E3362C"/>
    <w:rsid w:val="00E33D15"/>
    <w:rsid w:val="00E33DF9"/>
    <w:rsid w:val="00E33F50"/>
    <w:rsid w:val="00E340DD"/>
    <w:rsid w:val="00E34195"/>
    <w:rsid w:val="00E341D2"/>
    <w:rsid w:val="00E341FB"/>
    <w:rsid w:val="00E34522"/>
    <w:rsid w:val="00E3467C"/>
    <w:rsid w:val="00E34A2D"/>
    <w:rsid w:val="00E34E22"/>
    <w:rsid w:val="00E34F17"/>
    <w:rsid w:val="00E35016"/>
    <w:rsid w:val="00E351D7"/>
    <w:rsid w:val="00E3528B"/>
    <w:rsid w:val="00E35412"/>
    <w:rsid w:val="00E354E4"/>
    <w:rsid w:val="00E35A4D"/>
    <w:rsid w:val="00E3619A"/>
    <w:rsid w:val="00E36A6D"/>
    <w:rsid w:val="00E36AC8"/>
    <w:rsid w:val="00E36DEA"/>
    <w:rsid w:val="00E3725F"/>
    <w:rsid w:val="00E37476"/>
    <w:rsid w:val="00E3766E"/>
    <w:rsid w:val="00E37696"/>
    <w:rsid w:val="00E378BB"/>
    <w:rsid w:val="00E37FD7"/>
    <w:rsid w:val="00E37FE6"/>
    <w:rsid w:val="00E402E1"/>
    <w:rsid w:val="00E4043A"/>
    <w:rsid w:val="00E40839"/>
    <w:rsid w:val="00E40B94"/>
    <w:rsid w:val="00E40BB7"/>
    <w:rsid w:val="00E40E82"/>
    <w:rsid w:val="00E411F2"/>
    <w:rsid w:val="00E415C8"/>
    <w:rsid w:val="00E419C0"/>
    <w:rsid w:val="00E41BC8"/>
    <w:rsid w:val="00E41BE6"/>
    <w:rsid w:val="00E41E9D"/>
    <w:rsid w:val="00E42138"/>
    <w:rsid w:val="00E425B4"/>
    <w:rsid w:val="00E42896"/>
    <w:rsid w:val="00E42A23"/>
    <w:rsid w:val="00E42B5B"/>
    <w:rsid w:val="00E42C7B"/>
    <w:rsid w:val="00E430BE"/>
    <w:rsid w:val="00E43974"/>
    <w:rsid w:val="00E4398F"/>
    <w:rsid w:val="00E43DFD"/>
    <w:rsid w:val="00E440C2"/>
    <w:rsid w:val="00E4423F"/>
    <w:rsid w:val="00E448A5"/>
    <w:rsid w:val="00E44B27"/>
    <w:rsid w:val="00E44DA8"/>
    <w:rsid w:val="00E44F9D"/>
    <w:rsid w:val="00E4513F"/>
    <w:rsid w:val="00E451FB"/>
    <w:rsid w:val="00E45469"/>
    <w:rsid w:val="00E45C41"/>
    <w:rsid w:val="00E46072"/>
    <w:rsid w:val="00E460EA"/>
    <w:rsid w:val="00E4638A"/>
    <w:rsid w:val="00E46698"/>
    <w:rsid w:val="00E46D24"/>
    <w:rsid w:val="00E46D96"/>
    <w:rsid w:val="00E46F2C"/>
    <w:rsid w:val="00E47201"/>
    <w:rsid w:val="00E475B6"/>
    <w:rsid w:val="00E475EF"/>
    <w:rsid w:val="00E4761E"/>
    <w:rsid w:val="00E476D4"/>
    <w:rsid w:val="00E47E9C"/>
    <w:rsid w:val="00E50669"/>
    <w:rsid w:val="00E50811"/>
    <w:rsid w:val="00E508A2"/>
    <w:rsid w:val="00E50E27"/>
    <w:rsid w:val="00E50F9A"/>
    <w:rsid w:val="00E51010"/>
    <w:rsid w:val="00E5102D"/>
    <w:rsid w:val="00E51074"/>
    <w:rsid w:val="00E51222"/>
    <w:rsid w:val="00E51343"/>
    <w:rsid w:val="00E5156E"/>
    <w:rsid w:val="00E51733"/>
    <w:rsid w:val="00E5188A"/>
    <w:rsid w:val="00E518F1"/>
    <w:rsid w:val="00E523AD"/>
    <w:rsid w:val="00E524E9"/>
    <w:rsid w:val="00E52C8E"/>
    <w:rsid w:val="00E52EEF"/>
    <w:rsid w:val="00E53680"/>
    <w:rsid w:val="00E53728"/>
    <w:rsid w:val="00E53AD2"/>
    <w:rsid w:val="00E53CB4"/>
    <w:rsid w:val="00E53FAE"/>
    <w:rsid w:val="00E54378"/>
    <w:rsid w:val="00E54463"/>
    <w:rsid w:val="00E5479B"/>
    <w:rsid w:val="00E5489A"/>
    <w:rsid w:val="00E54AF1"/>
    <w:rsid w:val="00E54B7A"/>
    <w:rsid w:val="00E54DDC"/>
    <w:rsid w:val="00E5561F"/>
    <w:rsid w:val="00E55C76"/>
    <w:rsid w:val="00E55CF1"/>
    <w:rsid w:val="00E55F1A"/>
    <w:rsid w:val="00E56334"/>
    <w:rsid w:val="00E564DE"/>
    <w:rsid w:val="00E5650F"/>
    <w:rsid w:val="00E56FDA"/>
    <w:rsid w:val="00E57856"/>
    <w:rsid w:val="00E57BE3"/>
    <w:rsid w:val="00E57CA5"/>
    <w:rsid w:val="00E600F1"/>
    <w:rsid w:val="00E6025D"/>
    <w:rsid w:val="00E60309"/>
    <w:rsid w:val="00E603D6"/>
    <w:rsid w:val="00E60790"/>
    <w:rsid w:val="00E609C8"/>
    <w:rsid w:val="00E60A2E"/>
    <w:rsid w:val="00E60A96"/>
    <w:rsid w:val="00E611C0"/>
    <w:rsid w:val="00E617C6"/>
    <w:rsid w:val="00E61A1C"/>
    <w:rsid w:val="00E620AE"/>
    <w:rsid w:val="00E620CC"/>
    <w:rsid w:val="00E620FA"/>
    <w:rsid w:val="00E6279B"/>
    <w:rsid w:val="00E62C33"/>
    <w:rsid w:val="00E63010"/>
    <w:rsid w:val="00E6336A"/>
    <w:rsid w:val="00E633F5"/>
    <w:rsid w:val="00E63670"/>
    <w:rsid w:val="00E636B9"/>
    <w:rsid w:val="00E63760"/>
    <w:rsid w:val="00E637C7"/>
    <w:rsid w:val="00E637D9"/>
    <w:rsid w:val="00E63947"/>
    <w:rsid w:val="00E63C0F"/>
    <w:rsid w:val="00E63F41"/>
    <w:rsid w:val="00E63F79"/>
    <w:rsid w:val="00E640B4"/>
    <w:rsid w:val="00E643AA"/>
    <w:rsid w:val="00E64C03"/>
    <w:rsid w:val="00E64F6E"/>
    <w:rsid w:val="00E657D1"/>
    <w:rsid w:val="00E659DD"/>
    <w:rsid w:val="00E65C15"/>
    <w:rsid w:val="00E65DBF"/>
    <w:rsid w:val="00E660E5"/>
    <w:rsid w:val="00E661F1"/>
    <w:rsid w:val="00E664D8"/>
    <w:rsid w:val="00E665D1"/>
    <w:rsid w:val="00E66CF7"/>
    <w:rsid w:val="00E6737A"/>
    <w:rsid w:val="00E675D5"/>
    <w:rsid w:val="00E67E23"/>
    <w:rsid w:val="00E67FCB"/>
    <w:rsid w:val="00E70012"/>
    <w:rsid w:val="00E7047E"/>
    <w:rsid w:val="00E70E44"/>
    <w:rsid w:val="00E70F7F"/>
    <w:rsid w:val="00E715B6"/>
    <w:rsid w:val="00E71943"/>
    <w:rsid w:val="00E71CCA"/>
    <w:rsid w:val="00E72A3C"/>
    <w:rsid w:val="00E72B3B"/>
    <w:rsid w:val="00E72CA7"/>
    <w:rsid w:val="00E72DA9"/>
    <w:rsid w:val="00E72E2B"/>
    <w:rsid w:val="00E740D5"/>
    <w:rsid w:val="00E7448C"/>
    <w:rsid w:val="00E74865"/>
    <w:rsid w:val="00E74986"/>
    <w:rsid w:val="00E74C1B"/>
    <w:rsid w:val="00E75577"/>
    <w:rsid w:val="00E755E9"/>
    <w:rsid w:val="00E75CC9"/>
    <w:rsid w:val="00E75FD3"/>
    <w:rsid w:val="00E75FF5"/>
    <w:rsid w:val="00E760DE"/>
    <w:rsid w:val="00E761ED"/>
    <w:rsid w:val="00E76321"/>
    <w:rsid w:val="00E766C5"/>
    <w:rsid w:val="00E76C2A"/>
    <w:rsid w:val="00E7716C"/>
    <w:rsid w:val="00E77285"/>
    <w:rsid w:val="00E77594"/>
    <w:rsid w:val="00E777C7"/>
    <w:rsid w:val="00E77C2A"/>
    <w:rsid w:val="00E77F05"/>
    <w:rsid w:val="00E77F5D"/>
    <w:rsid w:val="00E80300"/>
    <w:rsid w:val="00E805C3"/>
    <w:rsid w:val="00E80671"/>
    <w:rsid w:val="00E80B28"/>
    <w:rsid w:val="00E815B6"/>
    <w:rsid w:val="00E815F0"/>
    <w:rsid w:val="00E816C2"/>
    <w:rsid w:val="00E8185C"/>
    <w:rsid w:val="00E81871"/>
    <w:rsid w:val="00E8199E"/>
    <w:rsid w:val="00E81B66"/>
    <w:rsid w:val="00E81F78"/>
    <w:rsid w:val="00E8226A"/>
    <w:rsid w:val="00E823CD"/>
    <w:rsid w:val="00E8256D"/>
    <w:rsid w:val="00E825E6"/>
    <w:rsid w:val="00E827D5"/>
    <w:rsid w:val="00E82864"/>
    <w:rsid w:val="00E82DD8"/>
    <w:rsid w:val="00E82E4A"/>
    <w:rsid w:val="00E82EE5"/>
    <w:rsid w:val="00E82F84"/>
    <w:rsid w:val="00E831FF"/>
    <w:rsid w:val="00E83200"/>
    <w:rsid w:val="00E833E9"/>
    <w:rsid w:val="00E8353B"/>
    <w:rsid w:val="00E83810"/>
    <w:rsid w:val="00E83A07"/>
    <w:rsid w:val="00E8415A"/>
    <w:rsid w:val="00E841C9"/>
    <w:rsid w:val="00E841D6"/>
    <w:rsid w:val="00E84214"/>
    <w:rsid w:val="00E84593"/>
    <w:rsid w:val="00E8479C"/>
    <w:rsid w:val="00E85199"/>
    <w:rsid w:val="00E85261"/>
    <w:rsid w:val="00E85360"/>
    <w:rsid w:val="00E85551"/>
    <w:rsid w:val="00E85B9E"/>
    <w:rsid w:val="00E86286"/>
    <w:rsid w:val="00E865A0"/>
    <w:rsid w:val="00E865E2"/>
    <w:rsid w:val="00E86D4A"/>
    <w:rsid w:val="00E86FEC"/>
    <w:rsid w:val="00E87117"/>
    <w:rsid w:val="00E8735A"/>
    <w:rsid w:val="00E87487"/>
    <w:rsid w:val="00E87532"/>
    <w:rsid w:val="00E87548"/>
    <w:rsid w:val="00E87A94"/>
    <w:rsid w:val="00E87E9D"/>
    <w:rsid w:val="00E902A0"/>
    <w:rsid w:val="00E90613"/>
    <w:rsid w:val="00E90A23"/>
    <w:rsid w:val="00E90C6F"/>
    <w:rsid w:val="00E910BB"/>
    <w:rsid w:val="00E911B0"/>
    <w:rsid w:val="00E916CC"/>
    <w:rsid w:val="00E91965"/>
    <w:rsid w:val="00E91A57"/>
    <w:rsid w:val="00E91C87"/>
    <w:rsid w:val="00E91D41"/>
    <w:rsid w:val="00E91E8D"/>
    <w:rsid w:val="00E923A4"/>
    <w:rsid w:val="00E929FF"/>
    <w:rsid w:val="00E92E0A"/>
    <w:rsid w:val="00E9324A"/>
    <w:rsid w:val="00E9343A"/>
    <w:rsid w:val="00E93AC5"/>
    <w:rsid w:val="00E93B78"/>
    <w:rsid w:val="00E93C73"/>
    <w:rsid w:val="00E93F89"/>
    <w:rsid w:val="00E9446F"/>
    <w:rsid w:val="00E946EA"/>
    <w:rsid w:val="00E94804"/>
    <w:rsid w:val="00E94ADA"/>
    <w:rsid w:val="00E94C02"/>
    <w:rsid w:val="00E94C0E"/>
    <w:rsid w:val="00E94DEB"/>
    <w:rsid w:val="00E94E1F"/>
    <w:rsid w:val="00E95675"/>
    <w:rsid w:val="00E957E3"/>
    <w:rsid w:val="00E958F0"/>
    <w:rsid w:val="00E95FD2"/>
    <w:rsid w:val="00E9602E"/>
    <w:rsid w:val="00E960DC"/>
    <w:rsid w:val="00E962E3"/>
    <w:rsid w:val="00E964BF"/>
    <w:rsid w:val="00E9662A"/>
    <w:rsid w:val="00E9680E"/>
    <w:rsid w:val="00E96CE5"/>
    <w:rsid w:val="00E96E67"/>
    <w:rsid w:val="00E96ECF"/>
    <w:rsid w:val="00E974AC"/>
    <w:rsid w:val="00E97607"/>
    <w:rsid w:val="00E977B7"/>
    <w:rsid w:val="00E979E2"/>
    <w:rsid w:val="00E97A38"/>
    <w:rsid w:val="00E97F18"/>
    <w:rsid w:val="00EA0062"/>
    <w:rsid w:val="00EA02D6"/>
    <w:rsid w:val="00EA058F"/>
    <w:rsid w:val="00EA0638"/>
    <w:rsid w:val="00EA0BEF"/>
    <w:rsid w:val="00EA0C59"/>
    <w:rsid w:val="00EA0E5D"/>
    <w:rsid w:val="00EA13C7"/>
    <w:rsid w:val="00EA1530"/>
    <w:rsid w:val="00EA1605"/>
    <w:rsid w:val="00EA17E5"/>
    <w:rsid w:val="00EA19C4"/>
    <w:rsid w:val="00EA1F47"/>
    <w:rsid w:val="00EA213F"/>
    <w:rsid w:val="00EA216A"/>
    <w:rsid w:val="00EA21AE"/>
    <w:rsid w:val="00EA22B8"/>
    <w:rsid w:val="00EA2824"/>
    <w:rsid w:val="00EA290D"/>
    <w:rsid w:val="00EA2B8F"/>
    <w:rsid w:val="00EA3459"/>
    <w:rsid w:val="00EA364D"/>
    <w:rsid w:val="00EA3798"/>
    <w:rsid w:val="00EA3B8E"/>
    <w:rsid w:val="00EA41EA"/>
    <w:rsid w:val="00EA4432"/>
    <w:rsid w:val="00EA4596"/>
    <w:rsid w:val="00EA479C"/>
    <w:rsid w:val="00EA479D"/>
    <w:rsid w:val="00EA4873"/>
    <w:rsid w:val="00EA4AD6"/>
    <w:rsid w:val="00EA4B03"/>
    <w:rsid w:val="00EA4B3A"/>
    <w:rsid w:val="00EA4C78"/>
    <w:rsid w:val="00EA4EF5"/>
    <w:rsid w:val="00EA5368"/>
    <w:rsid w:val="00EA588D"/>
    <w:rsid w:val="00EA58B9"/>
    <w:rsid w:val="00EA5EB6"/>
    <w:rsid w:val="00EA5EB7"/>
    <w:rsid w:val="00EA5F2A"/>
    <w:rsid w:val="00EA6107"/>
    <w:rsid w:val="00EA643B"/>
    <w:rsid w:val="00EA6798"/>
    <w:rsid w:val="00EA6821"/>
    <w:rsid w:val="00EA6AFC"/>
    <w:rsid w:val="00EA6C13"/>
    <w:rsid w:val="00EA6E63"/>
    <w:rsid w:val="00EA747C"/>
    <w:rsid w:val="00EA757E"/>
    <w:rsid w:val="00EA766A"/>
    <w:rsid w:val="00EA7ACB"/>
    <w:rsid w:val="00EA7B99"/>
    <w:rsid w:val="00EA7C0B"/>
    <w:rsid w:val="00EA7C5B"/>
    <w:rsid w:val="00EA7D5A"/>
    <w:rsid w:val="00EA7E46"/>
    <w:rsid w:val="00EB004E"/>
    <w:rsid w:val="00EB01B4"/>
    <w:rsid w:val="00EB0359"/>
    <w:rsid w:val="00EB04FB"/>
    <w:rsid w:val="00EB0801"/>
    <w:rsid w:val="00EB08F6"/>
    <w:rsid w:val="00EB090A"/>
    <w:rsid w:val="00EB0C46"/>
    <w:rsid w:val="00EB0F91"/>
    <w:rsid w:val="00EB0FD6"/>
    <w:rsid w:val="00EB153E"/>
    <w:rsid w:val="00EB1567"/>
    <w:rsid w:val="00EB163E"/>
    <w:rsid w:val="00EB1E42"/>
    <w:rsid w:val="00EB1EA8"/>
    <w:rsid w:val="00EB1F84"/>
    <w:rsid w:val="00EB214D"/>
    <w:rsid w:val="00EB2365"/>
    <w:rsid w:val="00EB2638"/>
    <w:rsid w:val="00EB28F5"/>
    <w:rsid w:val="00EB2EAE"/>
    <w:rsid w:val="00EB2EBD"/>
    <w:rsid w:val="00EB2F8D"/>
    <w:rsid w:val="00EB3533"/>
    <w:rsid w:val="00EB3A31"/>
    <w:rsid w:val="00EB3EA5"/>
    <w:rsid w:val="00EB436E"/>
    <w:rsid w:val="00EB45A0"/>
    <w:rsid w:val="00EB4F05"/>
    <w:rsid w:val="00EB50EE"/>
    <w:rsid w:val="00EB528F"/>
    <w:rsid w:val="00EB52CE"/>
    <w:rsid w:val="00EB5600"/>
    <w:rsid w:val="00EB5604"/>
    <w:rsid w:val="00EB5D9D"/>
    <w:rsid w:val="00EB65DE"/>
    <w:rsid w:val="00EB6ADB"/>
    <w:rsid w:val="00EB7246"/>
    <w:rsid w:val="00EB766B"/>
    <w:rsid w:val="00EB76D1"/>
    <w:rsid w:val="00EB771F"/>
    <w:rsid w:val="00EB7853"/>
    <w:rsid w:val="00EB7961"/>
    <w:rsid w:val="00EB7A3D"/>
    <w:rsid w:val="00EB7C87"/>
    <w:rsid w:val="00EB7F27"/>
    <w:rsid w:val="00EC07AE"/>
    <w:rsid w:val="00EC0CB7"/>
    <w:rsid w:val="00EC0DA8"/>
    <w:rsid w:val="00EC0F29"/>
    <w:rsid w:val="00EC112A"/>
    <w:rsid w:val="00EC11EE"/>
    <w:rsid w:val="00EC13DC"/>
    <w:rsid w:val="00EC15E0"/>
    <w:rsid w:val="00EC166E"/>
    <w:rsid w:val="00EC1845"/>
    <w:rsid w:val="00EC1BEC"/>
    <w:rsid w:val="00EC1D0C"/>
    <w:rsid w:val="00EC1EAC"/>
    <w:rsid w:val="00EC1F40"/>
    <w:rsid w:val="00EC1F9D"/>
    <w:rsid w:val="00EC2150"/>
    <w:rsid w:val="00EC2375"/>
    <w:rsid w:val="00EC2749"/>
    <w:rsid w:val="00EC2CAB"/>
    <w:rsid w:val="00EC31C9"/>
    <w:rsid w:val="00EC350B"/>
    <w:rsid w:val="00EC3660"/>
    <w:rsid w:val="00EC3C99"/>
    <w:rsid w:val="00EC3DF4"/>
    <w:rsid w:val="00EC42C6"/>
    <w:rsid w:val="00EC4758"/>
    <w:rsid w:val="00EC497D"/>
    <w:rsid w:val="00EC4B14"/>
    <w:rsid w:val="00EC4BDC"/>
    <w:rsid w:val="00EC4BE3"/>
    <w:rsid w:val="00EC4C7B"/>
    <w:rsid w:val="00EC4CD1"/>
    <w:rsid w:val="00EC4EB9"/>
    <w:rsid w:val="00EC5008"/>
    <w:rsid w:val="00EC5278"/>
    <w:rsid w:val="00EC54E1"/>
    <w:rsid w:val="00EC56F8"/>
    <w:rsid w:val="00EC5C7C"/>
    <w:rsid w:val="00EC617A"/>
    <w:rsid w:val="00EC6419"/>
    <w:rsid w:val="00EC649D"/>
    <w:rsid w:val="00EC64C1"/>
    <w:rsid w:val="00EC6A46"/>
    <w:rsid w:val="00EC6B13"/>
    <w:rsid w:val="00EC6E18"/>
    <w:rsid w:val="00EC6EAD"/>
    <w:rsid w:val="00EC729A"/>
    <w:rsid w:val="00EC7397"/>
    <w:rsid w:val="00EC7915"/>
    <w:rsid w:val="00EC7942"/>
    <w:rsid w:val="00ED0029"/>
    <w:rsid w:val="00ED0437"/>
    <w:rsid w:val="00ED062C"/>
    <w:rsid w:val="00ED08CF"/>
    <w:rsid w:val="00ED0C60"/>
    <w:rsid w:val="00ED0EFD"/>
    <w:rsid w:val="00ED1016"/>
    <w:rsid w:val="00ED102F"/>
    <w:rsid w:val="00ED1420"/>
    <w:rsid w:val="00ED14C6"/>
    <w:rsid w:val="00ED1718"/>
    <w:rsid w:val="00ED177D"/>
    <w:rsid w:val="00ED1C4D"/>
    <w:rsid w:val="00ED2376"/>
    <w:rsid w:val="00ED29C7"/>
    <w:rsid w:val="00ED2B2F"/>
    <w:rsid w:val="00ED324C"/>
    <w:rsid w:val="00ED3868"/>
    <w:rsid w:val="00ED39FC"/>
    <w:rsid w:val="00ED3BBA"/>
    <w:rsid w:val="00ED3E92"/>
    <w:rsid w:val="00ED4020"/>
    <w:rsid w:val="00ED4247"/>
    <w:rsid w:val="00ED42FF"/>
    <w:rsid w:val="00ED4574"/>
    <w:rsid w:val="00ED4D77"/>
    <w:rsid w:val="00ED512D"/>
    <w:rsid w:val="00ED5205"/>
    <w:rsid w:val="00ED5393"/>
    <w:rsid w:val="00ED6012"/>
    <w:rsid w:val="00ED6A12"/>
    <w:rsid w:val="00ED6ABF"/>
    <w:rsid w:val="00ED7006"/>
    <w:rsid w:val="00ED7242"/>
    <w:rsid w:val="00ED7438"/>
    <w:rsid w:val="00ED75F5"/>
    <w:rsid w:val="00ED7804"/>
    <w:rsid w:val="00ED7805"/>
    <w:rsid w:val="00ED7B0D"/>
    <w:rsid w:val="00EE00CC"/>
    <w:rsid w:val="00EE05CD"/>
    <w:rsid w:val="00EE07D2"/>
    <w:rsid w:val="00EE0CC5"/>
    <w:rsid w:val="00EE0D9C"/>
    <w:rsid w:val="00EE1109"/>
    <w:rsid w:val="00EE128A"/>
    <w:rsid w:val="00EE14B4"/>
    <w:rsid w:val="00EE17C9"/>
    <w:rsid w:val="00EE1973"/>
    <w:rsid w:val="00EE19C4"/>
    <w:rsid w:val="00EE1B43"/>
    <w:rsid w:val="00EE1F56"/>
    <w:rsid w:val="00EE2425"/>
    <w:rsid w:val="00EE28DE"/>
    <w:rsid w:val="00EE28E4"/>
    <w:rsid w:val="00EE2AD4"/>
    <w:rsid w:val="00EE3187"/>
    <w:rsid w:val="00EE35B1"/>
    <w:rsid w:val="00EE399A"/>
    <w:rsid w:val="00EE3C0B"/>
    <w:rsid w:val="00EE3C7F"/>
    <w:rsid w:val="00EE3C91"/>
    <w:rsid w:val="00EE3D3D"/>
    <w:rsid w:val="00EE3DB3"/>
    <w:rsid w:val="00EE3DE1"/>
    <w:rsid w:val="00EE40C4"/>
    <w:rsid w:val="00EE4781"/>
    <w:rsid w:val="00EE4853"/>
    <w:rsid w:val="00EE4896"/>
    <w:rsid w:val="00EE4E2A"/>
    <w:rsid w:val="00EE5243"/>
    <w:rsid w:val="00EE56AB"/>
    <w:rsid w:val="00EE57C8"/>
    <w:rsid w:val="00EE587D"/>
    <w:rsid w:val="00EE5C12"/>
    <w:rsid w:val="00EE5C35"/>
    <w:rsid w:val="00EE5EF9"/>
    <w:rsid w:val="00EE5F75"/>
    <w:rsid w:val="00EE5F9E"/>
    <w:rsid w:val="00EE619A"/>
    <w:rsid w:val="00EE61DD"/>
    <w:rsid w:val="00EE6280"/>
    <w:rsid w:val="00EE63B4"/>
    <w:rsid w:val="00EE64B3"/>
    <w:rsid w:val="00EE7395"/>
    <w:rsid w:val="00EE73C5"/>
    <w:rsid w:val="00EE7898"/>
    <w:rsid w:val="00EE7C00"/>
    <w:rsid w:val="00EE7F90"/>
    <w:rsid w:val="00EF0289"/>
    <w:rsid w:val="00EF0522"/>
    <w:rsid w:val="00EF0721"/>
    <w:rsid w:val="00EF0C59"/>
    <w:rsid w:val="00EF12BF"/>
    <w:rsid w:val="00EF12D7"/>
    <w:rsid w:val="00EF12F7"/>
    <w:rsid w:val="00EF1DEB"/>
    <w:rsid w:val="00EF1E90"/>
    <w:rsid w:val="00EF23C1"/>
    <w:rsid w:val="00EF2834"/>
    <w:rsid w:val="00EF2941"/>
    <w:rsid w:val="00EF2A8B"/>
    <w:rsid w:val="00EF2FF7"/>
    <w:rsid w:val="00EF3016"/>
    <w:rsid w:val="00EF3420"/>
    <w:rsid w:val="00EF3807"/>
    <w:rsid w:val="00EF385F"/>
    <w:rsid w:val="00EF3DF8"/>
    <w:rsid w:val="00EF3F61"/>
    <w:rsid w:val="00EF4184"/>
    <w:rsid w:val="00EF4569"/>
    <w:rsid w:val="00EF45F5"/>
    <w:rsid w:val="00EF4797"/>
    <w:rsid w:val="00EF49EB"/>
    <w:rsid w:val="00EF4A36"/>
    <w:rsid w:val="00EF4D0F"/>
    <w:rsid w:val="00EF4D73"/>
    <w:rsid w:val="00EF4F63"/>
    <w:rsid w:val="00EF56B3"/>
    <w:rsid w:val="00EF5A7D"/>
    <w:rsid w:val="00EF62EA"/>
    <w:rsid w:val="00EF6764"/>
    <w:rsid w:val="00EF6943"/>
    <w:rsid w:val="00EF6CA2"/>
    <w:rsid w:val="00EF707B"/>
    <w:rsid w:val="00EF7A4C"/>
    <w:rsid w:val="00EF7B26"/>
    <w:rsid w:val="00EF7CAD"/>
    <w:rsid w:val="00EF7DF3"/>
    <w:rsid w:val="00F00D9B"/>
    <w:rsid w:val="00F00DE5"/>
    <w:rsid w:val="00F00E5A"/>
    <w:rsid w:val="00F01257"/>
    <w:rsid w:val="00F02011"/>
    <w:rsid w:val="00F02019"/>
    <w:rsid w:val="00F02483"/>
    <w:rsid w:val="00F02812"/>
    <w:rsid w:val="00F02986"/>
    <w:rsid w:val="00F029F8"/>
    <w:rsid w:val="00F02AAA"/>
    <w:rsid w:val="00F02D3F"/>
    <w:rsid w:val="00F02E9F"/>
    <w:rsid w:val="00F0342B"/>
    <w:rsid w:val="00F03638"/>
    <w:rsid w:val="00F03B44"/>
    <w:rsid w:val="00F03EE9"/>
    <w:rsid w:val="00F04044"/>
    <w:rsid w:val="00F04049"/>
    <w:rsid w:val="00F04369"/>
    <w:rsid w:val="00F04762"/>
    <w:rsid w:val="00F04BA3"/>
    <w:rsid w:val="00F04C71"/>
    <w:rsid w:val="00F04CCD"/>
    <w:rsid w:val="00F054AC"/>
    <w:rsid w:val="00F05C69"/>
    <w:rsid w:val="00F05CB3"/>
    <w:rsid w:val="00F061BF"/>
    <w:rsid w:val="00F06434"/>
    <w:rsid w:val="00F064B5"/>
    <w:rsid w:val="00F069D7"/>
    <w:rsid w:val="00F06C9C"/>
    <w:rsid w:val="00F06DDA"/>
    <w:rsid w:val="00F06E00"/>
    <w:rsid w:val="00F06E1A"/>
    <w:rsid w:val="00F06F40"/>
    <w:rsid w:val="00F070EB"/>
    <w:rsid w:val="00F07164"/>
    <w:rsid w:val="00F07275"/>
    <w:rsid w:val="00F0753F"/>
    <w:rsid w:val="00F07546"/>
    <w:rsid w:val="00F0755B"/>
    <w:rsid w:val="00F07979"/>
    <w:rsid w:val="00F07DE5"/>
    <w:rsid w:val="00F1077D"/>
    <w:rsid w:val="00F10C21"/>
    <w:rsid w:val="00F10D31"/>
    <w:rsid w:val="00F10D93"/>
    <w:rsid w:val="00F1122F"/>
    <w:rsid w:val="00F1125B"/>
    <w:rsid w:val="00F112B7"/>
    <w:rsid w:val="00F1172E"/>
    <w:rsid w:val="00F11B7B"/>
    <w:rsid w:val="00F11C24"/>
    <w:rsid w:val="00F11D2E"/>
    <w:rsid w:val="00F11FB3"/>
    <w:rsid w:val="00F12403"/>
    <w:rsid w:val="00F125DA"/>
    <w:rsid w:val="00F1273C"/>
    <w:rsid w:val="00F128F8"/>
    <w:rsid w:val="00F1295B"/>
    <w:rsid w:val="00F12B33"/>
    <w:rsid w:val="00F12BA9"/>
    <w:rsid w:val="00F1348F"/>
    <w:rsid w:val="00F13731"/>
    <w:rsid w:val="00F137A5"/>
    <w:rsid w:val="00F13B5B"/>
    <w:rsid w:val="00F13B94"/>
    <w:rsid w:val="00F13C10"/>
    <w:rsid w:val="00F13FF0"/>
    <w:rsid w:val="00F14223"/>
    <w:rsid w:val="00F142D3"/>
    <w:rsid w:val="00F1439F"/>
    <w:rsid w:val="00F14502"/>
    <w:rsid w:val="00F14599"/>
    <w:rsid w:val="00F14674"/>
    <w:rsid w:val="00F148D9"/>
    <w:rsid w:val="00F14A7F"/>
    <w:rsid w:val="00F14BA4"/>
    <w:rsid w:val="00F14DC8"/>
    <w:rsid w:val="00F15196"/>
    <w:rsid w:val="00F153C9"/>
    <w:rsid w:val="00F156E0"/>
    <w:rsid w:val="00F159C9"/>
    <w:rsid w:val="00F15E04"/>
    <w:rsid w:val="00F15EA1"/>
    <w:rsid w:val="00F1637F"/>
    <w:rsid w:val="00F165B5"/>
    <w:rsid w:val="00F16680"/>
    <w:rsid w:val="00F169BF"/>
    <w:rsid w:val="00F16CE8"/>
    <w:rsid w:val="00F1714C"/>
    <w:rsid w:val="00F17297"/>
    <w:rsid w:val="00F173CD"/>
    <w:rsid w:val="00F17502"/>
    <w:rsid w:val="00F17616"/>
    <w:rsid w:val="00F176C6"/>
    <w:rsid w:val="00F178AD"/>
    <w:rsid w:val="00F178D7"/>
    <w:rsid w:val="00F178DE"/>
    <w:rsid w:val="00F178FB"/>
    <w:rsid w:val="00F179A0"/>
    <w:rsid w:val="00F17AF4"/>
    <w:rsid w:val="00F17D97"/>
    <w:rsid w:val="00F17DC4"/>
    <w:rsid w:val="00F20214"/>
    <w:rsid w:val="00F2043B"/>
    <w:rsid w:val="00F20631"/>
    <w:rsid w:val="00F2083D"/>
    <w:rsid w:val="00F208D9"/>
    <w:rsid w:val="00F20DDB"/>
    <w:rsid w:val="00F20EB4"/>
    <w:rsid w:val="00F21038"/>
    <w:rsid w:val="00F21177"/>
    <w:rsid w:val="00F21261"/>
    <w:rsid w:val="00F21379"/>
    <w:rsid w:val="00F218A7"/>
    <w:rsid w:val="00F21BD3"/>
    <w:rsid w:val="00F21C48"/>
    <w:rsid w:val="00F21EA3"/>
    <w:rsid w:val="00F21FF8"/>
    <w:rsid w:val="00F220E9"/>
    <w:rsid w:val="00F22A2C"/>
    <w:rsid w:val="00F22A98"/>
    <w:rsid w:val="00F22E59"/>
    <w:rsid w:val="00F22E72"/>
    <w:rsid w:val="00F22F08"/>
    <w:rsid w:val="00F22F60"/>
    <w:rsid w:val="00F2304E"/>
    <w:rsid w:val="00F233C8"/>
    <w:rsid w:val="00F23658"/>
    <w:rsid w:val="00F2374D"/>
    <w:rsid w:val="00F23F70"/>
    <w:rsid w:val="00F2404C"/>
    <w:rsid w:val="00F240E9"/>
    <w:rsid w:val="00F241A9"/>
    <w:rsid w:val="00F241AE"/>
    <w:rsid w:val="00F242A5"/>
    <w:rsid w:val="00F24311"/>
    <w:rsid w:val="00F2458D"/>
    <w:rsid w:val="00F24A8E"/>
    <w:rsid w:val="00F25135"/>
    <w:rsid w:val="00F253C6"/>
    <w:rsid w:val="00F253E7"/>
    <w:rsid w:val="00F2549F"/>
    <w:rsid w:val="00F25C2F"/>
    <w:rsid w:val="00F25E4B"/>
    <w:rsid w:val="00F25F5A"/>
    <w:rsid w:val="00F2650C"/>
    <w:rsid w:val="00F265F1"/>
    <w:rsid w:val="00F267F0"/>
    <w:rsid w:val="00F27018"/>
    <w:rsid w:val="00F2736E"/>
    <w:rsid w:val="00F2739E"/>
    <w:rsid w:val="00F27638"/>
    <w:rsid w:val="00F27814"/>
    <w:rsid w:val="00F27819"/>
    <w:rsid w:val="00F27D17"/>
    <w:rsid w:val="00F27FAD"/>
    <w:rsid w:val="00F302EA"/>
    <w:rsid w:val="00F304DC"/>
    <w:rsid w:val="00F30827"/>
    <w:rsid w:val="00F30C76"/>
    <w:rsid w:val="00F30DE3"/>
    <w:rsid w:val="00F30F2F"/>
    <w:rsid w:val="00F3123E"/>
    <w:rsid w:val="00F31549"/>
    <w:rsid w:val="00F31562"/>
    <w:rsid w:val="00F3178F"/>
    <w:rsid w:val="00F31AD5"/>
    <w:rsid w:val="00F31BEA"/>
    <w:rsid w:val="00F31BFC"/>
    <w:rsid w:val="00F32378"/>
    <w:rsid w:val="00F32392"/>
    <w:rsid w:val="00F328CB"/>
    <w:rsid w:val="00F32A70"/>
    <w:rsid w:val="00F33169"/>
    <w:rsid w:val="00F3365C"/>
    <w:rsid w:val="00F33808"/>
    <w:rsid w:val="00F33957"/>
    <w:rsid w:val="00F3399E"/>
    <w:rsid w:val="00F342E7"/>
    <w:rsid w:val="00F343B5"/>
    <w:rsid w:val="00F34754"/>
    <w:rsid w:val="00F347A1"/>
    <w:rsid w:val="00F34922"/>
    <w:rsid w:val="00F34FD9"/>
    <w:rsid w:val="00F353A4"/>
    <w:rsid w:val="00F353E3"/>
    <w:rsid w:val="00F358D2"/>
    <w:rsid w:val="00F359DE"/>
    <w:rsid w:val="00F35AE7"/>
    <w:rsid w:val="00F35B3B"/>
    <w:rsid w:val="00F361F1"/>
    <w:rsid w:val="00F36418"/>
    <w:rsid w:val="00F365B4"/>
    <w:rsid w:val="00F365B6"/>
    <w:rsid w:val="00F368BB"/>
    <w:rsid w:val="00F36C86"/>
    <w:rsid w:val="00F36CA6"/>
    <w:rsid w:val="00F36E14"/>
    <w:rsid w:val="00F37033"/>
    <w:rsid w:val="00F371A1"/>
    <w:rsid w:val="00F3723C"/>
    <w:rsid w:val="00F37457"/>
    <w:rsid w:val="00F3763F"/>
    <w:rsid w:val="00F376D5"/>
    <w:rsid w:val="00F37B64"/>
    <w:rsid w:val="00F37BC9"/>
    <w:rsid w:val="00F37DE4"/>
    <w:rsid w:val="00F4001D"/>
    <w:rsid w:val="00F40254"/>
    <w:rsid w:val="00F403AA"/>
    <w:rsid w:val="00F40660"/>
    <w:rsid w:val="00F40682"/>
    <w:rsid w:val="00F40835"/>
    <w:rsid w:val="00F409E5"/>
    <w:rsid w:val="00F415FF"/>
    <w:rsid w:val="00F416CF"/>
    <w:rsid w:val="00F41BDF"/>
    <w:rsid w:val="00F41C77"/>
    <w:rsid w:val="00F41F10"/>
    <w:rsid w:val="00F42812"/>
    <w:rsid w:val="00F42885"/>
    <w:rsid w:val="00F42AE8"/>
    <w:rsid w:val="00F42B88"/>
    <w:rsid w:val="00F42C92"/>
    <w:rsid w:val="00F42DC1"/>
    <w:rsid w:val="00F42F37"/>
    <w:rsid w:val="00F42FDB"/>
    <w:rsid w:val="00F430F8"/>
    <w:rsid w:val="00F432FF"/>
    <w:rsid w:val="00F43389"/>
    <w:rsid w:val="00F43511"/>
    <w:rsid w:val="00F4392B"/>
    <w:rsid w:val="00F43E1C"/>
    <w:rsid w:val="00F440EE"/>
    <w:rsid w:val="00F44410"/>
    <w:rsid w:val="00F4447C"/>
    <w:rsid w:val="00F44749"/>
    <w:rsid w:val="00F44A27"/>
    <w:rsid w:val="00F44AF6"/>
    <w:rsid w:val="00F44BDB"/>
    <w:rsid w:val="00F44D50"/>
    <w:rsid w:val="00F44DA7"/>
    <w:rsid w:val="00F45111"/>
    <w:rsid w:val="00F4555D"/>
    <w:rsid w:val="00F45914"/>
    <w:rsid w:val="00F45A1F"/>
    <w:rsid w:val="00F45C1B"/>
    <w:rsid w:val="00F45C8F"/>
    <w:rsid w:val="00F45D74"/>
    <w:rsid w:val="00F45F62"/>
    <w:rsid w:val="00F4616B"/>
    <w:rsid w:val="00F46309"/>
    <w:rsid w:val="00F46587"/>
    <w:rsid w:val="00F4678F"/>
    <w:rsid w:val="00F469F6"/>
    <w:rsid w:val="00F46ECA"/>
    <w:rsid w:val="00F472B7"/>
    <w:rsid w:val="00F47306"/>
    <w:rsid w:val="00F4741E"/>
    <w:rsid w:val="00F4749C"/>
    <w:rsid w:val="00F47601"/>
    <w:rsid w:val="00F4774F"/>
    <w:rsid w:val="00F47860"/>
    <w:rsid w:val="00F4798A"/>
    <w:rsid w:val="00F47A6E"/>
    <w:rsid w:val="00F47B74"/>
    <w:rsid w:val="00F47BC0"/>
    <w:rsid w:val="00F47DB1"/>
    <w:rsid w:val="00F47E36"/>
    <w:rsid w:val="00F47EF4"/>
    <w:rsid w:val="00F5016F"/>
    <w:rsid w:val="00F504E8"/>
    <w:rsid w:val="00F506B2"/>
    <w:rsid w:val="00F50926"/>
    <w:rsid w:val="00F50F6B"/>
    <w:rsid w:val="00F5142D"/>
    <w:rsid w:val="00F51606"/>
    <w:rsid w:val="00F519C9"/>
    <w:rsid w:val="00F519D9"/>
    <w:rsid w:val="00F51EA5"/>
    <w:rsid w:val="00F524A0"/>
    <w:rsid w:val="00F52580"/>
    <w:rsid w:val="00F52AA0"/>
    <w:rsid w:val="00F52D45"/>
    <w:rsid w:val="00F52DFF"/>
    <w:rsid w:val="00F53805"/>
    <w:rsid w:val="00F53882"/>
    <w:rsid w:val="00F540F7"/>
    <w:rsid w:val="00F54373"/>
    <w:rsid w:val="00F5564C"/>
    <w:rsid w:val="00F556F7"/>
    <w:rsid w:val="00F55954"/>
    <w:rsid w:val="00F561E5"/>
    <w:rsid w:val="00F56A3E"/>
    <w:rsid w:val="00F56A71"/>
    <w:rsid w:val="00F56A91"/>
    <w:rsid w:val="00F56A99"/>
    <w:rsid w:val="00F56C3F"/>
    <w:rsid w:val="00F56C6E"/>
    <w:rsid w:val="00F56D6D"/>
    <w:rsid w:val="00F56E26"/>
    <w:rsid w:val="00F56EA4"/>
    <w:rsid w:val="00F56EE3"/>
    <w:rsid w:val="00F5705F"/>
    <w:rsid w:val="00F572EE"/>
    <w:rsid w:val="00F5738C"/>
    <w:rsid w:val="00F573D5"/>
    <w:rsid w:val="00F57423"/>
    <w:rsid w:val="00F57768"/>
    <w:rsid w:val="00F5776D"/>
    <w:rsid w:val="00F5796B"/>
    <w:rsid w:val="00F57C73"/>
    <w:rsid w:val="00F57CED"/>
    <w:rsid w:val="00F60374"/>
    <w:rsid w:val="00F6038E"/>
    <w:rsid w:val="00F6056D"/>
    <w:rsid w:val="00F60AEF"/>
    <w:rsid w:val="00F60FFF"/>
    <w:rsid w:val="00F6114E"/>
    <w:rsid w:val="00F612D0"/>
    <w:rsid w:val="00F61661"/>
    <w:rsid w:val="00F61A7A"/>
    <w:rsid w:val="00F61A7C"/>
    <w:rsid w:val="00F61AEA"/>
    <w:rsid w:val="00F61E52"/>
    <w:rsid w:val="00F626C0"/>
    <w:rsid w:val="00F62882"/>
    <w:rsid w:val="00F62D0D"/>
    <w:rsid w:val="00F62FC9"/>
    <w:rsid w:val="00F6307E"/>
    <w:rsid w:val="00F63632"/>
    <w:rsid w:val="00F63647"/>
    <w:rsid w:val="00F63CEF"/>
    <w:rsid w:val="00F63F4D"/>
    <w:rsid w:val="00F63FAE"/>
    <w:rsid w:val="00F64028"/>
    <w:rsid w:val="00F6433D"/>
    <w:rsid w:val="00F645CE"/>
    <w:rsid w:val="00F6481A"/>
    <w:rsid w:val="00F648D7"/>
    <w:rsid w:val="00F6493A"/>
    <w:rsid w:val="00F64A36"/>
    <w:rsid w:val="00F64A78"/>
    <w:rsid w:val="00F64B19"/>
    <w:rsid w:val="00F65450"/>
    <w:rsid w:val="00F655C1"/>
    <w:rsid w:val="00F657D2"/>
    <w:rsid w:val="00F65B28"/>
    <w:rsid w:val="00F65D51"/>
    <w:rsid w:val="00F65F18"/>
    <w:rsid w:val="00F65F9D"/>
    <w:rsid w:val="00F65FE9"/>
    <w:rsid w:val="00F66079"/>
    <w:rsid w:val="00F668C9"/>
    <w:rsid w:val="00F66C05"/>
    <w:rsid w:val="00F66E96"/>
    <w:rsid w:val="00F66ECD"/>
    <w:rsid w:val="00F67025"/>
    <w:rsid w:val="00F671C1"/>
    <w:rsid w:val="00F67409"/>
    <w:rsid w:val="00F6785D"/>
    <w:rsid w:val="00F679A9"/>
    <w:rsid w:val="00F679B0"/>
    <w:rsid w:val="00F67BEE"/>
    <w:rsid w:val="00F67E5B"/>
    <w:rsid w:val="00F67F8F"/>
    <w:rsid w:val="00F70215"/>
    <w:rsid w:val="00F7026F"/>
    <w:rsid w:val="00F7046D"/>
    <w:rsid w:val="00F70AF5"/>
    <w:rsid w:val="00F70C7C"/>
    <w:rsid w:val="00F70DF2"/>
    <w:rsid w:val="00F71193"/>
    <w:rsid w:val="00F71BFC"/>
    <w:rsid w:val="00F71C3A"/>
    <w:rsid w:val="00F71C79"/>
    <w:rsid w:val="00F71D04"/>
    <w:rsid w:val="00F71FC5"/>
    <w:rsid w:val="00F72171"/>
    <w:rsid w:val="00F72229"/>
    <w:rsid w:val="00F722BD"/>
    <w:rsid w:val="00F727FD"/>
    <w:rsid w:val="00F729BF"/>
    <w:rsid w:val="00F7314E"/>
    <w:rsid w:val="00F736F5"/>
    <w:rsid w:val="00F7381B"/>
    <w:rsid w:val="00F73D82"/>
    <w:rsid w:val="00F73E79"/>
    <w:rsid w:val="00F74101"/>
    <w:rsid w:val="00F74111"/>
    <w:rsid w:val="00F74419"/>
    <w:rsid w:val="00F744BC"/>
    <w:rsid w:val="00F74566"/>
    <w:rsid w:val="00F74863"/>
    <w:rsid w:val="00F748C1"/>
    <w:rsid w:val="00F74A8F"/>
    <w:rsid w:val="00F74B06"/>
    <w:rsid w:val="00F74B4F"/>
    <w:rsid w:val="00F74B51"/>
    <w:rsid w:val="00F751C4"/>
    <w:rsid w:val="00F75289"/>
    <w:rsid w:val="00F752EB"/>
    <w:rsid w:val="00F7543F"/>
    <w:rsid w:val="00F7556E"/>
    <w:rsid w:val="00F75735"/>
    <w:rsid w:val="00F75F71"/>
    <w:rsid w:val="00F7635E"/>
    <w:rsid w:val="00F769B6"/>
    <w:rsid w:val="00F76B50"/>
    <w:rsid w:val="00F76B79"/>
    <w:rsid w:val="00F76CFB"/>
    <w:rsid w:val="00F76DD1"/>
    <w:rsid w:val="00F76E01"/>
    <w:rsid w:val="00F771D8"/>
    <w:rsid w:val="00F772B5"/>
    <w:rsid w:val="00F77421"/>
    <w:rsid w:val="00F77B1A"/>
    <w:rsid w:val="00F77BC3"/>
    <w:rsid w:val="00F77E75"/>
    <w:rsid w:val="00F80073"/>
    <w:rsid w:val="00F80273"/>
    <w:rsid w:val="00F808DC"/>
    <w:rsid w:val="00F80CD4"/>
    <w:rsid w:val="00F80E15"/>
    <w:rsid w:val="00F80E9C"/>
    <w:rsid w:val="00F80EB0"/>
    <w:rsid w:val="00F80FD1"/>
    <w:rsid w:val="00F80FE5"/>
    <w:rsid w:val="00F81216"/>
    <w:rsid w:val="00F81365"/>
    <w:rsid w:val="00F813B7"/>
    <w:rsid w:val="00F81408"/>
    <w:rsid w:val="00F81517"/>
    <w:rsid w:val="00F81BE4"/>
    <w:rsid w:val="00F82097"/>
    <w:rsid w:val="00F82BC4"/>
    <w:rsid w:val="00F82BE5"/>
    <w:rsid w:val="00F82D39"/>
    <w:rsid w:val="00F82D54"/>
    <w:rsid w:val="00F83106"/>
    <w:rsid w:val="00F8331E"/>
    <w:rsid w:val="00F834D6"/>
    <w:rsid w:val="00F835FF"/>
    <w:rsid w:val="00F83B0B"/>
    <w:rsid w:val="00F83E7E"/>
    <w:rsid w:val="00F842AE"/>
    <w:rsid w:val="00F843FB"/>
    <w:rsid w:val="00F84443"/>
    <w:rsid w:val="00F8481B"/>
    <w:rsid w:val="00F84B18"/>
    <w:rsid w:val="00F84B79"/>
    <w:rsid w:val="00F84C15"/>
    <w:rsid w:val="00F84D92"/>
    <w:rsid w:val="00F84EB6"/>
    <w:rsid w:val="00F84F8E"/>
    <w:rsid w:val="00F850B0"/>
    <w:rsid w:val="00F850E9"/>
    <w:rsid w:val="00F851C0"/>
    <w:rsid w:val="00F85572"/>
    <w:rsid w:val="00F85826"/>
    <w:rsid w:val="00F85B33"/>
    <w:rsid w:val="00F864B2"/>
    <w:rsid w:val="00F86754"/>
    <w:rsid w:val="00F86F17"/>
    <w:rsid w:val="00F8769B"/>
    <w:rsid w:val="00F879D4"/>
    <w:rsid w:val="00F87A53"/>
    <w:rsid w:val="00F90324"/>
    <w:rsid w:val="00F9036B"/>
    <w:rsid w:val="00F906CC"/>
    <w:rsid w:val="00F90E43"/>
    <w:rsid w:val="00F9105C"/>
    <w:rsid w:val="00F9119B"/>
    <w:rsid w:val="00F9127D"/>
    <w:rsid w:val="00F91437"/>
    <w:rsid w:val="00F91582"/>
    <w:rsid w:val="00F91630"/>
    <w:rsid w:val="00F91813"/>
    <w:rsid w:val="00F91839"/>
    <w:rsid w:val="00F9189E"/>
    <w:rsid w:val="00F919E9"/>
    <w:rsid w:val="00F91AEA"/>
    <w:rsid w:val="00F91FAB"/>
    <w:rsid w:val="00F920AF"/>
    <w:rsid w:val="00F927C6"/>
    <w:rsid w:val="00F92B0E"/>
    <w:rsid w:val="00F92E0F"/>
    <w:rsid w:val="00F93125"/>
    <w:rsid w:val="00F93148"/>
    <w:rsid w:val="00F931BC"/>
    <w:rsid w:val="00F931F1"/>
    <w:rsid w:val="00F93BC2"/>
    <w:rsid w:val="00F93CA0"/>
    <w:rsid w:val="00F93D98"/>
    <w:rsid w:val="00F93E0B"/>
    <w:rsid w:val="00F94C71"/>
    <w:rsid w:val="00F94DFA"/>
    <w:rsid w:val="00F95204"/>
    <w:rsid w:val="00F95223"/>
    <w:rsid w:val="00F9525A"/>
    <w:rsid w:val="00F95292"/>
    <w:rsid w:val="00F9557E"/>
    <w:rsid w:val="00F95874"/>
    <w:rsid w:val="00F95F8B"/>
    <w:rsid w:val="00F960DA"/>
    <w:rsid w:val="00F961AC"/>
    <w:rsid w:val="00F96853"/>
    <w:rsid w:val="00F96A7F"/>
    <w:rsid w:val="00F96D76"/>
    <w:rsid w:val="00F97189"/>
    <w:rsid w:val="00F977D3"/>
    <w:rsid w:val="00F97B4E"/>
    <w:rsid w:val="00F97F2E"/>
    <w:rsid w:val="00F97F4C"/>
    <w:rsid w:val="00FA0078"/>
    <w:rsid w:val="00FA0311"/>
    <w:rsid w:val="00FA0601"/>
    <w:rsid w:val="00FA068F"/>
    <w:rsid w:val="00FA0D61"/>
    <w:rsid w:val="00FA128A"/>
    <w:rsid w:val="00FA13E5"/>
    <w:rsid w:val="00FA1698"/>
    <w:rsid w:val="00FA16DA"/>
    <w:rsid w:val="00FA17D7"/>
    <w:rsid w:val="00FA17EC"/>
    <w:rsid w:val="00FA18D6"/>
    <w:rsid w:val="00FA1DBB"/>
    <w:rsid w:val="00FA23C7"/>
    <w:rsid w:val="00FA2413"/>
    <w:rsid w:val="00FA2858"/>
    <w:rsid w:val="00FA2AC1"/>
    <w:rsid w:val="00FA2C0B"/>
    <w:rsid w:val="00FA2ED5"/>
    <w:rsid w:val="00FA3261"/>
    <w:rsid w:val="00FA341D"/>
    <w:rsid w:val="00FA3459"/>
    <w:rsid w:val="00FA38BF"/>
    <w:rsid w:val="00FA3C8B"/>
    <w:rsid w:val="00FA420D"/>
    <w:rsid w:val="00FA4597"/>
    <w:rsid w:val="00FA46BB"/>
    <w:rsid w:val="00FA4D1A"/>
    <w:rsid w:val="00FA4D74"/>
    <w:rsid w:val="00FA4D84"/>
    <w:rsid w:val="00FA50BD"/>
    <w:rsid w:val="00FA544F"/>
    <w:rsid w:val="00FA5713"/>
    <w:rsid w:val="00FA5A37"/>
    <w:rsid w:val="00FA5A9E"/>
    <w:rsid w:val="00FA5C80"/>
    <w:rsid w:val="00FA5F1D"/>
    <w:rsid w:val="00FA608C"/>
    <w:rsid w:val="00FA6965"/>
    <w:rsid w:val="00FA6E17"/>
    <w:rsid w:val="00FA7060"/>
    <w:rsid w:val="00FA71F3"/>
    <w:rsid w:val="00FA745E"/>
    <w:rsid w:val="00FA76C5"/>
    <w:rsid w:val="00FA7A1C"/>
    <w:rsid w:val="00FA7C62"/>
    <w:rsid w:val="00FA7CA3"/>
    <w:rsid w:val="00FA7CE3"/>
    <w:rsid w:val="00FA7EFC"/>
    <w:rsid w:val="00FB0124"/>
    <w:rsid w:val="00FB03AB"/>
    <w:rsid w:val="00FB0620"/>
    <w:rsid w:val="00FB0729"/>
    <w:rsid w:val="00FB082C"/>
    <w:rsid w:val="00FB09A6"/>
    <w:rsid w:val="00FB0A30"/>
    <w:rsid w:val="00FB0D40"/>
    <w:rsid w:val="00FB1211"/>
    <w:rsid w:val="00FB1391"/>
    <w:rsid w:val="00FB15CF"/>
    <w:rsid w:val="00FB179A"/>
    <w:rsid w:val="00FB1AE7"/>
    <w:rsid w:val="00FB1C7C"/>
    <w:rsid w:val="00FB1D69"/>
    <w:rsid w:val="00FB1F1D"/>
    <w:rsid w:val="00FB25E6"/>
    <w:rsid w:val="00FB278B"/>
    <w:rsid w:val="00FB29F1"/>
    <w:rsid w:val="00FB3252"/>
    <w:rsid w:val="00FB347B"/>
    <w:rsid w:val="00FB3807"/>
    <w:rsid w:val="00FB3A8B"/>
    <w:rsid w:val="00FB3AAD"/>
    <w:rsid w:val="00FB3ADB"/>
    <w:rsid w:val="00FB3BF9"/>
    <w:rsid w:val="00FB3E58"/>
    <w:rsid w:val="00FB3F9D"/>
    <w:rsid w:val="00FB4223"/>
    <w:rsid w:val="00FB46D4"/>
    <w:rsid w:val="00FB48AD"/>
    <w:rsid w:val="00FB4F6E"/>
    <w:rsid w:val="00FB4FD5"/>
    <w:rsid w:val="00FB5106"/>
    <w:rsid w:val="00FB5273"/>
    <w:rsid w:val="00FB5513"/>
    <w:rsid w:val="00FB5672"/>
    <w:rsid w:val="00FB581F"/>
    <w:rsid w:val="00FB5F97"/>
    <w:rsid w:val="00FB6297"/>
    <w:rsid w:val="00FB695D"/>
    <w:rsid w:val="00FB6CB1"/>
    <w:rsid w:val="00FB72DB"/>
    <w:rsid w:val="00FB7438"/>
    <w:rsid w:val="00FB7481"/>
    <w:rsid w:val="00FB7D94"/>
    <w:rsid w:val="00FB7E6E"/>
    <w:rsid w:val="00FB7ED0"/>
    <w:rsid w:val="00FC00C0"/>
    <w:rsid w:val="00FC00FC"/>
    <w:rsid w:val="00FC0472"/>
    <w:rsid w:val="00FC06CD"/>
    <w:rsid w:val="00FC0A0F"/>
    <w:rsid w:val="00FC0A89"/>
    <w:rsid w:val="00FC0DFE"/>
    <w:rsid w:val="00FC0F87"/>
    <w:rsid w:val="00FC1C5F"/>
    <w:rsid w:val="00FC1D52"/>
    <w:rsid w:val="00FC1D54"/>
    <w:rsid w:val="00FC1E42"/>
    <w:rsid w:val="00FC20F3"/>
    <w:rsid w:val="00FC245A"/>
    <w:rsid w:val="00FC2561"/>
    <w:rsid w:val="00FC2612"/>
    <w:rsid w:val="00FC29E4"/>
    <w:rsid w:val="00FC2D56"/>
    <w:rsid w:val="00FC2DBC"/>
    <w:rsid w:val="00FC2E8A"/>
    <w:rsid w:val="00FC2EA6"/>
    <w:rsid w:val="00FC358A"/>
    <w:rsid w:val="00FC379E"/>
    <w:rsid w:val="00FC38A1"/>
    <w:rsid w:val="00FC3F6A"/>
    <w:rsid w:val="00FC418C"/>
    <w:rsid w:val="00FC490A"/>
    <w:rsid w:val="00FC4A81"/>
    <w:rsid w:val="00FC4C9E"/>
    <w:rsid w:val="00FC5296"/>
    <w:rsid w:val="00FC555C"/>
    <w:rsid w:val="00FC58D6"/>
    <w:rsid w:val="00FC58EB"/>
    <w:rsid w:val="00FC5C85"/>
    <w:rsid w:val="00FC5F95"/>
    <w:rsid w:val="00FC6025"/>
    <w:rsid w:val="00FC60F4"/>
    <w:rsid w:val="00FC634F"/>
    <w:rsid w:val="00FC6AD6"/>
    <w:rsid w:val="00FC6BD5"/>
    <w:rsid w:val="00FC6C8E"/>
    <w:rsid w:val="00FC6C9A"/>
    <w:rsid w:val="00FC6FE4"/>
    <w:rsid w:val="00FC7442"/>
    <w:rsid w:val="00FC7535"/>
    <w:rsid w:val="00FC795D"/>
    <w:rsid w:val="00FC79BC"/>
    <w:rsid w:val="00FD0126"/>
    <w:rsid w:val="00FD0172"/>
    <w:rsid w:val="00FD06CB"/>
    <w:rsid w:val="00FD0794"/>
    <w:rsid w:val="00FD08DF"/>
    <w:rsid w:val="00FD0AD0"/>
    <w:rsid w:val="00FD0AF4"/>
    <w:rsid w:val="00FD0BDC"/>
    <w:rsid w:val="00FD0E51"/>
    <w:rsid w:val="00FD126F"/>
    <w:rsid w:val="00FD17E4"/>
    <w:rsid w:val="00FD1B93"/>
    <w:rsid w:val="00FD1CFE"/>
    <w:rsid w:val="00FD2042"/>
    <w:rsid w:val="00FD2AED"/>
    <w:rsid w:val="00FD2B64"/>
    <w:rsid w:val="00FD2BA8"/>
    <w:rsid w:val="00FD312D"/>
    <w:rsid w:val="00FD340A"/>
    <w:rsid w:val="00FD3A5B"/>
    <w:rsid w:val="00FD3AF9"/>
    <w:rsid w:val="00FD3C87"/>
    <w:rsid w:val="00FD465F"/>
    <w:rsid w:val="00FD46D8"/>
    <w:rsid w:val="00FD4C13"/>
    <w:rsid w:val="00FD4E5F"/>
    <w:rsid w:val="00FD4EEF"/>
    <w:rsid w:val="00FD5172"/>
    <w:rsid w:val="00FD54A1"/>
    <w:rsid w:val="00FD5D63"/>
    <w:rsid w:val="00FD6978"/>
    <w:rsid w:val="00FD699F"/>
    <w:rsid w:val="00FD69C4"/>
    <w:rsid w:val="00FD6C4F"/>
    <w:rsid w:val="00FD6C86"/>
    <w:rsid w:val="00FD72E2"/>
    <w:rsid w:val="00FD7353"/>
    <w:rsid w:val="00FD75D9"/>
    <w:rsid w:val="00FD77B4"/>
    <w:rsid w:val="00FD77D7"/>
    <w:rsid w:val="00FD788D"/>
    <w:rsid w:val="00FD7AC1"/>
    <w:rsid w:val="00FD7D5B"/>
    <w:rsid w:val="00FD7EC9"/>
    <w:rsid w:val="00FE016E"/>
    <w:rsid w:val="00FE04F3"/>
    <w:rsid w:val="00FE0B97"/>
    <w:rsid w:val="00FE0BFB"/>
    <w:rsid w:val="00FE0FF4"/>
    <w:rsid w:val="00FE1007"/>
    <w:rsid w:val="00FE1082"/>
    <w:rsid w:val="00FE13D2"/>
    <w:rsid w:val="00FE15A8"/>
    <w:rsid w:val="00FE1678"/>
    <w:rsid w:val="00FE17E2"/>
    <w:rsid w:val="00FE1D7B"/>
    <w:rsid w:val="00FE2230"/>
    <w:rsid w:val="00FE25DD"/>
    <w:rsid w:val="00FE27A3"/>
    <w:rsid w:val="00FE28F3"/>
    <w:rsid w:val="00FE2956"/>
    <w:rsid w:val="00FE2ED2"/>
    <w:rsid w:val="00FE303F"/>
    <w:rsid w:val="00FE30AA"/>
    <w:rsid w:val="00FE3578"/>
    <w:rsid w:val="00FE3A41"/>
    <w:rsid w:val="00FE4104"/>
    <w:rsid w:val="00FE419B"/>
    <w:rsid w:val="00FE56E8"/>
    <w:rsid w:val="00FE5821"/>
    <w:rsid w:val="00FE5FD1"/>
    <w:rsid w:val="00FE5FD3"/>
    <w:rsid w:val="00FE6298"/>
    <w:rsid w:val="00FE6377"/>
    <w:rsid w:val="00FE662B"/>
    <w:rsid w:val="00FE69CC"/>
    <w:rsid w:val="00FE6F63"/>
    <w:rsid w:val="00FE726E"/>
    <w:rsid w:val="00FE74E9"/>
    <w:rsid w:val="00FE7624"/>
    <w:rsid w:val="00FE7B2B"/>
    <w:rsid w:val="00FE7B8F"/>
    <w:rsid w:val="00FE7BE0"/>
    <w:rsid w:val="00FE7FEC"/>
    <w:rsid w:val="00FF00A8"/>
    <w:rsid w:val="00FF0143"/>
    <w:rsid w:val="00FF0344"/>
    <w:rsid w:val="00FF0365"/>
    <w:rsid w:val="00FF0541"/>
    <w:rsid w:val="00FF0B27"/>
    <w:rsid w:val="00FF0C56"/>
    <w:rsid w:val="00FF0F42"/>
    <w:rsid w:val="00FF10A1"/>
    <w:rsid w:val="00FF10A8"/>
    <w:rsid w:val="00FF17B5"/>
    <w:rsid w:val="00FF19D7"/>
    <w:rsid w:val="00FF1F2B"/>
    <w:rsid w:val="00FF1FA5"/>
    <w:rsid w:val="00FF2178"/>
    <w:rsid w:val="00FF2303"/>
    <w:rsid w:val="00FF26FD"/>
    <w:rsid w:val="00FF2861"/>
    <w:rsid w:val="00FF28A8"/>
    <w:rsid w:val="00FF2C9B"/>
    <w:rsid w:val="00FF2F9C"/>
    <w:rsid w:val="00FF3669"/>
    <w:rsid w:val="00FF374E"/>
    <w:rsid w:val="00FF3963"/>
    <w:rsid w:val="00FF3A3E"/>
    <w:rsid w:val="00FF3D3D"/>
    <w:rsid w:val="00FF3F5A"/>
    <w:rsid w:val="00FF3FC1"/>
    <w:rsid w:val="00FF48FD"/>
    <w:rsid w:val="00FF4A9D"/>
    <w:rsid w:val="00FF4AEA"/>
    <w:rsid w:val="00FF4CD4"/>
    <w:rsid w:val="00FF5F66"/>
    <w:rsid w:val="00FF605F"/>
    <w:rsid w:val="00FF692D"/>
    <w:rsid w:val="00FF6939"/>
    <w:rsid w:val="00FF6B52"/>
    <w:rsid w:val="00FF6BA3"/>
    <w:rsid w:val="00FF7018"/>
    <w:rsid w:val="00FF74A5"/>
    <w:rsid w:val="00FF77C1"/>
    <w:rsid w:val="00FF79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4A7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2D59"/>
    <w:pPr>
      <w:widowControl w:val="0"/>
      <w:spacing w:line="264" w:lineRule="auto"/>
    </w:pPr>
    <w:rPr>
      <w:sz w:val="24"/>
      <w:szCs w:val="24"/>
    </w:rPr>
  </w:style>
  <w:style w:type="paragraph" w:styleId="Ttulo1">
    <w:name w:val="heading 1"/>
    <w:basedOn w:val="Normal"/>
    <w:next w:val="Corpodetexto"/>
    <w:link w:val="Ttulo1Char"/>
    <w:uiPriority w:val="99"/>
    <w:qFormat/>
    <w:rsid w:val="00E5561F"/>
    <w:pPr>
      <w:keepNext/>
      <w:keepLines/>
      <w:spacing w:after="120" w:line="400" w:lineRule="exact"/>
      <w:outlineLvl w:val="0"/>
    </w:pPr>
    <w:rPr>
      <w:rFonts w:ascii="Arial" w:hAnsi="Arial"/>
      <w:bCs/>
      <w:color w:val="00011F"/>
      <w:sz w:val="40"/>
      <w:szCs w:val="28"/>
    </w:rPr>
  </w:style>
  <w:style w:type="paragraph" w:styleId="Ttulo2">
    <w:name w:val="heading 2"/>
    <w:basedOn w:val="Normal"/>
    <w:next w:val="Corpodetexto"/>
    <w:link w:val="Ttulo2Char"/>
    <w:uiPriority w:val="99"/>
    <w:qFormat/>
    <w:rsid w:val="00E5561F"/>
    <w:pPr>
      <w:keepNext/>
      <w:keepLines/>
      <w:spacing w:after="60" w:line="360" w:lineRule="exact"/>
      <w:outlineLvl w:val="1"/>
    </w:pPr>
    <w:rPr>
      <w:rFonts w:ascii="Arial" w:hAnsi="Arial"/>
      <w:bCs/>
      <w:color w:val="A2978A"/>
      <w:sz w:val="36"/>
      <w:szCs w:val="26"/>
    </w:rPr>
  </w:style>
  <w:style w:type="paragraph" w:styleId="Ttulo3">
    <w:name w:val="heading 3"/>
    <w:basedOn w:val="Normal"/>
    <w:next w:val="Corpodetexto"/>
    <w:link w:val="Ttulo3Char"/>
    <w:uiPriority w:val="99"/>
    <w:qFormat/>
    <w:rsid w:val="00E5561F"/>
    <w:pPr>
      <w:keepNext/>
      <w:keepLines/>
      <w:spacing w:after="60" w:line="280" w:lineRule="exact"/>
      <w:outlineLvl w:val="2"/>
    </w:pPr>
    <w:rPr>
      <w:rFonts w:ascii="Arial" w:hAnsi="Arial"/>
      <w:bCs/>
      <w:color w:val="00011F"/>
      <w:sz w:val="28"/>
    </w:rPr>
  </w:style>
  <w:style w:type="paragraph" w:styleId="Ttulo4">
    <w:name w:val="heading 4"/>
    <w:basedOn w:val="Normal"/>
    <w:next w:val="Corpodetexto"/>
    <w:link w:val="Ttulo4Char"/>
    <w:uiPriority w:val="99"/>
    <w:qFormat/>
    <w:rsid w:val="00E5561F"/>
    <w:pPr>
      <w:keepNext/>
      <w:keepLines/>
      <w:spacing w:after="60" w:line="240" w:lineRule="exact"/>
      <w:outlineLvl w:val="3"/>
    </w:pPr>
    <w:rPr>
      <w:rFonts w:ascii="Arial" w:hAnsi="Arial"/>
      <w:bCs/>
      <w:iCs/>
      <w:color w:val="A2978A"/>
    </w:rPr>
  </w:style>
  <w:style w:type="paragraph" w:styleId="Ttulo5">
    <w:name w:val="heading 5"/>
    <w:basedOn w:val="Normal"/>
    <w:next w:val="Corpodetexto"/>
    <w:link w:val="Ttulo5Char"/>
    <w:uiPriority w:val="99"/>
    <w:qFormat/>
    <w:rsid w:val="00E5561F"/>
    <w:pPr>
      <w:keepNext/>
      <w:keepLines/>
      <w:spacing w:after="60" w:line="210" w:lineRule="exact"/>
      <w:outlineLvl w:val="4"/>
    </w:pPr>
    <w:rPr>
      <w:rFonts w:ascii="Arial" w:hAnsi="Arial"/>
      <w:color w:val="00011F"/>
    </w:rPr>
  </w:style>
  <w:style w:type="paragraph" w:styleId="Ttulo6">
    <w:name w:val="heading 6"/>
    <w:basedOn w:val="Normal"/>
    <w:next w:val="Corpodetexto"/>
    <w:link w:val="Ttulo6Char"/>
    <w:uiPriority w:val="99"/>
    <w:qFormat/>
    <w:rsid w:val="00E5561F"/>
    <w:pPr>
      <w:keepNext/>
      <w:keepLines/>
      <w:spacing w:after="60"/>
      <w:outlineLvl w:val="5"/>
    </w:pPr>
    <w:rPr>
      <w:rFonts w:ascii="Arial" w:hAnsi="Arial"/>
      <w:iCs/>
    </w:rPr>
  </w:style>
  <w:style w:type="paragraph" w:styleId="Ttulo7">
    <w:name w:val="heading 7"/>
    <w:basedOn w:val="Normal"/>
    <w:next w:val="Corpodetexto"/>
    <w:link w:val="Ttulo7Char"/>
    <w:uiPriority w:val="99"/>
    <w:qFormat/>
    <w:rsid w:val="00E5561F"/>
    <w:pPr>
      <w:keepNext/>
      <w:keepLines/>
      <w:spacing w:after="60"/>
      <w:outlineLvl w:val="6"/>
    </w:pPr>
    <w:rPr>
      <w:rFonts w:ascii="Arial" w:hAnsi="Arial"/>
      <w:iCs/>
    </w:rPr>
  </w:style>
  <w:style w:type="paragraph" w:styleId="Ttulo8">
    <w:name w:val="heading 8"/>
    <w:basedOn w:val="Normal"/>
    <w:next w:val="Corpodetexto"/>
    <w:link w:val="Ttulo8Char"/>
    <w:uiPriority w:val="99"/>
    <w:qFormat/>
    <w:rsid w:val="00E5561F"/>
    <w:pPr>
      <w:keepNext/>
      <w:keepLines/>
      <w:spacing w:after="60"/>
      <w:outlineLvl w:val="7"/>
    </w:pPr>
    <w:rPr>
      <w:rFonts w:ascii="Arial" w:hAnsi="Arial"/>
      <w:szCs w:val="20"/>
    </w:rPr>
  </w:style>
  <w:style w:type="paragraph" w:styleId="Ttulo9">
    <w:name w:val="heading 9"/>
    <w:basedOn w:val="Normal"/>
    <w:next w:val="Corpodetexto"/>
    <w:link w:val="Ttulo9Char"/>
    <w:uiPriority w:val="99"/>
    <w:qFormat/>
    <w:rsid w:val="00E5561F"/>
    <w:pPr>
      <w:keepNext/>
      <w:keepLines/>
      <w:spacing w:after="60"/>
      <w:outlineLvl w:val="8"/>
    </w:pPr>
    <w:rPr>
      <w:rFonts w:ascii="Arial" w:hAnsi="Arial"/>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5561F"/>
    <w:rPr>
      <w:rFonts w:ascii="Arial" w:hAnsi="Arial" w:cs="Times New Roman"/>
      <w:color w:val="00011F"/>
      <w:sz w:val="28"/>
      <w:lang w:val="pt-BR" w:eastAsia="pt-BR"/>
    </w:rPr>
  </w:style>
  <w:style w:type="character" w:customStyle="1" w:styleId="Ttulo2Char">
    <w:name w:val="Título 2 Char"/>
    <w:basedOn w:val="Fontepargpadro"/>
    <w:link w:val="Ttulo2"/>
    <w:uiPriority w:val="99"/>
    <w:locked/>
    <w:rsid w:val="00E5561F"/>
    <w:rPr>
      <w:rFonts w:ascii="Arial" w:hAnsi="Arial" w:cs="Times New Roman"/>
      <w:color w:val="A2978A"/>
      <w:sz w:val="26"/>
      <w:lang w:val="pt-BR" w:eastAsia="pt-BR"/>
    </w:rPr>
  </w:style>
  <w:style w:type="character" w:customStyle="1" w:styleId="Ttulo3Char">
    <w:name w:val="Título 3 Char"/>
    <w:basedOn w:val="Fontepargpadro"/>
    <w:link w:val="Ttulo3"/>
    <w:uiPriority w:val="99"/>
    <w:locked/>
    <w:rsid w:val="00E5561F"/>
    <w:rPr>
      <w:rFonts w:ascii="Arial" w:hAnsi="Arial" w:cs="Times New Roman"/>
      <w:color w:val="00011F"/>
      <w:sz w:val="24"/>
      <w:lang w:val="pt-BR" w:eastAsia="pt-BR"/>
    </w:rPr>
  </w:style>
  <w:style w:type="character" w:customStyle="1" w:styleId="Ttulo4Char">
    <w:name w:val="Título 4 Char"/>
    <w:basedOn w:val="Fontepargpadro"/>
    <w:link w:val="Ttulo4"/>
    <w:uiPriority w:val="99"/>
    <w:locked/>
    <w:rsid w:val="00E5561F"/>
    <w:rPr>
      <w:rFonts w:ascii="Arial" w:hAnsi="Arial" w:cs="Times New Roman"/>
      <w:color w:val="A2978A"/>
      <w:sz w:val="24"/>
      <w:lang w:val="pt-BR" w:eastAsia="pt-BR"/>
    </w:rPr>
  </w:style>
  <w:style w:type="character" w:customStyle="1" w:styleId="Ttulo5Char">
    <w:name w:val="Título 5 Char"/>
    <w:basedOn w:val="Fontepargpadro"/>
    <w:link w:val="Ttulo5"/>
    <w:uiPriority w:val="99"/>
    <w:semiHidden/>
    <w:locked/>
    <w:rsid w:val="00E5561F"/>
    <w:rPr>
      <w:rFonts w:ascii="Arial" w:hAnsi="Arial" w:cs="Times New Roman"/>
      <w:color w:val="00011F"/>
      <w:sz w:val="24"/>
      <w:lang w:val="pt-BR" w:eastAsia="pt-BR"/>
    </w:rPr>
  </w:style>
  <w:style w:type="character" w:customStyle="1" w:styleId="Ttulo6Char">
    <w:name w:val="Título 6 Char"/>
    <w:basedOn w:val="Fontepargpadro"/>
    <w:link w:val="Ttulo6"/>
    <w:uiPriority w:val="99"/>
    <w:semiHidden/>
    <w:locked/>
    <w:rsid w:val="00E5561F"/>
    <w:rPr>
      <w:rFonts w:ascii="Arial" w:hAnsi="Arial" w:cs="Times New Roman"/>
      <w:sz w:val="24"/>
      <w:lang w:val="pt-BR" w:eastAsia="pt-BR"/>
    </w:rPr>
  </w:style>
  <w:style w:type="character" w:customStyle="1" w:styleId="Ttulo7Char">
    <w:name w:val="Título 7 Char"/>
    <w:basedOn w:val="Fontepargpadro"/>
    <w:link w:val="Ttulo7"/>
    <w:uiPriority w:val="99"/>
    <w:semiHidden/>
    <w:locked/>
    <w:rsid w:val="00E5561F"/>
    <w:rPr>
      <w:rFonts w:ascii="Arial" w:hAnsi="Arial" w:cs="Times New Roman"/>
      <w:sz w:val="24"/>
      <w:lang w:val="pt-BR" w:eastAsia="pt-BR"/>
    </w:rPr>
  </w:style>
  <w:style w:type="character" w:customStyle="1" w:styleId="Ttulo8Char">
    <w:name w:val="Título 8 Char"/>
    <w:basedOn w:val="Fontepargpadro"/>
    <w:link w:val="Ttulo8"/>
    <w:uiPriority w:val="99"/>
    <w:semiHidden/>
    <w:locked/>
    <w:rsid w:val="00E5561F"/>
    <w:rPr>
      <w:rFonts w:ascii="Arial" w:hAnsi="Arial" w:cs="Times New Roman"/>
      <w:sz w:val="24"/>
      <w:lang w:val="pt-BR" w:eastAsia="pt-BR"/>
    </w:rPr>
  </w:style>
  <w:style w:type="character" w:customStyle="1" w:styleId="Ttulo9Char">
    <w:name w:val="Título 9 Char"/>
    <w:basedOn w:val="Fontepargpadro"/>
    <w:link w:val="Ttulo9"/>
    <w:uiPriority w:val="99"/>
    <w:semiHidden/>
    <w:locked/>
    <w:rsid w:val="00E5561F"/>
    <w:rPr>
      <w:rFonts w:ascii="Arial" w:hAnsi="Arial" w:cs="Times New Roman"/>
      <w:sz w:val="24"/>
      <w:lang w:val="pt-BR" w:eastAsia="pt-BR"/>
    </w:rPr>
  </w:style>
  <w:style w:type="paragraph" w:styleId="Corpodetexto">
    <w:name w:val="Body Text"/>
    <w:basedOn w:val="Normal"/>
    <w:link w:val="CorpodetextoChar"/>
    <w:uiPriority w:val="99"/>
    <w:rsid w:val="00E5561F"/>
  </w:style>
  <w:style w:type="character" w:customStyle="1" w:styleId="CorpodetextoChar">
    <w:name w:val="Corpo de texto Char"/>
    <w:basedOn w:val="Fontepargpadro"/>
    <w:link w:val="Corpodetexto"/>
    <w:uiPriority w:val="99"/>
    <w:locked/>
    <w:rsid w:val="00E5561F"/>
    <w:rPr>
      <w:rFonts w:cs="Times New Roman"/>
      <w:sz w:val="24"/>
      <w:lang w:val="pt-BR" w:eastAsia="pt-BR"/>
    </w:rPr>
  </w:style>
  <w:style w:type="paragraph" w:customStyle="1" w:styleId="CabealhodoSumrio1">
    <w:name w:val="Cabeçalho do Sumário1"/>
    <w:basedOn w:val="Ttulo1"/>
    <w:next w:val="Corpodetexto"/>
    <w:uiPriority w:val="99"/>
    <w:rsid w:val="00E5561F"/>
    <w:pPr>
      <w:spacing w:before="480" w:after="0" w:line="276" w:lineRule="auto"/>
      <w:outlineLvl w:val="9"/>
    </w:pPr>
  </w:style>
  <w:style w:type="paragraph" w:styleId="Ttulo">
    <w:name w:val="Title"/>
    <w:basedOn w:val="Normal"/>
    <w:next w:val="Subttulo"/>
    <w:link w:val="TtuloChar"/>
    <w:uiPriority w:val="99"/>
    <w:qFormat/>
    <w:rsid w:val="00E5561F"/>
    <w:pPr>
      <w:pageBreakBefore/>
    </w:pPr>
    <w:rPr>
      <w:rFonts w:ascii="Arial" w:hAnsi="Arial"/>
      <w:color w:val="00011F"/>
      <w:spacing w:val="5"/>
      <w:kern w:val="28"/>
      <w:sz w:val="72"/>
      <w:szCs w:val="52"/>
    </w:rPr>
  </w:style>
  <w:style w:type="character" w:customStyle="1" w:styleId="TtuloChar">
    <w:name w:val="Título Char"/>
    <w:basedOn w:val="Fontepargpadro"/>
    <w:link w:val="Ttulo"/>
    <w:uiPriority w:val="99"/>
    <w:locked/>
    <w:rsid w:val="00E5561F"/>
    <w:rPr>
      <w:rFonts w:ascii="Arial" w:hAnsi="Arial" w:cs="Times New Roman"/>
      <w:color w:val="00011F"/>
      <w:spacing w:val="5"/>
      <w:kern w:val="28"/>
      <w:sz w:val="52"/>
      <w:lang w:val="pt-BR" w:eastAsia="pt-BR"/>
    </w:rPr>
  </w:style>
  <w:style w:type="paragraph" w:styleId="Subttulo">
    <w:name w:val="Subtitle"/>
    <w:basedOn w:val="Normal"/>
    <w:next w:val="Corpodetexto"/>
    <w:link w:val="SubttuloChar"/>
    <w:uiPriority w:val="99"/>
    <w:qFormat/>
    <w:rsid w:val="00E5561F"/>
    <w:pPr>
      <w:numPr>
        <w:ilvl w:val="1"/>
      </w:numPr>
    </w:pPr>
    <w:rPr>
      <w:rFonts w:ascii="Arial" w:hAnsi="Arial"/>
      <w:iCs/>
      <w:color w:val="A2978A"/>
      <w:sz w:val="36"/>
    </w:rPr>
  </w:style>
  <w:style w:type="character" w:customStyle="1" w:styleId="SubttuloChar">
    <w:name w:val="Subtítulo Char"/>
    <w:basedOn w:val="Fontepargpadro"/>
    <w:link w:val="Subttulo"/>
    <w:uiPriority w:val="99"/>
    <w:locked/>
    <w:rsid w:val="00E5561F"/>
    <w:rPr>
      <w:rFonts w:ascii="Arial" w:hAnsi="Arial" w:cs="Times New Roman"/>
      <w:color w:val="A2978A"/>
      <w:sz w:val="24"/>
      <w:lang w:val="pt-BR" w:eastAsia="pt-BR"/>
    </w:rPr>
  </w:style>
  <w:style w:type="paragraph" w:styleId="Legenda">
    <w:name w:val="caption"/>
    <w:basedOn w:val="Normal"/>
    <w:next w:val="Normal"/>
    <w:uiPriority w:val="99"/>
    <w:qFormat/>
    <w:rsid w:val="00E5561F"/>
    <w:rPr>
      <w:b/>
      <w:bCs/>
      <w:sz w:val="18"/>
      <w:szCs w:val="18"/>
    </w:rPr>
  </w:style>
  <w:style w:type="paragraph" w:styleId="Textoembloco">
    <w:name w:val="Block Text"/>
    <w:basedOn w:val="Normal"/>
    <w:uiPriority w:val="99"/>
    <w:rsid w:val="00E5561F"/>
    <w:pPr>
      <w:pBdr>
        <w:top w:val="single" w:sz="2" w:space="10" w:color="auto"/>
        <w:left w:val="single" w:sz="2" w:space="10" w:color="auto"/>
        <w:bottom w:val="single" w:sz="2" w:space="10" w:color="auto"/>
        <w:right w:val="single" w:sz="2" w:space="10" w:color="auto"/>
      </w:pBdr>
      <w:ind w:left="1152" w:right="1152"/>
    </w:pPr>
    <w:rPr>
      <w:i/>
      <w:iCs/>
      <w:sz w:val="22"/>
      <w:szCs w:val="22"/>
    </w:rPr>
  </w:style>
  <w:style w:type="character" w:customStyle="1" w:styleId="nfaseIntensa1">
    <w:name w:val="Ênfase Intensa1"/>
    <w:uiPriority w:val="99"/>
    <w:rsid w:val="00E5561F"/>
    <w:rPr>
      <w:b/>
      <w:i/>
      <w:color w:val="auto"/>
      <w:u w:val="none"/>
    </w:rPr>
  </w:style>
  <w:style w:type="paragraph" w:customStyle="1" w:styleId="CitaoIntensa1">
    <w:name w:val="Citação Intensa1"/>
    <w:basedOn w:val="Normal"/>
    <w:next w:val="Normal"/>
    <w:link w:val="IntenseQuoteChar"/>
    <w:uiPriority w:val="99"/>
    <w:rsid w:val="00E5561F"/>
    <w:pPr>
      <w:pBdr>
        <w:bottom w:val="single" w:sz="4" w:space="4" w:color="auto"/>
      </w:pBdr>
      <w:ind w:left="936" w:right="936"/>
    </w:pPr>
    <w:rPr>
      <w:b/>
      <w:i/>
      <w:sz w:val="22"/>
      <w:szCs w:val="20"/>
    </w:rPr>
  </w:style>
  <w:style w:type="character" w:customStyle="1" w:styleId="IntenseQuoteChar">
    <w:name w:val="Intense Quote Char"/>
    <w:link w:val="CitaoIntensa1"/>
    <w:uiPriority w:val="99"/>
    <w:semiHidden/>
    <w:locked/>
    <w:rsid w:val="00E5561F"/>
    <w:rPr>
      <w:b/>
      <w:i/>
      <w:sz w:val="22"/>
      <w:lang w:val="pt-BR" w:eastAsia="pt-BR"/>
    </w:rPr>
  </w:style>
  <w:style w:type="character" w:customStyle="1" w:styleId="RefernciaIntensa1">
    <w:name w:val="Referência Intensa1"/>
    <w:uiPriority w:val="99"/>
    <w:rsid w:val="00E5561F"/>
    <w:rPr>
      <w:b/>
      <w:smallCaps/>
      <w:color w:val="auto"/>
      <w:spacing w:val="5"/>
      <w:u w:val="none"/>
    </w:rPr>
  </w:style>
  <w:style w:type="character" w:customStyle="1" w:styleId="nfaseSutil1">
    <w:name w:val="Ênfase Sutil1"/>
    <w:uiPriority w:val="99"/>
    <w:rsid w:val="00E5561F"/>
    <w:rPr>
      <w:i/>
      <w:color w:val="auto"/>
      <w:u w:val="none"/>
    </w:rPr>
  </w:style>
  <w:style w:type="character" w:customStyle="1" w:styleId="RefernciaSutil1">
    <w:name w:val="Referência Sutil1"/>
    <w:uiPriority w:val="99"/>
    <w:rsid w:val="00E5561F"/>
    <w:rPr>
      <w:smallCaps/>
      <w:color w:val="auto"/>
      <w:u w:val="single"/>
    </w:rPr>
  </w:style>
  <w:style w:type="paragraph" w:styleId="Commarcadores">
    <w:name w:val="List Bullet"/>
    <w:basedOn w:val="Normal"/>
    <w:uiPriority w:val="99"/>
    <w:rsid w:val="00E5561F"/>
    <w:pPr>
      <w:numPr>
        <w:numId w:val="2"/>
      </w:numPr>
    </w:pPr>
  </w:style>
  <w:style w:type="paragraph" w:styleId="Commarcadores2">
    <w:name w:val="List Bullet 2"/>
    <w:basedOn w:val="Normal"/>
    <w:uiPriority w:val="99"/>
    <w:rsid w:val="00E5561F"/>
    <w:pPr>
      <w:numPr>
        <w:ilvl w:val="1"/>
        <w:numId w:val="2"/>
      </w:numPr>
    </w:pPr>
  </w:style>
  <w:style w:type="paragraph" w:styleId="Commarcadores3">
    <w:name w:val="List Bullet 3"/>
    <w:basedOn w:val="Normal"/>
    <w:uiPriority w:val="99"/>
    <w:rsid w:val="00E5561F"/>
    <w:pPr>
      <w:numPr>
        <w:ilvl w:val="2"/>
        <w:numId w:val="2"/>
      </w:numPr>
    </w:pPr>
  </w:style>
  <w:style w:type="table" w:styleId="Tabelacomgrade">
    <w:name w:val="Table Grid"/>
    <w:basedOn w:val="Tabelanormal"/>
    <w:rsid w:val="00E5561F"/>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basedOn w:val="Fontepargpadro"/>
    <w:uiPriority w:val="99"/>
    <w:qFormat/>
    <w:rsid w:val="00E5561F"/>
    <w:rPr>
      <w:rFonts w:cs="Times New Roman"/>
      <w:b/>
    </w:rPr>
  </w:style>
  <w:style w:type="paragraph" w:styleId="Numerada">
    <w:name w:val="List Number"/>
    <w:basedOn w:val="Normal"/>
    <w:uiPriority w:val="99"/>
    <w:rsid w:val="00E5561F"/>
    <w:pPr>
      <w:numPr>
        <w:numId w:val="3"/>
      </w:numPr>
    </w:pPr>
  </w:style>
  <w:style w:type="paragraph" w:customStyle="1" w:styleId="BodySingle">
    <w:name w:val="Body Single"/>
    <w:basedOn w:val="Corpodetexto"/>
    <w:link w:val="BodySingleChar"/>
    <w:uiPriority w:val="99"/>
    <w:rsid w:val="00E5561F"/>
  </w:style>
  <w:style w:type="character" w:customStyle="1" w:styleId="BodySingleChar">
    <w:name w:val="Body Single Char"/>
    <w:basedOn w:val="CorpodetextoChar"/>
    <w:link w:val="BodySingle"/>
    <w:uiPriority w:val="99"/>
    <w:locked/>
    <w:rsid w:val="00E5561F"/>
    <w:rPr>
      <w:rFonts w:cs="Times New Roman"/>
      <w:sz w:val="24"/>
      <w:szCs w:val="24"/>
      <w:lang w:val="pt-BR" w:eastAsia="pt-BR" w:bidi="ar-SA"/>
    </w:rPr>
  </w:style>
  <w:style w:type="paragraph" w:customStyle="1" w:styleId="PargrafodaLista1">
    <w:name w:val="Parágrafo da Lista1"/>
    <w:basedOn w:val="Normal"/>
    <w:uiPriority w:val="99"/>
    <w:rsid w:val="00E5561F"/>
    <w:pPr>
      <w:ind w:left="720"/>
      <w:contextualSpacing/>
    </w:pPr>
  </w:style>
  <w:style w:type="paragraph" w:styleId="Cabealho">
    <w:name w:val="header"/>
    <w:basedOn w:val="Normal"/>
    <w:link w:val="CabealhoChar"/>
    <w:uiPriority w:val="99"/>
    <w:rsid w:val="00E5561F"/>
    <w:pPr>
      <w:tabs>
        <w:tab w:val="center" w:pos="4513"/>
        <w:tab w:val="right" w:pos="9026"/>
      </w:tabs>
      <w:spacing w:line="240" w:lineRule="auto"/>
    </w:pPr>
  </w:style>
  <w:style w:type="character" w:customStyle="1" w:styleId="CabealhoChar">
    <w:name w:val="Cabeçalho Char"/>
    <w:basedOn w:val="Fontepargpadro"/>
    <w:link w:val="Cabealho"/>
    <w:uiPriority w:val="99"/>
    <w:semiHidden/>
    <w:locked/>
    <w:rsid w:val="00E5561F"/>
    <w:rPr>
      <w:rFonts w:cs="Times New Roman"/>
      <w:sz w:val="24"/>
      <w:lang w:val="pt-BR" w:eastAsia="pt-BR"/>
    </w:rPr>
  </w:style>
  <w:style w:type="paragraph" w:styleId="Rodap">
    <w:name w:val="footer"/>
    <w:basedOn w:val="Normal"/>
    <w:link w:val="RodapChar"/>
    <w:uiPriority w:val="99"/>
    <w:rsid w:val="00E5561F"/>
    <w:pPr>
      <w:tabs>
        <w:tab w:val="center" w:pos="4513"/>
        <w:tab w:val="right" w:pos="9026"/>
      </w:tabs>
      <w:spacing w:line="240" w:lineRule="auto"/>
    </w:pPr>
  </w:style>
  <w:style w:type="character" w:customStyle="1" w:styleId="RodapChar">
    <w:name w:val="Rodapé Char"/>
    <w:basedOn w:val="Fontepargpadro"/>
    <w:link w:val="Rodap"/>
    <w:uiPriority w:val="99"/>
    <w:locked/>
    <w:rsid w:val="00E5561F"/>
    <w:rPr>
      <w:rFonts w:cs="Times New Roman"/>
      <w:sz w:val="24"/>
      <w:lang w:val="pt-BR" w:eastAsia="pt-BR"/>
    </w:rPr>
  </w:style>
  <w:style w:type="table" w:customStyle="1" w:styleId="LightShading-Accent21">
    <w:name w:val="Light Shading - Accent 21"/>
    <w:uiPriority w:val="99"/>
    <w:rsid w:val="00E5561F"/>
    <w:rPr>
      <w:rFonts w:ascii="Arial" w:hAnsi="Arial"/>
      <w:color w:val="83756D"/>
      <w:sz w:val="20"/>
      <w:szCs w:val="20"/>
    </w:rPr>
    <w:tblPr>
      <w:tblStyleRowBandSize w:val="1"/>
      <w:tblStyleColBandSize w:val="1"/>
      <w:tblInd w:w="0" w:type="dxa"/>
      <w:tblBorders>
        <w:top w:val="single" w:sz="8" w:space="0" w:color="AA9F98"/>
        <w:bottom w:val="single" w:sz="8" w:space="0" w:color="AA9F98"/>
      </w:tblBorders>
      <w:tblCellMar>
        <w:top w:w="0" w:type="dxa"/>
        <w:left w:w="108" w:type="dxa"/>
        <w:bottom w:w="0" w:type="dxa"/>
        <w:right w:w="108" w:type="dxa"/>
      </w:tblCellMar>
    </w:tblPr>
  </w:style>
  <w:style w:type="table" w:customStyle="1" w:styleId="MediumShading1-Accent41">
    <w:name w:val="Medium Shading 1 - Accent 41"/>
    <w:uiPriority w:val="99"/>
    <w:rsid w:val="00E5561F"/>
    <w:rPr>
      <w:rFonts w:ascii="Arial" w:hAnsi="Arial"/>
      <w:sz w:val="20"/>
      <w:szCs w:val="20"/>
    </w:rPr>
    <w:tblPr>
      <w:tblStyleRowBandSize w:val="1"/>
      <w:tblStyleColBandSize w:val="1"/>
      <w:tblInd w:w="0" w:type="dxa"/>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style>
  <w:style w:type="table" w:customStyle="1" w:styleId="MediumShading11">
    <w:name w:val="Medium Shading 11"/>
    <w:uiPriority w:val="99"/>
    <w:rsid w:val="00E5561F"/>
    <w:rPr>
      <w:rFonts w:ascii="Arial" w:hAnsi="Arial"/>
      <w:sz w:val="16"/>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E5561F"/>
    <w:rPr>
      <w:rFonts w:ascii="Arial" w:hAnsi="Arial"/>
      <w:sz w:val="20"/>
      <w:szCs w:val="20"/>
    </w:rPr>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E5561F"/>
    <w:rPr>
      <w:rFonts w:ascii="Arial" w:hAnsi="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E5561F"/>
    <w:rPr>
      <w:rFonts w:ascii="Arial" w:hAnsi="Arial"/>
      <w:sz w:val="20"/>
      <w:szCs w:val="20"/>
    </w:rPr>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Ttulo1"/>
    <w:next w:val="Corpodetexto"/>
    <w:uiPriority w:val="99"/>
    <w:rsid w:val="00E5561F"/>
    <w:pPr>
      <w:pageBreakBefore/>
      <w:framePr w:w="10478" w:wrap="notBeside" w:vAnchor="page" w:hAnchor="margin" w:y="1135"/>
      <w:spacing w:line="720" w:lineRule="exact"/>
    </w:pPr>
    <w:rPr>
      <w:sz w:val="72"/>
    </w:rPr>
  </w:style>
  <w:style w:type="paragraph" w:customStyle="1" w:styleId="Logo">
    <w:name w:val="Logo"/>
    <w:basedOn w:val="Normal"/>
    <w:next w:val="Corpodetexto"/>
    <w:uiPriority w:val="99"/>
    <w:rsid w:val="00E5561F"/>
    <w:pPr>
      <w:spacing w:line="204" w:lineRule="auto"/>
      <w:jc w:val="right"/>
    </w:pPr>
    <w:rPr>
      <w:rFonts w:ascii="PwC_Logo" w:hAnsi="PwC_Logo"/>
      <w:color w:val="00011F"/>
      <w:sz w:val="48"/>
      <w:szCs w:val="48"/>
    </w:rPr>
  </w:style>
  <w:style w:type="paragraph" w:styleId="Numerada2">
    <w:name w:val="List Number 2"/>
    <w:basedOn w:val="Normal"/>
    <w:uiPriority w:val="99"/>
    <w:rsid w:val="00E5561F"/>
    <w:pPr>
      <w:numPr>
        <w:ilvl w:val="1"/>
        <w:numId w:val="3"/>
      </w:numPr>
    </w:pPr>
  </w:style>
  <w:style w:type="paragraph" w:styleId="Numerada3">
    <w:name w:val="List Number 3"/>
    <w:basedOn w:val="Normal"/>
    <w:uiPriority w:val="99"/>
    <w:rsid w:val="00E5561F"/>
    <w:pPr>
      <w:numPr>
        <w:ilvl w:val="2"/>
        <w:numId w:val="3"/>
      </w:numPr>
    </w:pPr>
  </w:style>
  <w:style w:type="table" w:customStyle="1" w:styleId="PwCTable1">
    <w:name w:val="PwC Table 1"/>
    <w:uiPriority w:val="99"/>
    <w:rsid w:val="00E5561F"/>
    <w:rPr>
      <w:rFonts w:ascii="Arial" w:hAnsi="Arial"/>
      <w:sz w:val="18"/>
      <w:szCs w:val="20"/>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Commarcadores4">
    <w:name w:val="List Bullet 4"/>
    <w:basedOn w:val="Normal"/>
    <w:uiPriority w:val="99"/>
    <w:semiHidden/>
    <w:rsid w:val="00E5561F"/>
    <w:pPr>
      <w:numPr>
        <w:ilvl w:val="3"/>
        <w:numId w:val="2"/>
      </w:numPr>
    </w:pPr>
  </w:style>
  <w:style w:type="paragraph" w:styleId="Listadecontinuao">
    <w:name w:val="List Continue"/>
    <w:basedOn w:val="Normal"/>
    <w:uiPriority w:val="99"/>
    <w:rsid w:val="00E5561F"/>
    <w:pPr>
      <w:ind w:left="397"/>
    </w:pPr>
  </w:style>
  <w:style w:type="paragraph" w:styleId="Listadecontinuao2">
    <w:name w:val="List Continue 2"/>
    <w:basedOn w:val="Normal"/>
    <w:uiPriority w:val="99"/>
    <w:rsid w:val="00E5561F"/>
    <w:pPr>
      <w:ind w:left="794"/>
    </w:pPr>
  </w:style>
  <w:style w:type="paragraph" w:styleId="Lista3">
    <w:name w:val="List 3"/>
    <w:basedOn w:val="Normal"/>
    <w:uiPriority w:val="99"/>
    <w:rsid w:val="00E5561F"/>
    <w:pPr>
      <w:ind w:left="1191" w:hanging="397"/>
    </w:pPr>
  </w:style>
  <w:style w:type="paragraph" w:styleId="Lista4">
    <w:name w:val="List 4"/>
    <w:basedOn w:val="Normal"/>
    <w:uiPriority w:val="99"/>
    <w:semiHidden/>
    <w:rsid w:val="00E5561F"/>
    <w:pPr>
      <w:ind w:left="1588" w:hanging="397"/>
    </w:pPr>
  </w:style>
  <w:style w:type="paragraph" w:styleId="Lista5">
    <w:name w:val="List 5"/>
    <w:basedOn w:val="Normal"/>
    <w:uiPriority w:val="99"/>
    <w:semiHidden/>
    <w:rsid w:val="00E5561F"/>
    <w:pPr>
      <w:ind w:left="1985" w:hanging="397"/>
    </w:pPr>
  </w:style>
  <w:style w:type="paragraph" w:styleId="Listadecontinuao3">
    <w:name w:val="List Continue 3"/>
    <w:basedOn w:val="Normal"/>
    <w:uiPriority w:val="99"/>
    <w:rsid w:val="00E5561F"/>
    <w:pPr>
      <w:ind w:left="1191"/>
    </w:pPr>
  </w:style>
  <w:style w:type="paragraph" w:styleId="Listadecontinuao4">
    <w:name w:val="List Continue 4"/>
    <w:basedOn w:val="Normal"/>
    <w:uiPriority w:val="99"/>
    <w:semiHidden/>
    <w:rsid w:val="00E5561F"/>
    <w:pPr>
      <w:ind w:left="1588"/>
    </w:pPr>
  </w:style>
  <w:style w:type="paragraph" w:styleId="Listadecontinuao5">
    <w:name w:val="List Continue 5"/>
    <w:basedOn w:val="Normal"/>
    <w:uiPriority w:val="99"/>
    <w:semiHidden/>
    <w:rsid w:val="00E5561F"/>
    <w:pPr>
      <w:ind w:left="1985"/>
    </w:pPr>
  </w:style>
  <w:style w:type="paragraph" w:styleId="Numerada4">
    <w:name w:val="List Number 4"/>
    <w:basedOn w:val="Normal"/>
    <w:uiPriority w:val="99"/>
    <w:semiHidden/>
    <w:rsid w:val="00E5561F"/>
    <w:pPr>
      <w:numPr>
        <w:ilvl w:val="3"/>
        <w:numId w:val="3"/>
      </w:numPr>
    </w:pPr>
  </w:style>
  <w:style w:type="paragraph" w:styleId="Numerada5">
    <w:name w:val="List Number 5"/>
    <w:basedOn w:val="Normal"/>
    <w:uiPriority w:val="99"/>
    <w:semiHidden/>
    <w:rsid w:val="00E5561F"/>
    <w:pPr>
      <w:numPr>
        <w:ilvl w:val="4"/>
        <w:numId w:val="3"/>
      </w:numPr>
    </w:pPr>
  </w:style>
  <w:style w:type="paragraph" w:styleId="Commarcadores5">
    <w:name w:val="List Bullet 5"/>
    <w:basedOn w:val="Normal"/>
    <w:uiPriority w:val="99"/>
    <w:semiHidden/>
    <w:rsid w:val="00E5561F"/>
    <w:pPr>
      <w:numPr>
        <w:ilvl w:val="4"/>
        <w:numId w:val="2"/>
      </w:numPr>
    </w:pPr>
  </w:style>
  <w:style w:type="paragraph" w:styleId="Lista2">
    <w:name w:val="List 2"/>
    <w:basedOn w:val="Normal"/>
    <w:uiPriority w:val="99"/>
    <w:rsid w:val="00E5561F"/>
    <w:pPr>
      <w:ind w:left="794" w:hanging="397"/>
    </w:pPr>
  </w:style>
  <w:style w:type="paragraph" w:styleId="Lista">
    <w:name w:val="List"/>
    <w:basedOn w:val="Normal"/>
    <w:uiPriority w:val="99"/>
    <w:rsid w:val="00E5561F"/>
    <w:pPr>
      <w:ind w:left="397" w:hanging="397"/>
    </w:pPr>
  </w:style>
  <w:style w:type="character" w:styleId="Nmerodepgina">
    <w:name w:val="page number"/>
    <w:basedOn w:val="Fontepargpadro"/>
    <w:uiPriority w:val="99"/>
    <w:rsid w:val="00E5561F"/>
    <w:rPr>
      <w:rFonts w:cs="Times New Roman"/>
    </w:rPr>
  </w:style>
  <w:style w:type="paragraph" w:styleId="TextosemFormatao">
    <w:name w:val="Plain Text"/>
    <w:basedOn w:val="Normal"/>
    <w:link w:val="TextosemFormataoChar"/>
    <w:uiPriority w:val="99"/>
    <w:rsid w:val="00E5561F"/>
    <w:pPr>
      <w:widowControl/>
      <w:spacing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E5561F"/>
    <w:rPr>
      <w:rFonts w:ascii="Courier New" w:hAnsi="Courier New" w:cs="Times New Roman"/>
      <w:lang w:val="pt-BR" w:eastAsia="pt-BR"/>
    </w:rPr>
  </w:style>
  <w:style w:type="paragraph" w:styleId="Recuodecorpodetexto">
    <w:name w:val="Body Text Indent"/>
    <w:basedOn w:val="Normal"/>
    <w:link w:val="RecuodecorpodetextoChar"/>
    <w:uiPriority w:val="99"/>
    <w:rsid w:val="00E5561F"/>
    <w:pPr>
      <w:spacing w:after="120"/>
      <w:ind w:left="283"/>
    </w:pPr>
  </w:style>
  <w:style w:type="character" w:customStyle="1" w:styleId="RecuodecorpodetextoChar">
    <w:name w:val="Recuo de corpo de texto Char"/>
    <w:basedOn w:val="Fontepargpadro"/>
    <w:link w:val="Recuodecorpodetexto"/>
    <w:uiPriority w:val="99"/>
    <w:semiHidden/>
    <w:locked/>
    <w:rsid w:val="00E5561F"/>
    <w:rPr>
      <w:rFonts w:cs="Times New Roman"/>
      <w:sz w:val="24"/>
      <w:lang w:val="pt-BR" w:eastAsia="pt-BR"/>
    </w:rPr>
  </w:style>
  <w:style w:type="paragraph" w:customStyle="1" w:styleId="CharChar1CharCharCharCharCharCharCharCharCharCharCharCharChar">
    <w:name w:val="Char Char1 Char Char Char Char Char Char Char Char Char Char Char Char Char"/>
    <w:basedOn w:val="Normal"/>
    <w:uiPriority w:val="99"/>
    <w:rsid w:val="00E5561F"/>
    <w:pPr>
      <w:widowControl/>
      <w:spacing w:after="160" w:line="240" w:lineRule="exact"/>
    </w:pPr>
    <w:rPr>
      <w:rFonts w:ascii="Verdana" w:eastAsia="SimSun" w:hAnsi="Verdana"/>
      <w:sz w:val="20"/>
      <w:szCs w:val="20"/>
      <w:lang w:val="en-US" w:eastAsia="en-US"/>
    </w:rPr>
  </w:style>
  <w:style w:type="paragraph" w:styleId="Corpodetexto2">
    <w:name w:val="Body Text 2"/>
    <w:basedOn w:val="Normal"/>
    <w:link w:val="Corpodetexto2Char"/>
    <w:uiPriority w:val="99"/>
    <w:rsid w:val="00E5561F"/>
    <w:pPr>
      <w:widowControl/>
      <w:spacing w:before="120" w:after="120" w:line="240" w:lineRule="auto"/>
      <w:ind w:firstLine="1440"/>
      <w:jc w:val="both"/>
    </w:pPr>
    <w:rPr>
      <w:rFonts w:ascii="Arial MT" w:hAnsi="Arial MT"/>
      <w:sz w:val="23"/>
      <w:szCs w:val="20"/>
    </w:rPr>
  </w:style>
  <w:style w:type="character" w:customStyle="1" w:styleId="Corpodetexto2Char">
    <w:name w:val="Corpo de texto 2 Char"/>
    <w:basedOn w:val="Fontepargpadro"/>
    <w:link w:val="Corpodetexto2"/>
    <w:uiPriority w:val="99"/>
    <w:locked/>
    <w:rsid w:val="00E5561F"/>
    <w:rPr>
      <w:rFonts w:ascii="Arial MT" w:hAnsi="Arial MT" w:cs="Times New Roman"/>
      <w:sz w:val="23"/>
      <w:lang w:val="pt-BR" w:eastAsia="pt-BR"/>
    </w:rPr>
  </w:style>
  <w:style w:type="paragraph" w:customStyle="1" w:styleId="LinhaTabela">
    <w:name w:val="Linha Tabela"/>
    <w:uiPriority w:val="99"/>
    <w:rsid w:val="00E5561F"/>
    <w:rPr>
      <w:rFonts w:ascii="Arial MT" w:hAnsi="Arial MT"/>
      <w:sz w:val="23"/>
      <w:szCs w:val="20"/>
    </w:rPr>
  </w:style>
  <w:style w:type="paragraph" w:styleId="Corpodetexto3">
    <w:name w:val="Body Text 3"/>
    <w:basedOn w:val="Normal"/>
    <w:link w:val="Corpodetexto3Char"/>
    <w:uiPriority w:val="99"/>
    <w:rsid w:val="00E5561F"/>
    <w:pPr>
      <w:widowControl/>
      <w:spacing w:line="240" w:lineRule="auto"/>
      <w:jc w:val="both"/>
    </w:pPr>
    <w:rPr>
      <w:rFonts w:ascii="Arial" w:hAnsi="Arial"/>
      <w:i/>
      <w:szCs w:val="20"/>
    </w:rPr>
  </w:style>
  <w:style w:type="character" w:customStyle="1" w:styleId="Corpodetexto3Char">
    <w:name w:val="Corpo de texto 3 Char"/>
    <w:basedOn w:val="Fontepargpadro"/>
    <w:link w:val="Corpodetexto3"/>
    <w:uiPriority w:val="99"/>
    <w:locked/>
    <w:rsid w:val="00E5561F"/>
    <w:rPr>
      <w:rFonts w:ascii="Arial" w:hAnsi="Arial" w:cs="Times New Roman"/>
      <w:i/>
      <w:sz w:val="24"/>
      <w:lang w:val="pt-BR" w:eastAsia="pt-BR"/>
    </w:rPr>
  </w:style>
  <w:style w:type="paragraph" w:styleId="Recuodecorpodetexto2">
    <w:name w:val="Body Text Indent 2"/>
    <w:basedOn w:val="Normal"/>
    <w:link w:val="Recuodecorpodetexto2Char"/>
    <w:uiPriority w:val="99"/>
    <w:rsid w:val="00E5561F"/>
    <w:pPr>
      <w:widowControl/>
      <w:tabs>
        <w:tab w:val="left" w:pos="284"/>
      </w:tabs>
      <w:spacing w:line="240" w:lineRule="auto"/>
      <w:ind w:left="284" w:hanging="284"/>
      <w:jc w:val="both"/>
    </w:pPr>
    <w:rPr>
      <w:rFonts w:ascii="Arial" w:hAnsi="Arial"/>
      <w:szCs w:val="20"/>
    </w:rPr>
  </w:style>
  <w:style w:type="character" w:customStyle="1" w:styleId="Recuodecorpodetexto2Char">
    <w:name w:val="Recuo de corpo de texto 2 Char"/>
    <w:basedOn w:val="Fontepargpadro"/>
    <w:link w:val="Recuodecorpodetexto2"/>
    <w:uiPriority w:val="99"/>
    <w:locked/>
    <w:rsid w:val="00E5561F"/>
    <w:rPr>
      <w:rFonts w:ascii="Arial" w:hAnsi="Arial" w:cs="Times New Roman"/>
      <w:sz w:val="24"/>
      <w:lang w:val="pt-BR" w:eastAsia="pt-BR"/>
    </w:rPr>
  </w:style>
  <w:style w:type="paragraph" w:styleId="MapadoDocumento">
    <w:name w:val="Document Map"/>
    <w:basedOn w:val="Normal"/>
    <w:link w:val="MapadoDocumentoChar"/>
    <w:uiPriority w:val="99"/>
    <w:semiHidden/>
    <w:rsid w:val="00E5561F"/>
    <w:pPr>
      <w:widowControl/>
      <w:shd w:val="clear" w:color="auto" w:fill="000080"/>
      <w:spacing w:after="240" w:line="240" w:lineRule="auto"/>
      <w:jc w:val="both"/>
    </w:pPr>
    <w:rPr>
      <w:rFonts w:ascii="Tahoma" w:hAnsi="Tahoma"/>
      <w:sz w:val="22"/>
      <w:szCs w:val="20"/>
    </w:rPr>
  </w:style>
  <w:style w:type="character" w:customStyle="1" w:styleId="MapadoDocumentoChar">
    <w:name w:val="Mapa do Documento Char"/>
    <w:basedOn w:val="Fontepargpadro"/>
    <w:link w:val="MapadoDocumento"/>
    <w:uiPriority w:val="99"/>
    <w:semiHidden/>
    <w:locked/>
    <w:rsid w:val="00E5561F"/>
    <w:rPr>
      <w:rFonts w:ascii="Tahoma" w:hAnsi="Tahoma" w:cs="Times New Roman"/>
      <w:sz w:val="22"/>
      <w:lang w:val="pt-BR" w:eastAsia="pt-BR"/>
    </w:rPr>
  </w:style>
  <w:style w:type="paragraph" w:styleId="Recuodecorpodetexto3">
    <w:name w:val="Body Text Indent 3"/>
    <w:basedOn w:val="Normal"/>
    <w:link w:val="Recuodecorpodetexto3Char"/>
    <w:uiPriority w:val="99"/>
    <w:rsid w:val="00E5561F"/>
    <w:pPr>
      <w:widowControl/>
      <w:spacing w:line="240" w:lineRule="auto"/>
      <w:ind w:left="426"/>
      <w:jc w:val="both"/>
    </w:pPr>
    <w:rPr>
      <w:rFonts w:ascii="Arial" w:hAnsi="Arial"/>
      <w:szCs w:val="20"/>
    </w:rPr>
  </w:style>
  <w:style w:type="character" w:customStyle="1" w:styleId="Recuodecorpodetexto3Char">
    <w:name w:val="Recuo de corpo de texto 3 Char"/>
    <w:basedOn w:val="Fontepargpadro"/>
    <w:link w:val="Recuodecorpodetexto3"/>
    <w:uiPriority w:val="99"/>
    <w:locked/>
    <w:rsid w:val="00E5561F"/>
    <w:rPr>
      <w:rFonts w:ascii="Arial" w:hAnsi="Arial" w:cs="Times New Roman"/>
      <w:sz w:val="24"/>
      <w:lang w:val="pt-BR" w:eastAsia="pt-BR"/>
    </w:rPr>
  </w:style>
  <w:style w:type="paragraph" w:styleId="NormalWeb">
    <w:name w:val="Normal (Web)"/>
    <w:basedOn w:val="Normal"/>
    <w:link w:val="NormalWebChar"/>
    <w:uiPriority w:val="99"/>
    <w:rsid w:val="00E5561F"/>
    <w:pPr>
      <w:widowControl/>
      <w:spacing w:before="100" w:beforeAutospacing="1" w:after="100" w:afterAutospacing="1" w:line="240" w:lineRule="auto"/>
    </w:pPr>
    <w:rPr>
      <w:szCs w:val="20"/>
    </w:rPr>
  </w:style>
  <w:style w:type="paragraph" w:customStyle="1" w:styleId="texto2">
    <w:name w:val="texto2"/>
    <w:basedOn w:val="Normal"/>
    <w:uiPriority w:val="99"/>
    <w:rsid w:val="00E5561F"/>
    <w:pPr>
      <w:widowControl/>
      <w:spacing w:before="100" w:beforeAutospacing="1" w:after="100" w:afterAutospacing="1" w:line="240" w:lineRule="auto"/>
    </w:pPr>
  </w:style>
  <w:style w:type="paragraph" w:customStyle="1" w:styleId="CharCharCharCharCharChar">
    <w:name w:val="Char Char Char Char Char Char"/>
    <w:basedOn w:val="Normal"/>
    <w:uiPriority w:val="99"/>
    <w:rsid w:val="00E5561F"/>
    <w:pPr>
      <w:widowControl/>
      <w:spacing w:after="160" w:line="240" w:lineRule="exact"/>
    </w:pPr>
    <w:rPr>
      <w:rFonts w:ascii="Verdana" w:hAnsi="Verdana"/>
      <w:sz w:val="20"/>
      <w:szCs w:val="20"/>
      <w:lang w:val="en-US" w:eastAsia="en-US"/>
    </w:rPr>
  </w:style>
  <w:style w:type="character" w:customStyle="1" w:styleId="luisfh">
    <w:name w:val="luisfh"/>
    <w:uiPriority w:val="99"/>
    <w:semiHidden/>
    <w:rsid w:val="00E5561F"/>
    <w:rPr>
      <w:rFonts w:ascii="Arial" w:hAnsi="Arial"/>
      <w:color w:val="000080"/>
      <w:sz w:val="20"/>
    </w:rPr>
  </w:style>
  <w:style w:type="paragraph" w:customStyle="1" w:styleId="BodyText21">
    <w:name w:val="Body Text 21"/>
    <w:basedOn w:val="Normal"/>
    <w:uiPriority w:val="99"/>
    <w:rsid w:val="00E5561F"/>
    <w:pPr>
      <w:widowControl/>
      <w:spacing w:line="240" w:lineRule="auto"/>
    </w:pPr>
    <w:rPr>
      <w:szCs w:val="20"/>
    </w:rPr>
  </w:style>
  <w:style w:type="paragraph" w:customStyle="1" w:styleId="default">
    <w:name w:val="default"/>
    <w:basedOn w:val="Normal"/>
    <w:uiPriority w:val="99"/>
    <w:rsid w:val="00E5561F"/>
    <w:pPr>
      <w:widowControl/>
      <w:autoSpaceDE w:val="0"/>
      <w:autoSpaceDN w:val="0"/>
      <w:spacing w:line="240" w:lineRule="auto"/>
    </w:pPr>
    <w:rPr>
      <w:color w:val="000000"/>
    </w:rPr>
  </w:style>
  <w:style w:type="paragraph" w:customStyle="1" w:styleId="Texto">
    <w:name w:val="Texto"/>
    <w:basedOn w:val="Normal"/>
    <w:uiPriority w:val="99"/>
    <w:rsid w:val="00E5561F"/>
    <w:pPr>
      <w:spacing w:line="240" w:lineRule="auto"/>
      <w:jc w:val="both"/>
    </w:pPr>
    <w:rPr>
      <w:rFonts w:ascii="Arial" w:hAnsi="Arial"/>
      <w:szCs w:val="20"/>
    </w:rPr>
  </w:style>
  <w:style w:type="table" w:customStyle="1" w:styleId="TableGrid1">
    <w:name w:val="Table Grid1"/>
    <w:uiPriority w:val="99"/>
    <w:rsid w:val="00E556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1Char"/>
    <w:uiPriority w:val="99"/>
    <w:rsid w:val="00E5561F"/>
    <w:pPr>
      <w:spacing w:after="240" w:line="228" w:lineRule="auto"/>
      <w:ind w:left="460"/>
      <w:jc w:val="both"/>
    </w:pPr>
    <w:rPr>
      <w:szCs w:val="20"/>
    </w:rPr>
  </w:style>
  <w:style w:type="paragraph" w:customStyle="1" w:styleId="CharCharChar">
    <w:name w:val="Char Char Char"/>
    <w:basedOn w:val="Normal"/>
    <w:uiPriority w:val="99"/>
    <w:rsid w:val="00E5561F"/>
    <w:pPr>
      <w:widowControl/>
      <w:spacing w:after="160" w:line="240" w:lineRule="exact"/>
    </w:pPr>
    <w:rPr>
      <w:szCs w:val="20"/>
    </w:rPr>
  </w:style>
  <w:style w:type="paragraph" w:styleId="Textodenotadefim">
    <w:name w:val="endnote text"/>
    <w:basedOn w:val="Normal"/>
    <w:link w:val="TextodenotadefimChar"/>
    <w:uiPriority w:val="99"/>
    <w:semiHidden/>
    <w:rsid w:val="00E5561F"/>
    <w:pPr>
      <w:spacing w:line="240" w:lineRule="auto"/>
    </w:pPr>
    <w:rPr>
      <w:szCs w:val="20"/>
      <w:lang w:eastAsia="en-US"/>
    </w:rPr>
  </w:style>
  <w:style w:type="character" w:customStyle="1" w:styleId="TextodenotadefimChar">
    <w:name w:val="Texto de nota de fim Char"/>
    <w:basedOn w:val="Fontepargpadro"/>
    <w:link w:val="Textodenotadefim"/>
    <w:uiPriority w:val="99"/>
    <w:semiHidden/>
    <w:locked/>
    <w:rsid w:val="00BB794B"/>
    <w:rPr>
      <w:rFonts w:cs="Times New Roman"/>
      <w:sz w:val="20"/>
      <w:szCs w:val="20"/>
    </w:rPr>
  </w:style>
  <w:style w:type="paragraph" w:styleId="Textodebalo">
    <w:name w:val="Balloon Text"/>
    <w:basedOn w:val="Normal"/>
    <w:link w:val="TextodebaloChar"/>
    <w:uiPriority w:val="99"/>
    <w:semiHidden/>
    <w:rsid w:val="00E5561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561F"/>
    <w:rPr>
      <w:rFonts w:ascii="Tahoma" w:hAnsi="Tahoma" w:cs="Times New Roman"/>
      <w:sz w:val="16"/>
      <w:lang w:val="pt-BR" w:eastAsia="pt-BR"/>
    </w:rPr>
  </w:style>
  <w:style w:type="character" w:customStyle="1" w:styleId="Normal1Char">
    <w:name w:val="Normal1 Char"/>
    <w:link w:val="Normal1"/>
    <w:uiPriority w:val="99"/>
    <w:locked/>
    <w:rsid w:val="00E5561F"/>
    <w:rPr>
      <w:sz w:val="24"/>
      <w:lang w:val="pt-BR" w:eastAsia="pt-BR"/>
    </w:rPr>
  </w:style>
  <w:style w:type="character" w:customStyle="1" w:styleId="NormalWebChar">
    <w:name w:val="Normal (Web) Char"/>
    <w:link w:val="NormalWeb"/>
    <w:uiPriority w:val="99"/>
    <w:locked/>
    <w:rsid w:val="00E5561F"/>
    <w:rPr>
      <w:sz w:val="24"/>
      <w:lang w:val="pt-BR" w:eastAsia="pt-BR"/>
    </w:rPr>
  </w:style>
  <w:style w:type="character" w:styleId="nfase">
    <w:name w:val="Emphasis"/>
    <w:basedOn w:val="Fontepargpadro"/>
    <w:uiPriority w:val="99"/>
    <w:qFormat/>
    <w:rsid w:val="00992335"/>
    <w:rPr>
      <w:rFonts w:cs="Times New Roman"/>
      <w:i/>
    </w:rPr>
  </w:style>
  <w:style w:type="paragraph" w:styleId="Textodenotaderodap">
    <w:name w:val="footnote text"/>
    <w:basedOn w:val="Normal"/>
    <w:link w:val="TextodenotaderodapChar"/>
    <w:uiPriority w:val="99"/>
    <w:rsid w:val="00D01680"/>
    <w:pPr>
      <w:widowControl/>
      <w:spacing w:line="240" w:lineRule="auto"/>
    </w:pPr>
    <w:rPr>
      <w:rFonts w:eastAsia="SimSun"/>
      <w:sz w:val="20"/>
      <w:szCs w:val="20"/>
      <w:lang w:val="en-GB" w:eastAsia="zh-CN"/>
    </w:rPr>
  </w:style>
  <w:style w:type="character" w:customStyle="1" w:styleId="TextodenotaderodapChar">
    <w:name w:val="Texto de nota de rodapé Char"/>
    <w:basedOn w:val="Fontepargpadro"/>
    <w:link w:val="Textodenotaderodap"/>
    <w:uiPriority w:val="99"/>
    <w:locked/>
    <w:rsid w:val="00D01680"/>
    <w:rPr>
      <w:rFonts w:eastAsia="SimSun" w:cs="Times New Roman"/>
      <w:lang w:val="en-GB" w:eastAsia="zh-CN"/>
    </w:rPr>
  </w:style>
  <w:style w:type="character" w:styleId="Refdenotaderodap">
    <w:name w:val="footnote reference"/>
    <w:basedOn w:val="Fontepargpadro"/>
    <w:uiPriority w:val="99"/>
    <w:rsid w:val="00D01680"/>
    <w:rPr>
      <w:rFonts w:cs="Times New Roman"/>
      <w:vertAlign w:val="superscript"/>
    </w:rPr>
  </w:style>
  <w:style w:type="character" w:styleId="Hyperlink">
    <w:name w:val="Hyperlink"/>
    <w:basedOn w:val="Fontepargpadro"/>
    <w:uiPriority w:val="99"/>
    <w:rsid w:val="00013CD1"/>
    <w:rPr>
      <w:rFonts w:cs="Times New Roman"/>
      <w:color w:val="0000FF"/>
      <w:u w:val="single"/>
    </w:rPr>
  </w:style>
  <w:style w:type="character" w:styleId="HiperlinkVisitado">
    <w:name w:val="FollowedHyperlink"/>
    <w:basedOn w:val="Fontepargpadro"/>
    <w:uiPriority w:val="99"/>
    <w:rsid w:val="00AB7CB8"/>
    <w:rPr>
      <w:rFonts w:cs="Times New Roman"/>
      <w:color w:val="800080"/>
      <w:u w:val="single"/>
    </w:rPr>
  </w:style>
  <w:style w:type="character" w:styleId="Refdecomentrio">
    <w:name w:val="annotation reference"/>
    <w:basedOn w:val="Fontepargpadro"/>
    <w:uiPriority w:val="99"/>
    <w:rsid w:val="0021215C"/>
    <w:rPr>
      <w:rFonts w:cs="Times New Roman"/>
      <w:sz w:val="16"/>
    </w:rPr>
  </w:style>
  <w:style w:type="paragraph" w:styleId="Textodecomentrio">
    <w:name w:val="annotation text"/>
    <w:basedOn w:val="Normal"/>
    <w:link w:val="TextodecomentrioChar"/>
    <w:uiPriority w:val="99"/>
    <w:rsid w:val="0021215C"/>
    <w:rPr>
      <w:sz w:val="20"/>
      <w:szCs w:val="20"/>
    </w:rPr>
  </w:style>
  <w:style w:type="character" w:customStyle="1" w:styleId="TextodecomentrioChar">
    <w:name w:val="Texto de comentário Char"/>
    <w:basedOn w:val="Fontepargpadro"/>
    <w:link w:val="Textodecomentrio"/>
    <w:uiPriority w:val="99"/>
    <w:locked/>
    <w:rsid w:val="0021215C"/>
    <w:rPr>
      <w:rFonts w:cs="Times New Roman"/>
    </w:rPr>
  </w:style>
  <w:style w:type="paragraph" w:styleId="Assuntodocomentrio">
    <w:name w:val="annotation subject"/>
    <w:basedOn w:val="Textodecomentrio"/>
    <w:next w:val="Textodecomentrio"/>
    <w:link w:val="AssuntodocomentrioChar"/>
    <w:uiPriority w:val="99"/>
    <w:rsid w:val="0021215C"/>
    <w:rPr>
      <w:b/>
      <w:bCs/>
    </w:rPr>
  </w:style>
  <w:style w:type="character" w:customStyle="1" w:styleId="AssuntodocomentrioChar">
    <w:name w:val="Assunto do comentário Char"/>
    <w:basedOn w:val="TextodecomentrioChar"/>
    <w:link w:val="Assuntodocomentrio"/>
    <w:uiPriority w:val="99"/>
    <w:locked/>
    <w:rsid w:val="0021215C"/>
    <w:rPr>
      <w:rFonts w:cs="Times New Roman"/>
      <w:b/>
    </w:rPr>
  </w:style>
  <w:style w:type="paragraph" w:customStyle="1" w:styleId="Marcador">
    <w:name w:val="Marcador"/>
    <w:basedOn w:val="Normal"/>
    <w:uiPriority w:val="99"/>
    <w:rsid w:val="00D3530D"/>
    <w:pPr>
      <w:numPr>
        <w:numId w:val="1"/>
      </w:numPr>
      <w:tabs>
        <w:tab w:val="clear" w:pos="360"/>
        <w:tab w:val="num" w:pos="720"/>
      </w:tabs>
      <w:spacing w:after="120" w:line="240" w:lineRule="auto"/>
      <w:ind w:left="720"/>
      <w:jc w:val="both"/>
    </w:pPr>
    <w:rPr>
      <w:rFonts w:ascii="Arial" w:hAnsi="Arial"/>
      <w:noProof/>
      <w:color w:val="00469D"/>
    </w:rPr>
  </w:style>
  <w:style w:type="paragraph" w:customStyle="1" w:styleId="textonovo">
    <w:name w:val="texto novo"/>
    <w:basedOn w:val="Normal"/>
    <w:uiPriority w:val="99"/>
    <w:rsid w:val="00D3530D"/>
    <w:pPr>
      <w:widowControl/>
      <w:spacing w:after="120" w:line="240" w:lineRule="auto"/>
      <w:jc w:val="both"/>
    </w:pPr>
    <w:rPr>
      <w:rFonts w:ascii="Arial" w:hAnsi="Arial" w:cs="Arial"/>
      <w:noProof/>
      <w:color w:val="00469D"/>
      <w:szCs w:val="20"/>
    </w:rPr>
  </w:style>
  <w:style w:type="character" w:customStyle="1" w:styleId="charchar4">
    <w:name w:val="charchar4"/>
    <w:uiPriority w:val="99"/>
    <w:rsid w:val="00627B82"/>
  </w:style>
  <w:style w:type="paragraph" w:styleId="PargrafodaLista">
    <w:name w:val="List Paragraph"/>
    <w:basedOn w:val="Normal"/>
    <w:link w:val="PargrafodaListaChar"/>
    <w:uiPriority w:val="34"/>
    <w:qFormat/>
    <w:rsid w:val="00077C3B"/>
    <w:pPr>
      <w:ind w:left="720"/>
      <w:contextualSpacing/>
    </w:pPr>
  </w:style>
  <w:style w:type="character" w:customStyle="1" w:styleId="normalwebchar0">
    <w:name w:val="normalwebchar"/>
    <w:uiPriority w:val="99"/>
    <w:rsid w:val="00213DBF"/>
  </w:style>
  <w:style w:type="numbering" w:customStyle="1" w:styleId="PwCListNumbers1">
    <w:name w:val="PwC List Numbers 1"/>
    <w:rsid w:val="00462D99"/>
    <w:pPr>
      <w:numPr>
        <w:numId w:val="3"/>
      </w:numPr>
    </w:pPr>
  </w:style>
  <w:style w:type="numbering" w:customStyle="1" w:styleId="EstiloCommarcadoresSymbolsmboloAzulesquerda063cm">
    <w:name w:val="Estilo Com marcadores Symbol (símbolo) Azul À esquerda:  063 cm..."/>
    <w:rsid w:val="00462D99"/>
    <w:pPr>
      <w:numPr>
        <w:numId w:val="6"/>
      </w:numPr>
    </w:pPr>
  </w:style>
  <w:style w:type="numbering" w:customStyle="1" w:styleId="PwCListBullets1">
    <w:name w:val="PwC List Bullets 1"/>
    <w:rsid w:val="00462D99"/>
    <w:pPr>
      <w:numPr>
        <w:numId w:val="2"/>
      </w:numPr>
    </w:pPr>
  </w:style>
  <w:style w:type="paragraph" w:customStyle="1" w:styleId="Default0">
    <w:name w:val="Default"/>
    <w:link w:val="DefaultChar"/>
    <w:rsid w:val="00F44410"/>
    <w:pPr>
      <w:autoSpaceDE w:val="0"/>
      <w:autoSpaceDN w:val="0"/>
      <w:adjustRightInd w:val="0"/>
    </w:pPr>
    <w:rPr>
      <w:rFonts w:eastAsiaTheme="minorHAnsi"/>
      <w:color w:val="000000"/>
      <w:sz w:val="24"/>
      <w:szCs w:val="24"/>
      <w:lang w:eastAsia="en-US"/>
    </w:rPr>
  </w:style>
  <w:style w:type="character" w:customStyle="1" w:styleId="DefaultChar">
    <w:name w:val="Default Char"/>
    <w:basedOn w:val="Fontepargpadro"/>
    <w:link w:val="Default0"/>
    <w:locked/>
    <w:rsid w:val="00F44410"/>
    <w:rPr>
      <w:rFonts w:eastAsiaTheme="minorHAnsi"/>
      <w:color w:val="000000"/>
      <w:sz w:val="24"/>
      <w:szCs w:val="24"/>
      <w:lang w:eastAsia="en-US"/>
    </w:rPr>
  </w:style>
  <w:style w:type="paragraph" w:customStyle="1" w:styleId="Bodycopy">
    <w:name w:val="Body copy"/>
    <w:rsid w:val="00472453"/>
    <w:pPr>
      <w:spacing w:before="20" w:line="210" w:lineRule="exact"/>
    </w:pPr>
    <w:rPr>
      <w:rFonts w:ascii="Arial" w:eastAsia="PMingLiU" w:hAnsi="Arial" w:cs="Arial"/>
      <w:color w:val="000000"/>
      <w:sz w:val="17"/>
      <w:szCs w:val="17"/>
      <w:lang w:val="en-US" w:eastAsia="en-US"/>
    </w:rPr>
  </w:style>
  <w:style w:type="paragraph" w:customStyle="1" w:styleId="FCD">
    <w:name w:val="FCD"/>
    <w:basedOn w:val="Normal"/>
    <w:uiPriority w:val="99"/>
    <w:rsid w:val="003F4719"/>
    <w:pPr>
      <w:widowControl/>
      <w:spacing w:line="312" w:lineRule="auto"/>
      <w:jc w:val="both"/>
    </w:pPr>
    <w:rPr>
      <w:rFonts w:eastAsia="Calibri"/>
      <w:lang w:eastAsia="en-US"/>
    </w:rPr>
  </w:style>
  <w:style w:type="paragraph" w:customStyle="1" w:styleId="PargrafodaLista2">
    <w:name w:val="Parágrafo da Lista2"/>
    <w:basedOn w:val="Normal"/>
    <w:rsid w:val="00A43451"/>
    <w:pPr>
      <w:ind w:left="720"/>
      <w:contextualSpacing/>
    </w:pPr>
  </w:style>
  <w:style w:type="character" w:customStyle="1" w:styleId="PargrafodaListaChar">
    <w:name w:val="Parágrafo da Lista Char"/>
    <w:link w:val="PargrafodaLista"/>
    <w:uiPriority w:val="34"/>
    <w:rsid w:val="000C0B17"/>
    <w:rPr>
      <w:sz w:val="24"/>
      <w:szCs w:val="24"/>
    </w:rPr>
  </w:style>
  <w:style w:type="paragraph" w:styleId="Reviso">
    <w:name w:val="Revision"/>
    <w:hidden/>
    <w:uiPriority w:val="99"/>
    <w:semiHidden/>
    <w:rsid w:val="000823E7"/>
    <w:rPr>
      <w:sz w:val="24"/>
      <w:szCs w:val="24"/>
    </w:rPr>
  </w:style>
  <w:style w:type="paragraph" w:customStyle="1" w:styleId="ListParagraph1">
    <w:name w:val="List Paragraph1"/>
    <w:basedOn w:val="Normal"/>
    <w:uiPriority w:val="99"/>
    <w:rsid w:val="001D3E9C"/>
    <w:pPr>
      <w:widowControl/>
      <w:spacing w:line="240" w:lineRule="auto"/>
      <w:ind w:left="720"/>
      <w:contextualSpacing/>
    </w:pPr>
  </w:style>
  <w:style w:type="paragraph" w:customStyle="1" w:styleId="xmsolistparagraph">
    <w:name w:val="x_msolistparagraph"/>
    <w:basedOn w:val="Normal"/>
    <w:rsid w:val="00307CCF"/>
    <w:pPr>
      <w:widowControl/>
      <w:spacing w:before="100" w:beforeAutospacing="1" w:after="100" w:afterAutospacing="1" w:line="240" w:lineRule="auto"/>
    </w:pPr>
  </w:style>
  <w:style w:type="paragraph" w:customStyle="1" w:styleId="xmsonormal">
    <w:name w:val="x_msonormal"/>
    <w:basedOn w:val="Normal"/>
    <w:rsid w:val="00307CCF"/>
    <w:pPr>
      <w:widowControl/>
      <w:spacing w:before="100" w:beforeAutospacing="1" w:after="100" w:afterAutospacing="1" w:line="240" w:lineRule="auto"/>
    </w:pPr>
  </w:style>
  <w:style w:type="paragraph" w:customStyle="1" w:styleId="DSLxStyle">
    <w:name w:val="DSLxStyle"/>
    <w:basedOn w:val="Normal"/>
    <w:link w:val="DSLxStyleChar"/>
    <w:rsid w:val="00C55DAA"/>
    <w:pPr>
      <w:jc w:val="right"/>
    </w:pPr>
    <w:rPr>
      <w:rFonts w:ascii="Arial" w:hAnsi="Arial"/>
      <w:color w:val="666666"/>
      <w:sz w:val="12"/>
    </w:rPr>
  </w:style>
  <w:style w:type="character" w:customStyle="1" w:styleId="DSLxStyleChar">
    <w:name w:val="DSLxStyle Char"/>
    <w:basedOn w:val="Fontepargpadro"/>
    <w:link w:val="DSLxStyle"/>
    <w:rsid w:val="00C55DAA"/>
    <w:rPr>
      <w:rFonts w:ascii="Arial" w:hAnsi="Arial"/>
      <w:color w:val="666666"/>
      <w:sz w:val="12"/>
      <w:szCs w:val="24"/>
    </w:rPr>
  </w:style>
  <w:style w:type="paragraph" w:customStyle="1" w:styleId="yiv6459758197msolistparagraph">
    <w:name w:val="yiv6459758197msolistparagraph"/>
    <w:basedOn w:val="Normal"/>
    <w:rsid w:val="00170932"/>
    <w:pPr>
      <w:widowControl/>
      <w:spacing w:before="100" w:beforeAutospacing="1" w:after="100" w:afterAutospacing="1" w:line="240" w:lineRule="auto"/>
    </w:pPr>
  </w:style>
  <w:style w:type="character" w:customStyle="1" w:styleId="yiv6459758197spelle">
    <w:name w:val="yiv6459758197spelle"/>
    <w:basedOn w:val="Fontepargpadro"/>
    <w:rsid w:val="00170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2D59"/>
    <w:pPr>
      <w:widowControl w:val="0"/>
      <w:spacing w:line="264" w:lineRule="auto"/>
    </w:pPr>
    <w:rPr>
      <w:sz w:val="24"/>
      <w:szCs w:val="24"/>
    </w:rPr>
  </w:style>
  <w:style w:type="paragraph" w:styleId="Ttulo1">
    <w:name w:val="heading 1"/>
    <w:basedOn w:val="Normal"/>
    <w:next w:val="Corpodetexto"/>
    <w:link w:val="Ttulo1Char"/>
    <w:uiPriority w:val="99"/>
    <w:qFormat/>
    <w:rsid w:val="00E5561F"/>
    <w:pPr>
      <w:keepNext/>
      <w:keepLines/>
      <w:spacing w:after="120" w:line="400" w:lineRule="exact"/>
      <w:outlineLvl w:val="0"/>
    </w:pPr>
    <w:rPr>
      <w:rFonts w:ascii="Arial" w:hAnsi="Arial"/>
      <w:bCs/>
      <w:color w:val="00011F"/>
      <w:sz w:val="40"/>
      <w:szCs w:val="28"/>
    </w:rPr>
  </w:style>
  <w:style w:type="paragraph" w:styleId="Ttulo2">
    <w:name w:val="heading 2"/>
    <w:basedOn w:val="Normal"/>
    <w:next w:val="Corpodetexto"/>
    <w:link w:val="Ttulo2Char"/>
    <w:uiPriority w:val="99"/>
    <w:qFormat/>
    <w:rsid w:val="00E5561F"/>
    <w:pPr>
      <w:keepNext/>
      <w:keepLines/>
      <w:spacing w:after="60" w:line="360" w:lineRule="exact"/>
      <w:outlineLvl w:val="1"/>
    </w:pPr>
    <w:rPr>
      <w:rFonts w:ascii="Arial" w:hAnsi="Arial"/>
      <w:bCs/>
      <w:color w:val="A2978A"/>
      <w:sz w:val="36"/>
      <w:szCs w:val="26"/>
    </w:rPr>
  </w:style>
  <w:style w:type="paragraph" w:styleId="Ttulo3">
    <w:name w:val="heading 3"/>
    <w:basedOn w:val="Normal"/>
    <w:next w:val="Corpodetexto"/>
    <w:link w:val="Ttulo3Char"/>
    <w:uiPriority w:val="99"/>
    <w:qFormat/>
    <w:rsid w:val="00E5561F"/>
    <w:pPr>
      <w:keepNext/>
      <w:keepLines/>
      <w:spacing w:after="60" w:line="280" w:lineRule="exact"/>
      <w:outlineLvl w:val="2"/>
    </w:pPr>
    <w:rPr>
      <w:rFonts w:ascii="Arial" w:hAnsi="Arial"/>
      <w:bCs/>
      <w:color w:val="00011F"/>
      <w:sz w:val="28"/>
    </w:rPr>
  </w:style>
  <w:style w:type="paragraph" w:styleId="Ttulo4">
    <w:name w:val="heading 4"/>
    <w:basedOn w:val="Normal"/>
    <w:next w:val="Corpodetexto"/>
    <w:link w:val="Ttulo4Char"/>
    <w:uiPriority w:val="99"/>
    <w:qFormat/>
    <w:rsid w:val="00E5561F"/>
    <w:pPr>
      <w:keepNext/>
      <w:keepLines/>
      <w:spacing w:after="60" w:line="240" w:lineRule="exact"/>
      <w:outlineLvl w:val="3"/>
    </w:pPr>
    <w:rPr>
      <w:rFonts w:ascii="Arial" w:hAnsi="Arial"/>
      <w:bCs/>
      <w:iCs/>
      <w:color w:val="A2978A"/>
    </w:rPr>
  </w:style>
  <w:style w:type="paragraph" w:styleId="Ttulo5">
    <w:name w:val="heading 5"/>
    <w:basedOn w:val="Normal"/>
    <w:next w:val="Corpodetexto"/>
    <w:link w:val="Ttulo5Char"/>
    <w:uiPriority w:val="99"/>
    <w:qFormat/>
    <w:rsid w:val="00E5561F"/>
    <w:pPr>
      <w:keepNext/>
      <w:keepLines/>
      <w:spacing w:after="60" w:line="210" w:lineRule="exact"/>
      <w:outlineLvl w:val="4"/>
    </w:pPr>
    <w:rPr>
      <w:rFonts w:ascii="Arial" w:hAnsi="Arial"/>
      <w:color w:val="00011F"/>
    </w:rPr>
  </w:style>
  <w:style w:type="paragraph" w:styleId="Ttulo6">
    <w:name w:val="heading 6"/>
    <w:basedOn w:val="Normal"/>
    <w:next w:val="Corpodetexto"/>
    <w:link w:val="Ttulo6Char"/>
    <w:uiPriority w:val="99"/>
    <w:qFormat/>
    <w:rsid w:val="00E5561F"/>
    <w:pPr>
      <w:keepNext/>
      <w:keepLines/>
      <w:spacing w:after="60"/>
      <w:outlineLvl w:val="5"/>
    </w:pPr>
    <w:rPr>
      <w:rFonts w:ascii="Arial" w:hAnsi="Arial"/>
      <w:iCs/>
    </w:rPr>
  </w:style>
  <w:style w:type="paragraph" w:styleId="Ttulo7">
    <w:name w:val="heading 7"/>
    <w:basedOn w:val="Normal"/>
    <w:next w:val="Corpodetexto"/>
    <w:link w:val="Ttulo7Char"/>
    <w:uiPriority w:val="99"/>
    <w:qFormat/>
    <w:rsid w:val="00E5561F"/>
    <w:pPr>
      <w:keepNext/>
      <w:keepLines/>
      <w:spacing w:after="60"/>
      <w:outlineLvl w:val="6"/>
    </w:pPr>
    <w:rPr>
      <w:rFonts w:ascii="Arial" w:hAnsi="Arial"/>
      <w:iCs/>
    </w:rPr>
  </w:style>
  <w:style w:type="paragraph" w:styleId="Ttulo8">
    <w:name w:val="heading 8"/>
    <w:basedOn w:val="Normal"/>
    <w:next w:val="Corpodetexto"/>
    <w:link w:val="Ttulo8Char"/>
    <w:uiPriority w:val="99"/>
    <w:qFormat/>
    <w:rsid w:val="00E5561F"/>
    <w:pPr>
      <w:keepNext/>
      <w:keepLines/>
      <w:spacing w:after="60"/>
      <w:outlineLvl w:val="7"/>
    </w:pPr>
    <w:rPr>
      <w:rFonts w:ascii="Arial" w:hAnsi="Arial"/>
      <w:szCs w:val="20"/>
    </w:rPr>
  </w:style>
  <w:style w:type="paragraph" w:styleId="Ttulo9">
    <w:name w:val="heading 9"/>
    <w:basedOn w:val="Normal"/>
    <w:next w:val="Corpodetexto"/>
    <w:link w:val="Ttulo9Char"/>
    <w:uiPriority w:val="99"/>
    <w:qFormat/>
    <w:rsid w:val="00E5561F"/>
    <w:pPr>
      <w:keepNext/>
      <w:keepLines/>
      <w:spacing w:after="60"/>
      <w:outlineLvl w:val="8"/>
    </w:pPr>
    <w:rPr>
      <w:rFonts w:ascii="Arial" w:hAnsi="Arial"/>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5561F"/>
    <w:rPr>
      <w:rFonts w:ascii="Arial" w:hAnsi="Arial" w:cs="Times New Roman"/>
      <w:color w:val="00011F"/>
      <w:sz w:val="28"/>
      <w:lang w:val="pt-BR" w:eastAsia="pt-BR"/>
    </w:rPr>
  </w:style>
  <w:style w:type="character" w:customStyle="1" w:styleId="Ttulo2Char">
    <w:name w:val="Título 2 Char"/>
    <w:basedOn w:val="Fontepargpadro"/>
    <w:link w:val="Ttulo2"/>
    <w:uiPriority w:val="99"/>
    <w:locked/>
    <w:rsid w:val="00E5561F"/>
    <w:rPr>
      <w:rFonts w:ascii="Arial" w:hAnsi="Arial" w:cs="Times New Roman"/>
      <w:color w:val="A2978A"/>
      <w:sz w:val="26"/>
      <w:lang w:val="pt-BR" w:eastAsia="pt-BR"/>
    </w:rPr>
  </w:style>
  <w:style w:type="character" w:customStyle="1" w:styleId="Ttulo3Char">
    <w:name w:val="Título 3 Char"/>
    <w:basedOn w:val="Fontepargpadro"/>
    <w:link w:val="Ttulo3"/>
    <w:uiPriority w:val="99"/>
    <w:locked/>
    <w:rsid w:val="00E5561F"/>
    <w:rPr>
      <w:rFonts w:ascii="Arial" w:hAnsi="Arial" w:cs="Times New Roman"/>
      <w:color w:val="00011F"/>
      <w:sz w:val="24"/>
      <w:lang w:val="pt-BR" w:eastAsia="pt-BR"/>
    </w:rPr>
  </w:style>
  <w:style w:type="character" w:customStyle="1" w:styleId="Ttulo4Char">
    <w:name w:val="Título 4 Char"/>
    <w:basedOn w:val="Fontepargpadro"/>
    <w:link w:val="Ttulo4"/>
    <w:uiPriority w:val="99"/>
    <w:locked/>
    <w:rsid w:val="00E5561F"/>
    <w:rPr>
      <w:rFonts w:ascii="Arial" w:hAnsi="Arial" w:cs="Times New Roman"/>
      <w:color w:val="A2978A"/>
      <w:sz w:val="24"/>
      <w:lang w:val="pt-BR" w:eastAsia="pt-BR"/>
    </w:rPr>
  </w:style>
  <w:style w:type="character" w:customStyle="1" w:styleId="Ttulo5Char">
    <w:name w:val="Título 5 Char"/>
    <w:basedOn w:val="Fontepargpadro"/>
    <w:link w:val="Ttulo5"/>
    <w:uiPriority w:val="99"/>
    <w:semiHidden/>
    <w:locked/>
    <w:rsid w:val="00E5561F"/>
    <w:rPr>
      <w:rFonts w:ascii="Arial" w:hAnsi="Arial" w:cs="Times New Roman"/>
      <w:color w:val="00011F"/>
      <w:sz w:val="24"/>
      <w:lang w:val="pt-BR" w:eastAsia="pt-BR"/>
    </w:rPr>
  </w:style>
  <w:style w:type="character" w:customStyle="1" w:styleId="Ttulo6Char">
    <w:name w:val="Título 6 Char"/>
    <w:basedOn w:val="Fontepargpadro"/>
    <w:link w:val="Ttulo6"/>
    <w:uiPriority w:val="99"/>
    <w:semiHidden/>
    <w:locked/>
    <w:rsid w:val="00E5561F"/>
    <w:rPr>
      <w:rFonts w:ascii="Arial" w:hAnsi="Arial" w:cs="Times New Roman"/>
      <w:sz w:val="24"/>
      <w:lang w:val="pt-BR" w:eastAsia="pt-BR"/>
    </w:rPr>
  </w:style>
  <w:style w:type="character" w:customStyle="1" w:styleId="Ttulo7Char">
    <w:name w:val="Título 7 Char"/>
    <w:basedOn w:val="Fontepargpadro"/>
    <w:link w:val="Ttulo7"/>
    <w:uiPriority w:val="99"/>
    <w:semiHidden/>
    <w:locked/>
    <w:rsid w:val="00E5561F"/>
    <w:rPr>
      <w:rFonts w:ascii="Arial" w:hAnsi="Arial" w:cs="Times New Roman"/>
      <w:sz w:val="24"/>
      <w:lang w:val="pt-BR" w:eastAsia="pt-BR"/>
    </w:rPr>
  </w:style>
  <w:style w:type="character" w:customStyle="1" w:styleId="Ttulo8Char">
    <w:name w:val="Título 8 Char"/>
    <w:basedOn w:val="Fontepargpadro"/>
    <w:link w:val="Ttulo8"/>
    <w:uiPriority w:val="99"/>
    <w:semiHidden/>
    <w:locked/>
    <w:rsid w:val="00E5561F"/>
    <w:rPr>
      <w:rFonts w:ascii="Arial" w:hAnsi="Arial" w:cs="Times New Roman"/>
      <w:sz w:val="24"/>
      <w:lang w:val="pt-BR" w:eastAsia="pt-BR"/>
    </w:rPr>
  </w:style>
  <w:style w:type="character" w:customStyle="1" w:styleId="Ttulo9Char">
    <w:name w:val="Título 9 Char"/>
    <w:basedOn w:val="Fontepargpadro"/>
    <w:link w:val="Ttulo9"/>
    <w:uiPriority w:val="99"/>
    <w:semiHidden/>
    <w:locked/>
    <w:rsid w:val="00E5561F"/>
    <w:rPr>
      <w:rFonts w:ascii="Arial" w:hAnsi="Arial" w:cs="Times New Roman"/>
      <w:sz w:val="24"/>
      <w:lang w:val="pt-BR" w:eastAsia="pt-BR"/>
    </w:rPr>
  </w:style>
  <w:style w:type="paragraph" w:styleId="Corpodetexto">
    <w:name w:val="Body Text"/>
    <w:basedOn w:val="Normal"/>
    <w:link w:val="CorpodetextoChar"/>
    <w:uiPriority w:val="99"/>
    <w:rsid w:val="00E5561F"/>
  </w:style>
  <w:style w:type="character" w:customStyle="1" w:styleId="CorpodetextoChar">
    <w:name w:val="Corpo de texto Char"/>
    <w:basedOn w:val="Fontepargpadro"/>
    <w:link w:val="Corpodetexto"/>
    <w:uiPriority w:val="99"/>
    <w:locked/>
    <w:rsid w:val="00E5561F"/>
    <w:rPr>
      <w:rFonts w:cs="Times New Roman"/>
      <w:sz w:val="24"/>
      <w:lang w:val="pt-BR" w:eastAsia="pt-BR"/>
    </w:rPr>
  </w:style>
  <w:style w:type="paragraph" w:customStyle="1" w:styleId="CabealhodoSumrio1">
    <w:name w:val="Cabeçalho do Sumário1"/>
    <w:basedOn w:val="Ttulo1"/>
    <w:next w:val="Corpodetexto"/>
    <w:uiPriority w:val="99"/>
    <w:rsid w:val="00E5561F"/>
    <w:pPr>
      <w:spacing w:before="480" w:after="0" w:line="276" w:lineRule="auto"/>
      <w:outlineLvl w:val="9"/>
    </w:pPr>
  </w:style>
  <w:style w:type="paragraph" w:styleId="Ttulo">
    <w:name w:val="Title"/>
    <w:basedOn w:val="Normal"/>
    <w:next w:val="Subttulo"/>
    <w:link w:val="TtuloChar"/>
    <w:uiPriority w:val="99"/>
    <w:qFormat/>
    <w:rsid w:val="00E5561F"/>
    <w:pPr>
      <w:pageBreakBefore/>
    </w:pPr>
    <w:rPr>
      <w:rFonts w:ascii="Arial" w:hAnsi="Arial"/>
      <w:color w:val="00011F"/>
      <w:spacing w:val="5"/>
      <w:kern w:val="28"/>
      <w:sz w:val="72"/>
      <w:szCs w:val="52"/>
    </w:rPr>
  </w:style>
  <w:style w:type="character" w:customStyle="1" w:styleId="TtuloChar">
    <w:name w:val="Título Char"/>
    <w:basedOn w:val="Fontepargpadro"/>
    <w:link w:val="Ttulo"/>
    <w:uiPriority w:val="99"/>
    <w:locked/>
    <w:rsid w:val="00E5561F"/>
    <w:rPr>
      <w:rFonts w:ascii="Arial" w:hAnsi="Arial" w:cs="Times New Roman"/>
      <w:color w:val="00011F"/>
      <w:spacing w:val="5"/>
      <w:kern w:val="28"/>
      <w:sz w:val="52"/>
      <w:lang w:val="pt-BR" w:eastAsia="pt-BR"/>
    </w:rPr>
  </w:style>
  <w:style w:type="paragraph" w:styleId="Subttulo">
    <w:name w:val="Subtitle"/>
    <w:basedOn w:val="Normal"/>
    <w:next w:val="Corpodetexto"/>
    <w:link w:val="SubttuloChar"/>
    <w:uiPriority w:val="99"/>
    <w:qFormat/>
    <w:rsid w:val="00E5561F"/>
    <w:pPr>
      <w:numPr>
        <w:ilvl w:val="1"/>
      </w:numPr>
    </w:pPr>
    <w:rPr>
      <w:rFonts w:ascii="Arial" w:hAnsi="Arial"/>
      <w:iCs/>
      <w:color w:val="A2978A"/>
      <w:sz w:val="36"/>
    </w:rPr>
  </w:style>
  <w:style w:type="character" w:customStyle="1" w:styleId="SubttuloChar">
    <w:name w:val="Subtítulo Char"/>
    <w:basedOn w:val="Fontepargpadro"/>
    <w:link w:val="Subttulo"/>
    <w:uiPriority w:val="99"/>
    <w:locked/>
    <w:rsid w:val="00E5561F"/>
    <w:rPr>
      <w:rFonts w:ascii="Arial" w:hAnsi="Arial" w:cs="Times New Roman"/>
      <w:color w:val="A2978A"/>
      <w:sz w:val="24"/>
      <w:lang w:val="pt-BR" w:eastAsia="pt-BR"/>
    </w:rPr>
  </w:style>
  <w:style w:type="paragraph" w:styleId="Legenda">
    <w:name w:val="caption"/>
    <w:basedOn w:val="Normal"/>
    <w:next w:val="Normal"/>
    <w:uiPriority w:val="99"/>
    <w:qFormat/>
    <w:rsid w:val="00E5561F"/>
    <w:rPr>
      <w:b/>
      <w:bCs/>
      <w:sz w:val="18"/>
      <w:szCs w:val="18"/>
    </w:rPr>
  </w:style>
  <w:style w:type="paragraph" w:styleId="Textoembloco">
    <w:name w:val="Block Text"/>
    <w:basedOn w:val="Normal"/>
    <w:uiPriority w:val="99"/>
    <w:rsid w:val="00E5561F"/>
    <w:pPr>
      <w:pBdr>
        <w:top w:val="single" w:sz="2" w:space="10" w:color="auto"/>
        <w:left w:val="single" w:sz="2" w:space="10" w:color="auto"/>
        <w:bottom w:val="single" w:sz="2" w:space="10" w:color="auto"/>
        <w:right w:val="single" w:sz="2" w:space="10" w:color="auto"/>
      </w:pBdr>
      <w:ind w:left="1152" w:right="1152"/>
    </w:pPr>
    <w:rPr>
      <w:i/>
      <w:iCs/>
      <w:sz w:val="22"/>
      <w:szCs w:val="22"/>
    </w:rPr>
  </w:style>
  <w:style w:type="character" w:customStyle="1" w:styleId="nfaseIntensa1">
    <w:name w:val="Ênfase Intensa1"/>
    <w:uiPriority w:val="99"/>
    <w:rsid w:val="00E5561F"/>
    <w:rPr>
      <w:b/>
      <w:i/>
      <w:color w:val="auto"/>
      <w:u w:val="none"/>
    </w:rPr>
  </w:style>
  <w:style w:type="paragraph" w:customStyle="1" w:styleId="CitaoIntensa1">
    <w:name w:val="Citação Intensa1"/>
    <w:basedOn w:val="Normal"/>
    <w:next w:val="Normal"/>
    <w:link w:val="IntenseQuoteChar"/>
    <w:uiPriority w:val="99"/>
    <w:rsid w:val="00E5561F"/>
    <w:pPr>
      <w:pBdr>
        <w:bottom w:val="single" w:sz="4" w:space="4" w:color="auto"/>
      </w:pBdr>
      <w:ind w:left="936" w:right="936"/>
    </w:pPr>
    <w:rPr>
      <w:b/>
      <w:i/>
      <w:sz w:val="22"/>
      <w:szCs w:val="20"/>
    </w:rPr>
  </w:style>
  <w:style w:type="character" w:customStyle="1" w:styleId="IntenseQuoteChar">
    <w:name w:val="Intense Quote Char"/>
    <w:link w:val="CitaoIntensa1"/>
    <w:uiPriority w:val="99"/>
    <w:semiHidden/>
    <w:locked/>
    <w:rsid w:val="00E5561F"/>
    <w:rPr>
      <w:b/>
      <w:i/>
      <w:sz w:val="22"/>
      <w:lang w:val="pt-BR" w:eastAsia="pt-BR"/>
    </w:rPr>
  </w:style>
  <w:style w:type="character" w:customStyle="1" w:styleId="RefernciaIntensa1">
    <w:name w:val="Referência Intensa1"/>
    <w:uiPriority w:val="99"/>
    <w:rsid w:val="00E5561F"/>
    <w:rPr>
      <w:b/>
      <w:smallCaps/>
      <w:color w:val="auto"/>
      <w:spacing w:val="5"/>
      <w:u w:val="none"/>
    </w:rPr>
  </w:style>
  <w:style w:type="character" w:customStyle="1" w:styleId="nfaseSutil1">
    <w:name w:val="Ênfase Sutil1"/>
    <w:uiPriority w:val="99"/>
    <w:rsid w:val="00E5561F"/>
    <w:rPr>
      <w:i/>
      <w:color w:val="auto"/>
      <w:u w:val="none"/>
    </w:rPr>
  </w:style>
  <w:style w:type="character" w:customStyle="1" w:styleId="RefernciaSutil1">
    <w:name w:val="Referência Sutil1"/>
    <w:uiPriority w:val="99"/>
    <w:rsid w:val="00E5561F"/>
    <w:rPr>
      <w:smallCaps/>
      <w:color w:val="auto"/>
      <w:u w:val="single"/>
    </w:rPr>
  </w:style>
  <w:style w:type="paragraph" w:styleId="Commarcadores">
    <w:name w:val="List Bullet"/>
    <w:basedOn w:val="Normal"/>
    <w:uiPriority w:val="99"/>
    <w:rsid w:val="00E5561F"/>
    <w:pPr>
      <w:numPr>
        <w:numId w:val="2"/>
      </w:numPr>
    </w:pPr>
  </w:style>
  <w:style w:type="paragraph" w:styleId="Commarcadores2">
    <w:name w:val="List Bullet 2"/>
    <w:basedOn w:val="Normal"/>
    <w:uiPriority w:val="99"/>
    <w:rsid w:val="00E5561F"/>
    <w:pPr>
      <w:numPr>
        <w:ilvl w:val="1"/>
        <w:numId w:val="2"/>
      </w:numPr>
    </w:pPr>
  </w:style>
  <w:style w:type="paragraph" w:styleId="Commarcadores3">
    <w:name w:val="List Bullet 3"/>
    <w:basedOn w:val="Normal"/>
    <w:uiPriority w:val="99"/>
    <w:rsid w:val="00E5561F"/>
    <w:pPr>
      <w:numPr>
        <w:ilvl w:val="2"/>
        <w:numId w:val="2"/>
      </w:numPr>
    </w:pPr>
  </w:style>
  <w:style w:type="table" w:styleId="Tabelacomgrade">
    <w:name w:val="Table Grid"/>
    <w:basedOn w:val="Tabelanormal"/>
    <w:rsid w:val="00E5561F"/>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basedOn w:val="Fontepargpadro"/>
    <w:uiPriority w:val="99"/>
    <w:qFormat/>
    <w:rsid w:val="00E5561F"/>
    <w:rPr>
      <w:rFonts w:cs="Times New Roman"/>
      <w:b/>
    </w:rPr>
  </w:style>
  <w:style w:type="paragraph" w:styleId="Numerada">
    <w:name w:val="List Number"/>
    <w:basedOn w:val="Normal"/>
    <w:uiPriority w:val="99"/>
    <w:rsid w:val="00E5561F"/>
    <w:pPr>
      <w:numPr>
        <w:numId w:val="3"/>
      </w:numPr>
    </w:pPr>
  </w:style>
  <w:style w:type="paragraph" w:customStyle="1" w:styleId="BodySingle">
    <w:name w:val="Body Single"/>
    <w:basedOn w:val="Corpodetexto"/>
    <w:link w:val="BodySingleChar"/>
    <w:uiPriority w:val="99"/>
    <w:rsid w:val="00E5561F"/>
  </w:style>
  <w:style w:type="character" w:customStyle="1" w:styleId="BodySingleChar">
    <w:name w:val="Body Single Char"/>
    <w:basedOn w:val="CorpodetextoChar"/>
    <w:link w:val="BodySingle"/>
    <w:uiPriority w:val="99"/>
    <w:locked/>
    <w:rsid w:val="00E5561F"/>
    <w:rPr>
      <w:rFonts w:cs="Times New Roman"/>
      <w:sz w:val="24"/>
      <w:szCs w:val="24"/>
      <w:lang w:val="pt-BR" w:eastAsia="pt-BR" w:bidi="ar-SA"/>
    </w:rPr>
  </w:style>
  <w:style w:type="paragraph" w:customStyle="1" w:styleId="PargrafodaLista1">
    <w:name w:val="Parágrafo da Lista1"/>
    <w:basedOn w:val="Normal"/>
    <w:uiPriority w:val="99"/>
    <w:rsid w:val="00E5561F"/>
    <w:pPr>
      <w:ind w:left="720"/>
      <w:contextualSpacing/>
    </w:pPr>
  </w:style>
  <w:style w:type="paragraph" w:styleId="Cabealho">
    <w:name w:val="header"/>
    <w:basedOn w:val="Normal"/>
    <w:link w:val="CabealhoChar"/>
    <w:uiPriority w:val="99"/>
    <w:rsid w:val="00E5561F"/>
    <w:pPr>
      <w:tabs>
        <w:tab w:val="center" w:pos="4513"/>
        <w:tab w:val="right" w:pos="9026"/>
      </w:tabs>
      <w:spacing w:line="240" w:lineRule="auto"/>
    </w:pPr>
  </w:style>
  <w:style w:type="character" w:customStyle="1" w:styleId="CabealhoChar">
    <w:name w:val="Cabeçalho Char"/>
    <w:basedOn w:val="Fontepargpadro"/>
    <w:link w:val="Cabealho"/>
    <w:uiPriority w:val="99"/>
    <w:semiHidden/>
    <w:locked/>
    <w:rsid w:val="00E5561F"/>
    <w:rPr>
      <w:rFonts w:cs="Times New Roman"/>
      <w:sz w:val="24"/>
      <w:lang w:val="pt-BR" w:eastAsia="pt-BR"/>
    </w:rPr>
  </w:style>
  <w:style w:type="paragraph" w:styleId="Rodap">
    <w:name w:val="footer"/>
    <w:basedOn w:val="Normal"/>
    <w:link w:val="RodapChar"/>
    <w:uiPriority w:val="99"/>
    <w:rsid w:val="00E5561F"/>
    <w:pPr>
      <w:tabs>
        <w:tab w:val="center" w:pos="4513"/>
        <w:tab w:val="right" w:pos="9026"/>
      </w:tabs>
      <w:spacing w:line="240" w:lineRule="auto"/>
    </w:pPr>
  </w:style>
  <w:style w:type="character" w:customStyle="1" w:styleId="RodapChar">
    <w:name w:val="Rodapé Char"/>
    <w:basedOn w:val="Fontepargpadro"/>
    <w:link w:val="Rodap"/>
    <w:uiPriority w:val="99"/>
    <w:locked/>
    <w:rsid w:val="00E5561F"/>
    <w:rPr>
      <w:rFonts w:cs="Times New Roman"/>
      <w:sz w:val="24"/>
      <w:lang w:val="pt-BR" w:eastAsia="pt-BR"/>
    </w:rPr>
  </w:style>
  <w:style w:type="table" w:customStyle="1" w:styleId="LightShading-Accent21">
    <w:name w:val="Light Shading - Accent 21"/>
    <w:uiPriority w:val="99"/>
    <w:rsid w:val="00E5561F"/>
    <w:rPr>
      <w:rFonts w:ascii="Arial" w:hAnsi="Arial"/>
      <w:color w:val="83756D"/>
      <w:sz w:val="20"/>
      <w:szCs w:val="20"/>
    </w:rPr>
    <w:tblPr>
      <w:tblStyleRowBandSize w:val="1"/>
      <w:tblStyleColBandSize w:val="1"/>
      <w:tblInd w:w="0" w:type="dxa"/>
      <w:tblBorders>
        <w:top w:val="single" w:sz="8" w:space="0" w:color="AA9F98"/>
        <w:bottom w:val="single" w:sz="8" w:space="0" w:color="AA9F98"/>
      </w:tblBorders>
      <w:tblCellMar>
        <w:top w:w="0" w:type="dxa"/>
        <w:left w:w="108" w:type="dxa"/>
        <w:bottom w:w="0" w:type="dxa"/>
        <w:right w:w="108" w:type="dxa"/>
      </w:tblCellMar>
    </w:tblPr>
  </w:style>
  <w:style w:type="table" w:customStyle="1" w:styleId="MediumShading1-Accent41">
    <w:name w:val="Medium Shading 1 - Accent 41"/>
    <w:uiPriority w:val="99"/>
    <w:rsid w:val="00E5561F"/>
    <w:rPr>
      <w:rFonts w:ascii="Arial" w:hAnsi="Arial"/>
      <w:sz w:val="20"/>
      <w:szCs w:val="20"/>
    </w:rPr>
    <w:tblPr>
      <w:tblStyleRowBandSize w:val="1"/>
      <w:tblStyleColBandSize w:val="1"/>
      <w:tblInd w:w="0" w:type="dxa"/>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style>
  <w:style w:type="table" w:customStyle="1" w:styleId="MediumShading11">
    <w:name w:val="Medium Shading 11"/>
    <w:uiPriority w:val="99"/>
    <w:rsid w:val="00E5561F"/>
    <w:rPr>
      <w:rFonts w:ascii="Arial" w:hAnsi="Arial"/>
      <w:sz w:val="16"/>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E5561F"/>
    <w:rPr>
      <w:rFonts w:ascii="Arial" w:hAnsi="Arial"/>
      <w:sz w:val="20"/>
      <w:szCs w:val="20"/>
    </w:rPr>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E5561F"/>
    <w:rPr>
      <w:rFonts w:ascii="Arial" w:hAnsi="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E5561F"/>
    <w:rPr>
      <w:rFonts w:ascii="Arial" w:hAnsi="Arial"/>
      <w:sz w:val="20"/>
      <w:szCs w:val="20"/>
    </w:rPr>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Ttulo1"/>
    <w:next w:val="Corpodetexto"/>
    <w:uiPriority w:val="99"/>
    <w:rsid w:val="00E5561F"/>
    <w:pPr>
      <w:pageBreakBefore/>
      <w:framePr w:w="10478" w:wrap="notBeside" w:vAnchor="page" w:hAnchor="margin" w:y="1135"/>
      <w:spacing w:line="720" w:lineRule="exact"/>
    </w:pPr>
    <w:rPr>
      <w:sz w:val="72"/>
    </w:rPr>
  </w:style>
  <w:style w:type="paragraph" w:customStyle="1" w:styleId="Logo">
    <w:name w:val="Logo"/>
    <w:basedOn w:val="Normal"/>
    <w:next w:val="Corpodetexto"/>
    <w:uiPriority w:val="99"/>
    <w:rsid w:val="00E5561F"/>
    <w:pPr>
      <w:spacing w:line="204" w:lineRule="auto"/>
      <w:jc w:val="right"/>
    </w:pPr>
    <w:rPr>
      <w:rFonts w:ascii="PwC_Logo" w:hAnsi="PwC_Logo"/>
      <w:color w:val="00011F"/>
      <w:sz w:val="48"/>
      <w:szCs w:val="48"/>
    </w:rPr>
  </w:style>
  <w:style w:type="paragraph" w:styleId="Numerada2">
    <w:name w:val="List Number 2"/>
    <w:basedOn w:val="Normal"/>
    <w:uiPriority w:val="99"/>
    <w:rsid w:val="00E5561F"/>
    <w:pPr>
      <w:numPr>
        <w:ilvl w:val="1"/>
        <w:numId w:val="3"/>
      </w:numPr>
    </w:pPr>
  </w:style>
  <w:style w:type="paragraph" w:styleId="Numerada3">
    <w:name w:val="List Number 3"/>
    <w:basedOn w:val="Normal"/>
    <w:uiPriority w:val="99"/>
    <w:rsid w:val="00E5561F"/>
    <w:pPr>
      <w:numPr>
        <w:ilvl w:val="2"/>
        <w:numId w:val="3"/>
      </w:numPr>
    </w:pPr>
  </w:style>
  <w:style w:type="table" w:customStyle="1" w:styleId="PwCTable1">
    <w:name w:val="PwC Table 1"/>
    <w:uiPriority w:val="99"/>
    <w:rsid w:val="00E5561F"/>
    <w:rPr>
      <w:rFonts w:ascii="Arial" w:hAnsi="Arial"/>
      <w:sz w:val="18"/>
      <w:szCs w:val="20"/>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Commarcadores4">
    <w:name w:val="List Bullet 4"/>
    <w:basedOn w:val="Normal"/>
    <w:uiPriority w:val="99"/>
    <w:semiHidden/>
    <w:rsid w:val="00E5561F"/>
    <w:pPr>
      <w:numPr>
        <w:ilvl w:val="3"/>
        <w:numId w:val="2"/>
      </w:numPr>
    </w:pPr>
  </w:style>
  <w:style w:type="paragraph" w:styleId="Listadecontinuao">
    <w:name w:val="List Continue"/>
    <w:basedOn w:val="Normal"/>
    <w:uiPriority w:val="99"/>
    <w:rsid w:val="00E5561F"/>
    <w:pPr>
      <w:ind w:left="397"/>
    </w:pPr>
  </w:style>
  <w:style w:type="paragraph" w:styleId="Listadecontinuao2">
    <w:name w:val="List Continue 2"/>
    <w:basedOn w:val="Normal"/>
    <w:uiPriority w:val="99"/>
    <w:rsid w:val="00E5561F"/>
    <w:pPr>
      <w:ind w:left="794"/>
    </w:pPr>
  </w:style>
  <w:style w:type="paragraph" w:styleId="Lista3">
    <w:name w:val="List 3"/>
    <w:basedOn w:val="Normal"/>
    <w:uiPriority w:val="99"/>
    <w:rsid w:val="00E5561F"/>
    <w:pPr>
      <w:ind w:left="1191" w:hanging="397"/>
    </w:pPr>
  </w:style>
  <w:style w:type="paragraph" w:styleId="Lista4">
    <w:name w:val="List 4"/>
    <w:basedOn w:val="Normal"/>
    <w:uiPriority w:val="99"/>
    <w:semiHidden/>
    <w:rsid w:val="00E5561F"/>
    <w:pPr>
      <w:ind w:left="1588" w:hanging="397"/>
    </w:pPr>
  </w:style>
  <w:style w:type="paragraph" w:styleId="Lista5">
    <w:name w:val="List 5"/>
    <w:basedOn w:val="Normal"/>
    <w:uiPriority w:val="99"/>
    <w:semiHidden/>
    <w:rsid w:val="00E5561F"/>
    <w:pPr>
      <w:ind w:left="1985" w:hanging="397"/>
    </w:pPr>
  </w:style>
  <w:style w:type="paragraph" w:styleId="Listadecontinuao3">
    <w:name w:val="List Continue 3"/>
    <w:basedOn w:val="Normal"/>
    <w:uiPriority w:val="99"/>
    <w:rsid w:val="00E5561F"/>
    <w:pPr>
      <w:ind w:left="1191"/>
    </w:pPr>
  </w:style>
  <w:style w:type="paragraph" w:styleId="Listadecontinuao4">
    <w:name w:val="List Continue 4"/>
    <w:basedOn w:val="Normal"/>
    <w:uiPriority w:val="99"/>
    <w:semiHidden/>
    <w:rsid w:val="00E5561F"/>
    <w:pPr>
      <w:ind w:left="1588"/>
    </w:pPr>
  </w:style>
  <w:style w:type="paragraph" w:styleId="Listadecontinuao5">
    <w:name w:val="List Continue 5"/>
    <w:basedOn w:val="Normal"/>
    <w:uiPriority w:val="99"/>
    <w:semiHidden/>
    <w:rsid w:val="00E5561F"/>
    <w:pPr>
      <w:ind w:left="1985"/>
    </w:pPr>
  </w:style>
  <w:style w:type="paragraph" w:styleId="Numerada4">
    <w:name w:val="List Number 4"/>
    <w:basedOn w:val="Normal"/>
    <w:uiPriority w:val="99"/>
    <w:semiHidden/>
    <w:rsid w:val="00E5561F"/>
    <w:pPr>
      <w:numPr>
        <w:ilvl w:val="3"/>
        <w:numId w:val="3"/>
      </w:numPr>
    </w:pPr>
  </w:style>
  <w:style w:type="paragraph" w:styleId="Numerada5">
    <w:name w:val="List Number 5"/>
    <w:basedOn w:val="Normal"/>
    <w:uiPriority w:val="99"/>
    <w:semiHidden/>
    <w:rsid w:val="00E5561F"/>
    <w:pPr>
      <w:numPr>
        <w:ilvl w:val="4"/>
        <w:numId w:val="3"/>
      </w:numPr>
    </w:pPr>
  </w:style>
  <w:style w:type="paragraph" w:styleId="Commarcadores5">
    <w:name w:val="List Bullet 5"/>
    <w:basedOn w:val="Normal"/>
    <w:uiPriority w:val="99"/>
    <w:semiHidden/>
    <w:rsid w:val="00E5561F"/>
    <w:pPr>
      <w:numPr>
        <w:ilvl w:val="4"/>
        <w:numId w:val="2"/>
      </w:numPr>
    </w:pPr>
  </w:style>
  <w:style w:type="paragraph" w:styleId="Lista2">
    <w:name w:val="List 2"/>
    <w:basedOn w:val="Normal"/>
    <w:uiPriority w:val="99"/>
    <w:rsid w:val="00E5561F"/>
    <w:pPr>
      <w:ind w:left="794" w:hanging="397"/>
    </w:pPr>
  </w:style>
  <w:style w:type="paragraph" w:styleId="Lista">
    <w:name w:val="List"/>
    <w:basedOn w:val="Normal"/>
    <w:uiPriority w:val="99"/>
    <w:rsid w:val="00E5561F"/>
    <w:pPr>
      <w:ind w:left="397" w:hanging="397"/>
    </w:pPr>
  </w:style>
  <w:style w:type="character" w:styleId="Nmerodepgina">
    <w:name w:val="page number"/>
    <w:basedOn w:val="Fontepargpadro"/>
    <w:uiPriority w:val="99"/>
    <w:rsid w:val="00E5561F"/>
    <w:rPr>
      <w:rFonts w:cs="Times New Roman"/>
    </w:rPr>
  </w:style>
  <w:style w:type="paragraph" w:styleId="TextosemFormatao">
    <w:name w:val="Plain Text"/>
    <w:basedOn w:val="Normal"/>
    <w:link w:val="TextosemFormataoChar"/>
    <w:uiPriority w:val="99"/>
    <w:rsid w:val="00E5561F"/>
    <w:pPr>
      <w:widowControl/>
      <w:spacing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E5561F"/>
    <w:rPr>
      <w:rFonts w:ascii="Courier New" w:hAnsi="Courier New" w:cs="Times New Roman"/>
      <w:lang w:val="pt-BR" w:eastAsia="pt-BR"/>
    </w:rPr>
  </w:style>
  <w:style w:type="paragraph" w:styleId="Recuodecorpodetexto">
    <w:name w:val="Body Text Indent"/>
    <w:basedOn w:val="Normal"/>
    <w:link w:val="RecuodecorpodetextoChar"/>
    <w:uiPriority w:val="99"/>
    <w:rsid w:val="00E5561F"/>
    <w:pPr>
      <w:spacing w:after="120"/>
      <w:ind w:left="283"/>
    </w:pPr>
  </w:style>
  <w:style w:type="character" w:customStyle="1" w:styleId="RecuodecorpodetextoChar">
    <w:name w:val="Recuo de corpo de texto Char"/>
    <w:basedOn w:val="Fontepargpadro"/>
    <w:link w:val="Recuodecorpodetexto"/>
    <w:uiPriority w:val="99"/>
    <w:semiHidden/>
    <w:locked/>
    <w:rsid w:val="00E5561F"/>
    <w:rPr>
      <w:rFonts w:cs="Times New Roman"/>
      <w:sz w:val="24"/>
      <w:lang w:val="pt-BR" w:eastAsia="pt-BR"/>
    </w:rPr>
  </w:style>
  <w:style w:type="paragraph" w:customStyle="1" w:styleId="CharChar1CharCharCharCharCharCharCharCharCharCharCharCharChar">
    <w:name w:val="Char Char1 Char Char Char Char Char Char Char Char Char Char Char Char Char"/>
    <w:basedOn w:val="Normal"/>
    <w:uiPriority w:val="99"/>
    <w:rsid w:val="00E5561F"/>
    <w:pPr>
      <w:widowControl/>
      <w:spacing w:after="160" w:line="240" w:lineRule="exact"/>
    </w:pPr>
    <w:rPr>
      <w:rFonts w:ascii="Verdana" w:eastAsia="SimSun" w:hAnsi="Verdana"/>
      <w:sz w:val="20"/>
      <w:szCs w:val="20"/>
      <w:lang w:val="en-US" w:eastAsia="en-US"/>
    </w:rPr>
  </w:style>
  <w:style w:type="paragraph" w:styleId="Corpodetexto2">
    <w:name w:val="Body Text 2"/>
    <w:basedOn w:val="Normal"/>
    <w:link w:val="Corpodetexto2Char"/>
    <w:uiPriority w:val="99"/>
    <w:rsid w:val="00E5561F"/>
    <w:pPr>
      <w:widowControl/>
      <w:spacing w:before="120" w:after="120" w:line="240" w:lineRule="auto"/>
      <w:ind w:firstLine="1440"/>
      <w:jc w:val="both"/>
    </w:pPr>
    <w:rPr>
      <w:rFonts w:ascii="Arial MT" w:hAnsi="Arial MT"/>
      <w:sz w:val="23"/>
      <w:szCs w:val="20"/>
    </w:rPr>
  </w:style>
  <w:style w:type="character" w:customStyle="1" w:styleId="Corpodetexto2Char">
    <w:name w:val="Corpo de texto 2 Char"/>
    <w:basedOn w:val="Fontepargpadro"/>
    <w:link w:val="Corpodetexto2"/>
    <w:uiPriority w:val="99"/>
    <w:locked/>
    <w:rsid w:val="00E5561F"/>
    <w:rPr>
      <w:rFonts w:ascii="Arial MT" w:hAnsi="Arial MT" w:cs="Times New Roman"/>
      <w:sz w:val="23"/>
      <w:lang w:val="pt-BR" w:eastAsia="pt-BR"/>
    </w:rPr>
  </w:style>
  <w:style w:type="paragraph" w:customStyle="1" w:styleId="LinhaTabela">
    <w:name w:val="Linha Tabela"/>
    <w:uiPriority w:val="99"/>
    <w:rsid w:val="00E5561F"/>
    <w:rPr>
      <w:rFonts w:ascii="Arial MT" w:hAnsi="Arial MT"/>
      <w:sz w:val="23"/>
      <w:szCs w:val="20"/>
    </w:rPr>
  </w:style>
  <w:style w:type="paragraph" w:styleId="Corpodetexto3">
    <w:name w:val="Body Text 3"/>
    <w:basedOn w:val="Normal"/>
    <w:link w:val="Corpodetexto3Char"/>
    <w:uiPriority w:val="99"/>
    <w:rsid w:val="00E5561F"/>
    <w:pPr>
      <w:widowControl/>
      <w:spacing w:line="240" w:lineRule="auto"/>
      <w:jc w:val="both"/>
    </w:pPr>
    <w:rPr>
      <w:rFonts w:ascii="Arial" w:hAnsi="Arial"/>
      <w:i/>
      <w:szCs w:val="20"/>
    </w:rPr>
  </w:style>
  <w:style w:type="character" w:customStyle="1" w:styleId="Corpodetexto3Char">
    <w:name w:val="Corpo de texto 3 Char"/>
    <w:basedOn w:val="Fontepargpadro"/>
    <w:link w:val="Corpodetexto3"/>
    <w:uiPriority w:val="99"/>
    <w:locked/>
    <w:rsid w:val="00E5561F"/>
    <w:rPr>
      <w:rFonts w:ascii="Arial" w:hAnsi="Arial" w:cs="Times New Roman"/>
      <w:i/>
      <w:sz w:val="24"/>
      <w:lang w:val="pt-BR" w:eastAsia="pt-BR"/>
    </w:rPr>
  </w:style>
  <w:style w:type="paragraph" w:styleId="Recuodecorpodetexto2">
    <w:name w:val="Body Text Indent 2"/>
    <w:basedOn w:val="Normal"/>
    <w:link w:val="Recuodecorpodetexto2Char"/>
    <w:uiPriority w:val="99"/>
    <w:rsid w:val="00E5561F"/>
    <w:pPr>
      <w:widowControl/>
      <w:tabs>
        <w:tab w:val="left" w:pos="284"/>
      </w:tabs>
      <w:spacing w:line="240" w:lineRule="auto"/>
      <w:ind w:left="284" w:hanging="284"/>
      <w:jc w:val="both"/>
    </w:pPr>
    <w:rPr>
      <w:rFonts w:ascii="Arial" w:hAnsi="Arial"/>
      <w:szCs w:val="20"/>
    </w:rPr>
  </w:style>
  <w:style w:type="character" w:customStyle="1" w:styleId="Recuodecorpodetexto2Char">
    <w:name w:val="Recuo de corpo de texto 2 Char"/>
    <w:basedOn w:val="Fontepargpadro"/>
    <w:link w:val="Recuodecorpodetexto2"/>
    <w:uiPriority w:val="99"/>
    <w:locked/>
    <w:rsid w:val="00E5561F"/>
    <w:rPr>
      <w:rFonts w:ascii="Arial" w:hAnsi="Arial" w:cs="Times New Roman"/>
      <w:sz w:val="24"/>
      <w:lang w:val="pt-BR" w:eastAsia="pt-BR"/>
    </w:rPr>
  </w:style>
  <w:style w:type="paragraph" w:styleId="MapadoDocumento">
    <w:name w:val="Document Map"/>
    <w:basedOn w:val="Normal"/>
    <w:link w:val="MapadoDocumentoChar"/>
    <w:uiPriority w:val="99"/>
    <w:semiHidden/>
    <w:rsid w:val="00E5561F"/>
    <w:pPr>
      <w:widowControl/>
      <w:shd w:val="clear" w:color="auto" w:fill="000080"/>
      <w:spacing w:after="240" w:line="240" w:lineRule="auto"/>
      <w:jc w:val="both"/>
    </w:pPr>
    <w:rPr>
      <w:rFonts w:ascii="Tahoma" w:hAnsi="Tahoma"/>
      <w:sz w:val="22"/>
      <w:szCs w:val="20"/>
    </w:rPr>
  </w:style>
  <w:style w:type="character" w:customStyle="1" w:styleId="MapadoDocumentoChar">
    <w:name w:val="Mapa do Documento Char"/>
    <w:basedOn w:val="Fontepargpadro"/>
    <w:link w:val="MapadoDocumento"/>
    <w:uiPriority w:val="99"/>
    <w:semiHidden/>
    <w:locked/>
    <w:rsid w:val="00E5561F"/>
    <w:rPr>
      <w:rFonts w:ascii="Tahoma" w:hAnsi="Tahoma" w:cs="Times New Roman"/>
      <w:sz w:val="22"/>
      <w:lang w:val="pt-BR" w:eastAsia="pt-BR"/>
    </w:rPr>
  </w:style>
  <w:style w:type="paragraph" w:styleId="Recuodecorpodetexto3">
    <w:name w:val="Body Text Indent 3"/>
    <w:basedOn w:val="Normal"/>
    <w:link w:val="Recuodecorpodetexto3Char"/>
    <w:uiPriority w:val="99"/>
    <w:rsid w:val="00E5561F"/>
    <w:pPr>
      <w:widowControl/>
      <w:spacing w:line="240" w:lineRule="auto"/>
      <w:ind w:left="426"/>
      <w:jc w:val="both"/>
    </w:pPr>
    <w:rPr>
      <w:rFonts w:ascii="Arial" w:hAnsi="Arial"/>
      <w:szCs w:val="20"/>
    </w:rPr>
  </w:style>
  <w:style w:type="character" w:customStyle="1" w:styleId="Recuodecorpodetexto3Char">
    <w:name w:val="Recuo de corpo de texto 3 Char"/>
    <w:basedOn w:val="Fontepargpadro"/>
    <w:link w:val="Recuodecorpodetexto3"/>
    <w:uiPriority w:val="99"/>
    <w:locked/>
    <w:rsid w:val="00E5561F"/>
    <w:rPr>
      <w:rFonts w:ascii="Arial" w:hAnsi="Arial" w:cs="Times New Roman"/>
      <w:sz w:val="24"/>
      <w:lang w:val="pt-BR" w:eastAsia="pt-BR"/>
    </w:rPr>
  </w:style>
  <w:style w:type="paragraph" w:styleId="NormalWeb">
    <w:name w:val="Normal (Web)"/>
    <w:basedOn w:val="Normal"/>
    <w:link w:val="NormalWebChar"/>
    <w:uiPriority w:val="99"/>
    <w:rsid w:val="00E5561F"/>
    <w:pPr>
      <w:widowControl/>
      <w:spacing w:before="100" w:beforeAutospacing="1" w:after="100" w:afterAutospacing="1" w:line="240" w:lineRule="auto"/>
    </w:pPr>
    <w:rPr>
      <w:szCs w:val="20"/>
    </w:rPr>
  </w:style>
  <w:style w:type="paragraph" w:customStyle="1" w:styleId="texto2">
    <w:name w:val="texto2"/>
    <w:basedOn w:val="Normal"/>
    <w:uiPriority w:val="99"/>
    <w:rsid w:val="00E5561F"/>
    <w:pPr>
      <w:widowControl/>
      <w:spacing w:before="100" w:beforeAutospacing="1" w:after="100" w:afterAutospacing="1" w:line="240" w:lineRule="auto"/>
    </w:pPr>
  </w:style>
  <w:style w:type="paragraph" w:customStyle="1" w:styleId="CharCharCharCharCharChar">
    <w:name w:val="Char Char Char Char Char Char"/>
    <w:basedOn w:val="Normal"/>
    <w:uiPriority w:val="99"/>
    <w:rsid w:val="00E5561F"/>
    <w:pPr>
      <w:widowControl/>
      <w:spacing w:after="160" w:line="240" w:lineRule="exact"/>
    </w:pPr>
    <w:rPr>
      <w:rFonts w:ascii="Verdana" w:hAnsi="Verdana"/>
      <w:sz w:val="20"/>
      <w:szCs w:val="20"/>
      <w:lang w:val="en-US" w:eastAsia="en-US"/>
    </w:rPr>
  </w:style>
  <w:style w:type="character" w:customStyle="1" w:styleId="luisfh">
    <w:name w:val="luisfh"/>
    <w:uiPriority w:val="99"/>
    <w:semiHidden/>
    <w:rsid w:val="00E5561F"/>
    <w:rPr>
      <w:rFonts w:ascii="Arial" w:hAnsi="Arial"/>
      <w:color w:val="000080"/>
      <w:sz w:val="20"/>
    </w:rPr>
  </w:style>
  <w:style w:type="paragraph" w:customStyle="1" w:styleId="BodyText21">
    <w:name w:val="Body Text 21"/>
    <w:basedOn w:val="Normal"/>
    <w:uiPriority w:val="99"/>
    <w:rsid w:val="00E5561F"/>
    <w:pPr>
      <w:widowControl/>
      <w:spacing w:line="240" w:lineRule="auto"/>
    </w:pPr>
    <w:rPr>
      <w:szCs w:val="20"/>
    </w:rPr>
  </w:style>
  <w:style w:type="paragraph" w:customStyle="1" w:styleId="default">
    <w:name w:val="default"/>
    <w:basedOn w:val="Normal"/>
    <w:uiPriority w:val="99"/>
    <w:rsid w:val="00E5561F"/>
    <w:pPr>
      <w:widowControl/>
      <w:autoSpaceDE w:val="0"/>
      <w:autoSpaceDN w:val="0"/>
      <w:spacing w:line="240" w:lineRule="auto"/>
    </w:pPr>
    <w:rPr>
      <w:color w:val="000000"/>
    </w:rPr>
  </w:style>
  <w:style w:type="paragraph" w:customStyle="1" w:styleId="Texto">
    <w:name w:val="Texto"/>
    <w:basedOn w:val="Normal"/>
    <w:uiPriority w:val="99"/>
    <w:rsid w:val="00E5561F"/>
    <w:pPr>
      <w:spacing w:line="240" w:lineRule="auto"/>
      <w:jc w:val="both"/>
    </w:pPr>
    <w:rPr>
      <w:rFonts w:ascii="Arial" w:hAnsi="Arial"/>
      <w:szCs w:val="20"/>
    </w:rPr>
  </w:style>
  <w:style w:type="table" w:customStyle="1" w:styleId="TableGrid1">
    <w:name w:val="Table Grid1"/>
    <w:uiPriority w:val="99"/>
    <w:rsid w:val="00E556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1Char"/>
    <w:uiPriority w:val="99"/>
    <w:rsid w:val="00E5561F"/>
    <w:pPr>
      <w:spacing w:after="240" w:line="228" w:lineRule="auto"/>
      <w:ind w:left="460"/>
      <w:jc w:val="both"/>
    </w:pPr>
    <w:rPr>
      <w:szCs w:val="20"/>
    </w:rPr>
  </w:style>
  <w:style w:type="paragraph" w:customStyle="1" w:styleId="CharCharChar">
    <w:name w:val="Char Char Char"/>
    <w:basedOn w:val="Normal"/>
    <w:uiPriority w:val="99"/>
    <w:rsid w:val="00E5561F"/>
    <w:pPr>
      <w:widowControl/>
      <w:spacing w:after="160" w:line="240" w:lineRule="exact"/>
    </w:pPr>
    <w:rPr>
      <w:szCs w:val="20"/>
    </w:rPr>
  </w:style>
  <w:style w:type="paragraph" w:styleId="Textodenotadefim">
    <w:name w:val="endnote text"/>
    <w:basedOn w:val="Normal"/>
    <w:link w:val="TextodenotadefimChar"/>
    <w:uiPriority w:val="99"/>
    <w:semiHidden/>
    <w:rsid w:val="00E5561F"/>
    <w:pPr>
      <w:spacing w:line="240" w:lineRule="auto"/>
    </w:pPr>
    <w:rPr>
      <w:szCs w:val="20"/>
      <w:lang w:eastAsia="en-US"/>
    </w:rPr>
  </w:style>
  <w:style w:type="character" w:customStyle="1" w:styleId="TextodenotadefimChar">
    <w:name w:val="Texto de nota de fim Char"/>
    <w:basedOn w:val="Fontepargpadro"/>
    <w:link w:val="Textodenotadefim"/>
    <w:uiPriority w:val="99"/>
    <w:semiHidden/>
    <w:locked/>
    <w:rsid w:val="00BB794B"/>
    <w:rPr>
      <w:rFonts w:cs="Times New Roman"/>
      <w:sz w:val="20"/>
      <w:szCs w:val="20"/>
    </w:rPr>
  </w:style>
  <w:style w:type="paragraph" w:styleId="Textodebalo">
    <w:name w:val="Balloon Text"/>
    <w:basedOn w:val="Normal"/>
    <w:link w:val="TextodebaloChar"/>
    <w:uiPriority w:val="99"/>
    <w:semiHidden/>
    <w:rsid w:val="00E5561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561F"/>
    <w:rPr>
      <w:rFonts w:ascii="Tahoma" w:hAnsi="Tahoma" w:cs="Times New Roman"/>
      <w:sz w:val="16"/>
      <w:lang w:val="pt-BR" w:eastAsia="pt-BR"/>
    </w:rPr>
  </w:style>
  <w:style w:type="character" w:customStyle="1" w:styleId="Normal1Char">
    <w:name w:val="Normal1 Char"/>
    <w:link w:val="Normal1"/>
    <w:uiPriority w:val="99"/>
    <w:locked/>
    <w:rsid w:val="00E5561F"/>
    <w:rPr>
      <w:sz w:val="24"/>
      <w:lang w:val="pt-BR" w:eastAsia="pt-BR"/>
    </w:rPr>
  </w:style>
  <w:style w:type="character" w:customStyle="1" w:styleId="NormalWebChar">
    <w:name w:val="Normal (Web) Char"/>
    <w:link w:val="NormalWeb"/>
    <w:uiPriority w:val="99"/>
    <w:locked/>
    <w:rsid w:val="00E5561F"/>
    <w:rPr>
      <w:sz w:val="24"/>
      <w:lang w:val="pt-BR" w:eastAsia="pt-BR"/>
    </w:rPr>
  </w:style>
  <w:style w:type="character" w:styleId="nfase">
    <w:name w:val="Emphasis"/>
    <w:basedOn w:val="Fontepargpadro"/>
    <w:uiPriority w:val="99"/>
    <w:qFormat/>
    <w:rsid w:val="00992335"/>
    <w:rPr>
      <w:rFonts w:cs="Times New Roman"/>
      <w:i/>
    </w:rPr>
  </w:style>
  <w:style w:type="paragraph" w:styleId="Textodenotaderodap">
    <w:name w:val="footnote text"/>
    <w:basedOn w:val="Normal"/>
    <w:link w:val="TextodenotaderodapChar"/>
    <w:uiPriority w:val="99"/>
    <w:rsid w:val="00D01680"/>
    <w:pPr>
      <w:widowControl/>
      <w:spacing w:line="240" w:lineRule="auto"/>
    </w:pPr>
    <w:rPr>
      <w:rFonts w:eastAsia="SimSun"/>
      <w:sz w:val="20"/>
      <w:szCs w:val="20"/>
      <w:lang w:val="en-GB" w:eastAsia="zh-CN"/>
    </w:rPr>
  </w:style>
  <w:style w:type="character" w:customStyle="1" w:styleId="TextodenotaderodapChar">
    <w:name w:val="Texto de nota de rodapé Char"/>
    <w:basedOn w:val="Fontepargpadro"/>
    <w:link w:val="Textodenotaderodap"/>
    <w:uiPriority w:val="99"/>
    <w:locked/>
    <w:rsid w:val="00D01680"/>
    <w:rPr>
      <w:rFonts w:eastAsia="SimSun" w:cs="Times New Roman"/>
      <w:lang w:val="en-GB" w:eastAsia="zh-CN"/>
    </w:rPr>
  </w:style>
  <w:style w:type="character" w:styleId="Refdenotaderodap">
    <w:name w:val="footnote reference"/>
    <w:basedOn w:val="Fontepargpadro"/>
    <w:uiPriority w:val="99"/>
    <w:rsid w:val="00D01680"/>
    <w:rPr>
      <w:rFonts w:cs="Times New Roman"/>
      <w:vertAlign w:val="superscript"/>
    </w:rPr>
  </w:style>
  <w:style w:type="character" w:styleId="Hyperlink">
    <w:name w:val="Hyperlink"/>
    <w:basedOn w:val="Fontepargpadro"/>
    <w:uiPriority w:val="99"/>
    <w:rsid w:val="00013CD1"/>
    <w:rPr>
      <w:rFonts w:cs="Times New Roman"/>
      <w:color w:val="0000FF"/>
      <w:u w:val="single"/>
    </w:rPr>
  </w:style>
  <w:style w:type="character" w:styleId="HiperlinkVisitado">
    <w:name w:val="FollowedHyperlink"/>
    <w:basedOn w:val="Fontepargpadro"/>
    <w:uiPriority w:val="99"/>
    <w:rsid w:val="00AB7CB8"/>
    <w:rPr>
      <w:rFonts w:cs="Times New Roman"/>
      <w:color w:val="800080"/>
      <w:u w:val="single"/>
    </w:rPr>
  </w:style>
  <w:style w:type="character" w:styleId="Refdecomentrio">
    <w:name w:val="annotation reference"/>
    <w:basedOn w:val="Fontepargpadro"/>
    <w:uiPriority w:val="99"/>
    <w:rsid w:val="0021215C"/>
    <w:rPr>
      <w:rFonts w:cs="Times New Roman"/>
      <w:sz w:val="16"/>
    </w:rPr>
  </w:style>
  <w:style w:type="paragraph" w:styleId="Textodecomentrio">
    <w:name w:val="annotation text"/>
    <w:basedOn w:val="Normal"/>
    <w:link w:val="TextodecomentrioChar"/>
    <w:uiPriority w:val="99"/>
    <w:rsid w:val="0021215C"/>
    <w:rPr>
      <w:sz w:val="20"/>
      <w:szCs w:val="20"/>
    </w:rPr>
  </w:style>
  <w:style w:type="character" w:customStyle="1" w:styleId="TextodecomentrioChar">
    <w:name w:val="Texto de comentário Char"/>
    <w:basedOn w:val="Fontepargpadro"/>
    <w:link w:val="Textodecomentrio"/>
    <w:uiPriority w:val="99"/>
    <w:locked/>
    <w:rsid w:val="0021215C"/>
    <w:rPr>
      <w:rFonts w:cs="Times New Roman"/>
    </w:rPr>
  </w:style>
  <w:style w:type="paragraph" w:styleId="Assuntodocomentrio">
    <w:name w:val="annotation subject"/>
    <w:basedOn w:val="Textodecomentrio"/>
    <w:next w:val="Textodecomentrio"/>
    <w:link w:val="AssuntodocomentrioChar"/>
    <w:uiPriority w:val="99"/>
    <w:rsid w:val="0021215C"/>
    <w:rPr>
      <w:b/>
      <w:bCs/>
    </w:rPr>
  </w:style>
  <w:style w:type="character" w:customStyle="1" w:styleId="AssuntodocomentrioChar">
    <w:name w:val="Assunto do comentário Char"/>
    <w:basedOn w:val="TextodecomentrioChar"/>
    <w:link w:val="Assuntodocomentrio"/>
    <w:uiPriority w:val="99"/>
    <w:locked/>
    <w:rsid w:val="0021215C"/>
    <w:rPr>
      <w:rFonts w:cs="Times New Roman"/>
      <w:b/>
    </w:rPr>
  </w:style>
  <w:style w:type="paragraph" w:customStyle="1" w:styleId="Marcador">
    <w:name w:val="Marcador"/>
    <w:basedOn w:val="Normal"/>
    <w:uiPriority w:val="99"/>
    <w:rsid w:val="00D3530D"/>
    <w:pPr>
      <w:numPr>
        <w:numId w:val="1"/>
      </w:numPr>
      <w:tabs>
        <w:tab w:val="clear" w:pos="360"/>
        <w:tab w:val="num" w:pos="720"/>
      </w:tabs>
      <w:spacing w:after="120" w:line="240" w:lineRule="auto"/>
      <w:ind w:left="720"/>
      <w:jc w:val="both"/>
    </w:pPr>
    <w:rPr>
      <w:rFonts w:ascii="Arial" w:hAnsi="Arial"/>
      <w:noProof/>
      <w:color w:val="00469D"/>
    </w:rPr>
  </w:style>
  <w:style w:type="paragraph" w:customStyle="1" w:styleId="textonovo">
    <w:name w:val="texto novo"/>
    <w:basedOn w:val="Normal"/>
    <w:uiPriority w:val="99"/>
    <w:rsid w:val="00D3530D"/>
    <w:pPr>
      <w:widowControl/>
      <w:spacing w:after="120" w:line="240" w:lineRule="auto"/>
      <w:jc w:val="both"/>
    </w:pPr>
    <w:rPr>
      <w:rFonts w:ascii="Arial" w:hAnsi="Arial" w:cs="Arial"/>
      <w:noProof/>
      <w:color w:val="00469D"/>
      <w:szCs w:val="20"/>
    </w:rPr>
  </w:style>
  <w:style w:type="character" w:customStyle="1" w:styleId="charchar4">
    <w:name w:val="charchar4"/>
    <w:uiPriority w:val="99"/>
    <w:rsid w:val="00627B82"/>
  </w:style>
  <w:style w:type="paragraph" w:styleId="PargrafodaLista">
    <w:name w:val="List Paragraph"/>
    <w:basedOn w:val="Normal"/>
    <w:link w:val="PargrafodaListaChar"/>
    <w:uiPriority w:val="34"/>
    <w:qFormat/>
    <w:rsid w:val="00077C3B"/>
    <w:pPr>
      <w:ind w:left="720"/>
      <w:contextualSpacing/>
    </w:pPr>
  </w:style>
  <w:style w:type="character" w:customStyle="1" w:styleId="normalwebchar0">
    <w:name w:val="normalwebchar"/>
    <w:uiPriority w:val="99"/>
    <w:rsid w:val="00213DBF"/>
  </w:style>
  <w:style w:type="numbering" w:customStyle="1" w:styleId="PwCListNumbers1">
    <w:name w:val="PwC List Numbers 1"/>
    <w:rsid w:val="00462D99"/>
    <w:pPr>
      <w:numPr>
        <w:numId w:val="3"/>
      </w:numPr>
    </w:pPr>
  </w:style>
  <w:style w:type="numbering" w:customStyle="1" w:styleId="EstiloCommarcadoresSymbolsmboloAzulesquerda063cm">
    <w:name w:val="Estilo Com marcadores Symbol (símbolo) Azul À esquerda:  063 cm..."/>
    <w:rsid w:val="00462D99"/>
    <w:pPr>
      <w:numPr>
        <w:numId w:val="6"/>
      </w:numPr>
    </w:pPr>
  </w:style>
  <w:style w:type="numbering" w:customStyle="1" w:styleId="PwCListBullets1">
    <w:name w:val="PwC List Bullets 1"/>
    <w:rsid w:val="00462D99"/>
    <w:pPr>
      <w:numPr>
        <w:numId w:val="2"/>
      </w:numPr>
    </w:pPr>
  </w:style>
  <w:style w:type="paragraph" w:customStyle="1" w:styleId="Default0">
    <w:name w:val="Default"/>
    <w:link w:val="DefaultChar"/>
    <w:rsid w:val="00F44410"/>
    <w:pPr>
      <w:autoSpaceDE w:val="0"/>
      <w:autoSpaceDN w:val="0"/>
      <w:adjustRightInd w:val="0"/>
    </w:pPr>
    <w:rPr>
      <w:rFonts w:eastAsiaTheme="minorHAnsi"/>
      <w:color w:val="000000"/>
      <w:sz w:val="24"/>
      <w:szCs w:val="24"/>
      <w:lang w:eastAsia="en-US"/>
    </w:rPr>
  </w:style>
  <w:style w:type="character" w:customStyle="1" w:styleId="DefaultChar">
    <w:name w:val="Default Char"/>
    <w:basedOn w:val="Fontepargpadro"/>
    <w:link w:val="Default0"/>
    <w:locked/>
    <w:rsid w:val="00F44410"/>
    <w:rPr>
      <w:rFonts w:eastAsiaTheme="minorHAnsi"/>
      <w:color w:val="000000"/>
      <w:sz w:val="24"/>
      <w:szCs w:val="24"/>
      <w:lang w:eastAsia="en-US"/>
    </w:rPr>
  </w:style>
  <w:style w:type="paragraph" w:customStyle="1" w:styleId="Bodycopy">
    <w:name w:val="Body copy"/>
    <w:rsid w:val="00472453"/>
    <w:pPr>
      <w:spacing w:before="20" w:line="210" w:lineRule="exact"/>
    </w:pPr>
    <w:rPr>
      <w:rFonts w:ascii="Arial" w:eastAsia="PMingLiU" w:hAnsi="Arial" w:cs="Arial"/>
      <w:color w:val="000000"/>
      <w:sz w:val="17"/>
      <w:szCs w:val="17"/>
      <w:lang w:val="en-US" w:eastAsia="en-US"/>
    </w:rPr>
  </w:style>
  <w:style w:type="paragraph" w:customStyle="1" w:styleId="FCD">
    <w:name w:val="FCD"/>
    <w:basedOn w:val="Normal"/>
    <w:uiPriority w:val="99"/>
    <w:rsid w:val="003F4719"/>
    <w:pPr>
      <w:widowControl/>
      <w:spacing w:line="312" w:lineRule="auto"/>
      <w:jc w:val="both"/>
    </w:pPr>
    <w:rPr>
      <w:rFonts w:eastAsia="Calibri"/>
      <w:lang w:eastAsia="en-US"/>
    </w:rPr>
  </w:style>
  <w:style w:type="paragraph" w:customStyle="1" w:styleId="PargrafodaLista2">
    <w:name w:val="Parágrafo da Lista2"/>
    <w:basedOn w:val="Normal"/>
    <w:rsid w:val="00A43451"/>
    <w:pPr>
      <w:ind w:left="720"/>
      <w:contextualSpacing/>
    </w:pPr>
  </w:style>
  <w:style w:type="character" w:customStyle="1" w:styleId="PargrafodaListaChar">
    <w:name w:val="Parágrafo da Lista Char"/>
    <w:link w:val="PargrafodaLista"/>
    <w:uiPriority w:val="34"/>
    <w:rsid w:val="000C0B17"/>
    <w:rPr>
      <w:sz w:val="24"/>
      <w:szCs w:val="24"/>
    </w:rPr>
  </w:style>
  <w:style w:type="paragraph" w:styleId="Reviso">
    <w:name w:val="Revision"/>
    <w:hidden/>
    <w:uiPriority w:val="99"/>
    <w:semiHidden/>
    <w:rsid w:val="000823E7"/>
    <w:rPr>
      <w:sz w:val="24"/>
      <w:szCs w:val="24"/>
    </w:rPr>
  </w:style>
  <w:style w:type="paragraph" w:customStyle="1" w:styleId="ListParagraph1">
    <w:name w:val="List Paragraph1"/>
    <w:basedOn w:val="Normal"/>
    <w:uiPriority w:val="99"/>
    <w:rsid w:val="001D3E9C"/>
    <w:pPr>
      <w:widowControl/>
      <w:spacing w:line="240" w:lineRule="auto"/>
      <w:ind w:left="720"/>
      <w:contextualSpacing/>
    </w:pPr>
  </w:style>
  <w:style w:type="paragraph" w:customStyle="1" w:styleId="xmsolistparagraph">
    <w:name w:val="x_msolistparagraph"/>
    <w:basedOn w:val="Normal"/>
    <w:rsid w:val="00307CCF"/>
    <w:pPr>
      <w:widowControl/>
      <w:spacing w:before="100" w:beforeAutospacing="1" w:after="100" w:afterAutospacing="1" w:line="240" w:lineRule="auto"/>
    </w:pPr>
  </w:style>
  <w:style w:type="paragraph" w:customStyle="1" w:styleId="xmsonormal">
    <w:name w:val="x_msonormal"/>
    <w:basedOn w:val="Normal"/>
    <w:rsid w:val="00307CCF"/>
    <w:pPr>
      <w:widowControl/>
      <w:spacing w:before="100" w:beforeAutospacing="1" w:after="100" w:afterAutospacing="1" w:line="240" w:lineRule="auto"/>
    </w:pPr>
  </w:style>
  <w:style w:type="paragraph" w:customStyle="1" w:styleId="DSLxStyle">
    <w:name w:val="DSLxStyle"/>
    <w:basedOn w:val="Normal"/>
    <w:link w:val="DSLxStyleChar"/>
    <w:rsid w:val="00C55DAA"/>
    <w:pPr>
      <w:jc w:val="right"/>
    </w:pPr>
    <w:rPr>
      <w:rFonts w:ascii="Arial" w:hAnsi="Arial"/>
      <w:color w:val="666666"/>
      <w:sz w:val="12"/>
    </w:rPr>
  </w:style>
  <w:style w:type="character" w:customStyle="1" w:styleId="DSLxStyleChar">
    <w:name w:val="DSLxStyle Char"/>
    <w:basedOn w:val="Fontepargpadro"/>
    <w:link w:val="DSLxStyle"/>
    <w:rsid w:val="00C55DAA"/>
    <w:rPr>
      <w:rFonts w:ascii="Arial" w:hAnsi="Arial"/>
      <w:color w:val="666666"/>
      <w:sz w:val="12"/>
      <w:szCs w:val="24"/>
    </w:rPr>
  </w:style>
  <w:style w:type="paragraph" w:customStyle="1" w:styleId="yiv6459758197msolistparagraph">
    <w:name w:val="yiv6459758197msolistparagraph"/>
    <w:basedOn w:val="Normal"/>
    <w:rsid w:val="00170932"/>
    <w:pPr>
      <w:widowControl/>
      <w:spacing w:before="100" w:beforeAutospacing="1" w:after="100" w:afterAutospacing="1" w:line="240" w:lineRule="auto"/>
    </w:pPr>
  </w:style>
  <w:style w:type="character" w:customStyle="1" w:styleId="yiv6459758197spelle">
    <w:name w:val="yiv6459758197spelle"/>
    <w:basedOn w:val="Fontepargpadro"/>
    <w:rsid w:val="0017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684">
      <w:bodyDiv w:val="1"/>
      <w:marLeft w:val="0"/>
      <w:marRight w:val="0"/>
      <w:marTop w:val="0"/>
      <w:marBottom w:val="0"/>
      <w:divBdr>
        <w:top w:val="none" w:sz="0" w:space="0" w:color="auto"/>
        <w:left w:val="none" w:sz="0" w:space="0" w:color="auto"/>
        <w:bottom w:val="none" w:sz="0" w:space="0" w:color="auto"/>
        <w:right w:val="none" w:sz="0" w:space="0" w:color="auto"/>
      </w:divBdr>
    </w:div>
    <w:div w:id="19742918">
      <w:bodyDiv w:val="1"/>
      <w:marLeft w:val="0"/>
      <w:marRight w:val="0"/>
      <w:marTop w:val="0"/>
      <w:marBottom w:val="0"/>
      <w:divBdr>
        <w:top w:val="none" w:sz="0" w:space="0" w:color="auto"/>
        <w:left w:val="none" w:sz="0" w:space="0" w:color="auto"/>
        <w:bottom w:val="none" w:sz="0" w:space="0" w:color="auto"/>
        <w:right w:val="none" w:sz="0" w:space="0" w:color="auto"/>
      </w:divBdr>
    </w:div>
    <w:div w:id="31082804">
      <w:bodyDiv w:val="1"/>
      <w:marLeft w:val="0"/>
      <w:marRight w:val="0"/>
      <w:marTop w:val="0"/>
      <w:marBottom w:val="0"/>
      <w:divBdr>
        <w:top w:val="none" w:sz="0" w:space="0" w:color="auto"/>
        <w:left w:val="none" w:sz="0" w:space="0" w:color="auto"/>
        <w:bottom w:val="none" w:sz="0" w:space="0" w:color="auto"/>
        <w:right w:val="none" w:sz="0" w:space="0" w:color="auto"/>
      </w:divBdr>
    </w:div>
    <w:div w:id="33232441">
      <w:bodyDiv w:val="1"/>
      <w:marLeft w:val="0"/>
      <w:marRight w:val="0"/>
      <w:marTop w:val="0"/>
      <w:marBottom w:val="0"/>
      <w:divBdr>
        <w:top w:val="none" w:sz="0" w:space="0" w:color="auto"/>
        <w:left w:val="none" w:sz="0" w:space="0" w:color="auto"/>
        <w:bottom w:val="none" w:sz="0" w:space="0" w:color="auto"/>
        <w:right w:val="none" w:sz="0" w:space="0" w:color="auto"/>
      </w:divBdr>
    </w:div>
    <w:div w:id="33236610">
      <w:bodyDiv w:val="1"/>
      <w:marLeft w:val="0"/>
      <w:marRight w:val="0"/>
      <w:marTop w:val="0"/>
      <w:marBottom w:val="0"/>
      <w:divBdr>
        <w:top w:val="none" w:sz="0" w:space="0" w:color="auto"/>
        <w:left w:val="none" w:sz="0" w:space="0" w:color="auto"/>
        <w:bottom w:val="none" w:sz="0" w:space="0" w:color="auto"/>
        <w:right w:val="none" w:sz="0" w:space="0" w:color="auto"/>
      </w:divBdr>
    </w:div>
    <w:div w:id="73431247">
      <w:bodyDiv w:val="1"/>
      <w:marLeft w:val="0"/>
      <w:marRight w:val="0"/>
      <w:marTop w:val="0"/>
      <w:marBottom w:val="0"/>
      <w:divBdr>
        <w:top w:val="none" w:sz="0" w:space="0" w:color="auto"/>
        <w:left w:val="none" w:sz="0" w:space="0" w:color="auto"/>
        <w:bottom w:val="none" w:sz="0" w:space="0" w:color="auto"/>
        <w:right w:val="none" w:sz="0" w:space="0" w:color="auto"/>
      </w:divBdr>
    </w:div>
    <w:div w:id="74714361">
      <w:bodyDiv w:val="1"/>
      <w:marLeft w:val="0"/>
      <w:marRight w:val="0"/>
      <w:marTop w:val="0"/>
      <w:marBottom w:val="0"/>
      <w:divBdr>
        <w:top w:val="none" w:sz="0" w:space="0" w:color="auto"/>
        <w:left w:val="none" w:sz="0" w:space="0" w:color="auto"/>
        <w:bottom w:val="none" w:sz="0" w:space="0" w:color="auto"/>
        <w:right w:val="none" w:sz="0" w:space="0" w:color="auto"/>
      </w:divBdr>
    </w:div>
    <w:div w:id="83109880">
      <w:bodyDiv w:val="1"/>
      <w:marLeft w:val="0"/>
      <w:marRight w:val="0"/>
      <w:marTop w:val="0"/>
      <w:marBottom w:val="0"/>
      <w:divBdr>
        <w:top w:val="none" w:sz="0" w:space="0" w:color="auto"/>
        <w:left w:val="none" w:sz="0" w:space="0" w:color="auto"/>
        <w:bottom w:val="none" w:sz="0" w:space="0" w:color="auto"/>
        <w:right w:val="none" w:sz="0" w:space="0" w:color="auto"/>
      </w:divBdr>
    </w:div>
    <w:div w:id="95641433">
      <w:bodyDiv w:val="1"/>
      <w:marLeft w:val="0"/>
      <w:marRight w:val="0"/>
      <w:marTop w:val="0"/>
      <w:marBottom w:val="0"/>
      <w:divBdr>
        <w:top w:val="none" w:sz="0" w:space="0" w:color="auto"/>
        <w:left w:val="none" w:sz="0" w:space="0" w:color="auto"/>
        <w:bottom w:val="none" w:sz="0" w:space="0" w:color="auto"/>
        <w:right w:val="none" w:sz="0" w:space="0" w:color="auto"/>
      </w:divBdr>
    </w:div>
    <w:div w:id="108548060">
      <w:bodyDiv w:val="1"/>
      <w:marLeft w:val="0"/>
      <w:marRight w:val="0"/>
      <w:marTop w:val="0"/>
      <w:marBottom w:val="0"/>
      <w:divBdr>
        <w:top w:val="none" w:sz="0" w:space="0" w:color="auto"/>
        <w:left w:val="none" w:sz="0" w:space="0" w:color="auto"/>
        <w:bottom w:val="none" w:sz="0" w:space="0" w:color="auto"/>
        <w:right w:val="none" w:sz="0" w:space="0" w:color="auto"/>
      </w:divBdr>
    </w:div>
    <w:div w:id="168908700">
      <w:bodyDiv w:val="1"/>
      <w:marLeft w:val="0"/>
      <w:marRight w:val="0"/>
      <w:marTop w:val="0"/>
      <w:marBottom w:val="0"/>
      <w:divBdr>
        <w:top w:val="none" w:sz="0" w:space="0" w:color="auto"/>
        <w:left w:val="none" w:sz="0" w:space="0" w:color="auto"/>
        <w:bottom w:val="none" w:sz="0" w:space="0" w:color="auto"/>
        <w:right w:val="none" w:sz="0" w:space="0" w:color="auto"/>
      </w:divBdr>
    </w:div>
    <w:div w:id="184025307">
      <w:bodyDiv w:val="1"/>
      <w:marLeft w:val="0"/>
      <w:marRight w:val="0"/>
      <w:marTop w:val="0"/>
      <w:marBottom w:val="0"/>
      <w:divBdr>
        <w:top w:val="none" w:sz="0" w:space="0" w:color="auto"/>
        <w:left w:val="none" w:sz="0" w:space="0" w:color="auto"/>
        <w:bottom w:val="none" w:sz="0" w:space="0" w:color="auto"/>
        <w:right w:val="none" w:sz="0" w:space="0" w:color="auto"/>
      </w:divBdr>
    </w:div>
    <w:div w:id="189151669">
      <w:bodyDiv w:val="1"/>
      <w:marLeft w:val="0"/>
      <w:marRight w:val="0"/>
      <w:marTop w:val="0"/>
      <w:marBottom w:val="0"/>
      <w:divBdr>
        <w:top w:val="none" w:sz="0" w:space="0" w:color="auto"/>
        <w:left w:val="none" w:sz="0" w:space="0" w:color="auto"/>
        <w:bottom w:val="none" w:sz="0" w:space="0" w:color="auto"/>
        <w:right w:val="none" w:sz="0" w:space="0" w:color="auto"/>
      </w:divBdr>
    </w:div>
    <w:div w:id="219100385">
      <w:bodyDiv w:val="1"/>
      <w:marLeft w:val="0"/>
      <w:marRight w:val="0"/>
      <w:marTop w:val="0"/>
      <w:marBottom w:val="0"/>
      <w:divBdr>
        <w:top w:val="none" w:sz="0" w:space="0" w:color="auto"/>
        <w:left w:val="none" w:sz="0" w:space="0" w:color="auto"/>
        <w:bottom w:val="none" w:sz="0" w:space="0" w:color="auto"/>
        <w:right w:val="none" w:sz="0" w:space="0" w:color="auto"/>
      </w:divBdr>
    </w:div>
    <w:div w:id="221984886">
      <w:bodyDiv w:val="1"/>
      <w:marLeft w:val="0"/>
      <w:marRight w:val="0"/>
      <w:marTop w:val="0"/>
      <w:marBottom w:val="0"/>
      <w:divBdr>
        <w:top w:val="none" w:sz="0" w:space="0" w:color="auto"/>
        <w:left w:val="none" w:sz="0" w:space="0" w:color="auto"/>
        <w:bottom w:val="none" w:sz="0" w:space="0" w:color="auto"/>
        <w:right w:val="none" w:sz="0" w:space="0" w:color="auto"/>
      </w:divBdr>
    </w:div>
    <w:div w:id="222909028">
      <w:bodyDiv w:val="1"/>
      <w:marLeft w:val="0"/>
      <w:marRight w:val="0"/>
      <w:marTop w:val="0"/>
      <w:marBottom w:val="0"/>
      <w:divBdr>
        <w:top w:val="none" w:sz="0" w:space="0" w:color="auto"/>
        <w:left w:val="none" w:sz="0" w:space="0" w:color="auto"/>
        <w:bottom w:val="none" w:sz="0" w:space="0" w:color="auto"/>
        <w:right w:val="none" w:sz="0" w:space="0" w:color="auto"/>
      </w:divBdr>
    </w:div>
    <w:div w:id="249853403">
      <w:bodyDiv w:val="1"/>
      <w:marLeft w:val="0"/>
      <w:marRight w:val="0"/>
      <w:marTop w:val="0"/>
      <w:marBottom w:val="0"/>
      <w:divBdr>
        <w:top w:val="none" w:sz="0" w:space="0" w:color="auto"/>
        <w:left w:val="none" w:sz="0" w:space="0" w:color="auto"/>
        <w:bottom w:val="none" w:sz="0" w:space="0" w:color="auto"/>
        <w:right w:val="none" w:sz="0" w:space="0" w:color="auto"/>
      </w:divBdr>
    </w:div>
    <w:div w:id="252670145">
      <w:bodyDiv w:val="1"/>
      <w:marLeft w:val="0"/>
      <w:marRight w:val="0"/>
      <w:marTop w:val="0"/>
      <w:marBottom w:val="0"/>
      <w:divBdr>
        <w:top w:val="none" w:sz="0" w:space="0" w:color="auto"/>
        <w:left w:val="none" w:sz="0" w:space="0" w:color="auto"/>
        <w:bottom w:val="none" w:sz="0" w:space="0" w:color="auto"/>
        <w:right w:val="none" w:sz="0" w:space="0" w:color="auto"/>
      </w:divBdr>
    </w:div>
    <w:div w:id="274750597">
      <w:bodyDiv w:val="1"/>
      <w:marLeft w:val="0"/>
      <w:marRight w:val="0"/>
      <w:marTop w:val="0"/>
      <w:marBottom w:val="0"/>
      <w:divBdr>
        <w:top w:val="none" w:sz="0" w:space="0" w:color="auto"/>
        <w:left w:val="none" w:sz="0" w:space="0" w:color="auto"/>
        <w:bottom w:val="none" w:sz="0" w:space="0" w:color="auto"/>
        <w:right w:val="none" w:sz="0" w:space="0" w:color="auto"/>
      </w:divBdr>
    </w:div>
    <w:div w:id="284309790">
      <w:bodyDiv w:val="1"/>
      <w:marLeft w:val="0"/>
      <w:marRight w:val="0"/>
      <w:marTop w:val="0"/>
      <w:marBottom w:val="0"/>
      <w:divBdr>
        <w:top w:val="none" w:sz="0" w:space="0" w:color="auto"/>
        <w:left w:val="none" w:sz="0" w:space="0" w:color="auto"/>
        <w:bottom w:val="none" w:sz="0" w:space="0" w:color="auto"/>
        <w:right w:val="none" w:sz="0" w:space="0" w:color="auto"/>
      </w:divBdr>
    </w:div>
    <w:div w:id="298338064">
      <w:bodyDiv w:val="1"/>
      <w:marLeft w:val="0"/>
      <w:marRight w:val="0"/>
      <w:marTop w:val="0"/>
      <w:marBottom w:val="0"/>
      <w:divBdr>
        <w:top w:val="none" w:sz="0" w:space="0" w:color="auto"/>
        <w:left w:val="none" w:sz="0" w:space="0" w:color="auto"/>
        <w:bottom w:val="none" w:sz="0" w:space="0" w:color="auto"/>
        <w:right w:val="none" w:sz="0" w:space="0" w:color="auto"/>
      </w:divBdr>
    </w:div>
    <w:div w:id="301542068">
      <w:bodyDiv w:val="1"/>
      <w:marLeft w:val="0"/>
      <w:marRight w:val="0"/>
      <w:marTop w:val="0"/>
      <w:marBottom w:val="0"/>
      <w:divBdr>
        <w:top w:val="none" w:sz="0" w:space="0" w:color="auto"/>
        <w:left w:val="none" w:sz="0" w:space="0" w:color="auto"/>
        <w:bottom w:val="none" w:sz="0" w:space="0" w:color="auto"/>
        <w:right w:val="none" w:sz="0" w:space="0" w:color="auto"/>
      </w:divBdr>
    </w:div>
    <w:div w:id="306858586">
      <w:bodyDiv w:val="1"/>
      <w:marLeft w:val="0"/>
      <w:marRight w:val="0"/>
      <w:marTop w:val="0"/>
      <w:marBottom w:val="0"/>
      <w:divBdr>
        <w:top w:val="none" w:sz="0" w:space="0" w:color="auto"/>
        <w:left w:val="none" w:sz="0" w:space="0" w:color="auto"/>
        <w:bottom w:val="none" w:sz="0" w:space="0" w:color="auto"/>
        <w:right w:val="none" w:sz="0" w:space="0" w:color="auto"/>
      </w:divBdr>
    </w:div>
    <w:div w:id="313682578">
      <w:bodyDiv w:val="1"/>
      <w:marLeft w:val="0"/>
      <w:marRight w:val="0"/>
      <w:marTop w:val="0"/>
      <w:marBottom w:val="0"/>
      <w:divBdr>
        <w:top w:val="none" w:sz="0" w:space="0" w:color="auto"/>
        <w:left w:val="none" w:sz="0" w:space="0" w:color="auto"/>
        <w:bottom w:val="none" w:sz="0" w:space="0" w:color="auto"/>
        <w:right w:val="none" w:sz="0" w:space="0" w:color="auto"/>
      </w:divBdr>
    </w:div>
    <w:div w:id="317734185">
      <w:bodyDiv w:val="1"/>
      <w:marLeft w:val="0"/>
      <w:marRight w:val="0"/>
      <w:marTop w:val="0"/>
      <w:marBottom w:val="0"/>
      <w:divBdr>
        <w:top w:val="none" w:sz="0" w:space="0" w:color="auto"/>
        <w:left w:val="none" w:sz="0" w:space="0" w:color="auto"/>
        <w:bottom w:val="none" w:sz="0" w:space="0" w:color="auto"/>
        <w:right w:val="none" w:sz="0" w:space="0" w:color="auto"/>
      </w:divBdr>
    </w:div>
    <w:div w:id="319387901">
      <w:bodyDiv w:val="1"/>
      <w:marLeft w:val="0"/>
      <w:marRight w:val="0"/>
      <w:marTop w:val="0"/>
      <w:marBottom w:val="0"/>
      <w:divBdr>
        <w:top w:val="none" w:sz="0" w:space="0" w:color="auto"/>
        <w:left w:val="none" w:sz="0" w:space="0" w:color="auto"/>
        <w:bottom w:val="none" w:sz="0" w:space="0" w:color="auto"/>
        <w:right w:val="none" w:sz="0" w:space="0" w:color="auto"/>
      </w:divBdr>
    </w:div>
    <w:div w:id="341974551">
      <w:bodyDiv w:val="1"/>
      <w:marLeft w:val="0"/>
      <w:marRight w:val="0"/>
      <w:marTop w:val="0"/>
      <w:marBottom w:val="0"/>
      <w:divBdr>
        <w:top w:val="none" w:sz="0" w:space="0" w:color="auto"/>
        <w:left w:val="none" w:sz="0" w:space="0" w:color="auto"/>
        <w:bottom w:val="none" w:sz="0" w:space="0" w:color="auto"/>
        <w:right w:val="none" w:sz="0" w:space="0" w:color="auto"/>
      </w:divBdr>
    </w:div>
    <w:div w:id="346979939">
      <w:bodyDiv w:val="1"/>
      <w:marLeft w:val="0"/>
      <w:marRight w:val="0"/>
      <w:marTop w:val="0"/>
      <w:marBottom w:val="0"/>
      <w:divBdr>
        <w:top w:val="none" w:sz="0" w:space="0" w:color="auto"/>
        <w:left w:val="none" w:sz="0" w:space="0" w:color="auto"/>
        <w:bottom w:val="none" w:sz="0" w:space="0" w:color="auto"/>
        <w:right w:val="none" w:sz="0" w:space="0" w:color="auto"/>
      </w:divBdr>
    </w:div>
    <w:div w:id="366181215">
      <w:bodyDiv w:val="1"/>
      <w:marLeft w:val="0"/>
      <w:marRight w:val="0"/>
      <w:marTop w:val="0"/>
      <w:marBottom w:val="0"/>
      <w:divBdr>
        <w:top w:val="none" w:sz="0" w:space="0" w:color="auto"/>
        <w:left w:val="none" w:sz="0" w:space="0" w:color="auto"/>
        <w:bottom w:val="none" w:sz="0" w:space="0" w:color="auto"/>
        <w:right w:val="none" w:sz="0" w:space="0" w:color="auto"/>
      </w:divBdr>
    </w:div>
    <w:div w:id="388504170">
      <w:bodyDiv w:val="1"/>
      <w:marLeft w:val="0"/>
      <w:marRight w:val="0"/>
      <w:marTop w:val="0"/>
      <w:marBottom w:val="0"/>
      <w:divBdr>
        <w:top w:val="none" w:sz="0" w:space="0" w:color="auto"/>
        <w:left w:val="none" w:sz="0" w:space="0" w:color="auto"/>
        <w:bottom w:val="none" w:sz="0" w:space="0" w:color="auto"/>
        <w:right w:val="none" w:sz="0" w:space="0" w:color="auto"/>
      </w:divBdr>
    </w:div>
    <w:div w:id="394741285">
      <w:bodyDiv w:val="1"/>
      <w:marLeft w:val="0"/>
      <w:marRight w:val="0"/>
      <w:marTop w:val="0"/>
      <w:marBottom w:val="0"/>
      <w:divBdr>
        <w:top w:val="none" w:sz="0" w:space="0" w:color="auto"/>
        <w:left w:val="none" w:sz="0" w:space="0" w:color="auto"/>
        <w:bottom w:val="none" w:sz="0" w:space="0" w:color="auto"/>
        <w:right w:val="none" w:sz="0" w:space="0" w:color="auto"/>
      </w:divBdr>
    </w:div>
    <w:div w:id="396243237">
      <w:bodyDiv w:val="1"/>
      <w:marLeft w:val="0"/>
      <w:marRight w:val="0"/>
      <w:marTop w:val="0"/>
      <w:marBottom w:val="0"/>
      <w:divBdr>
        <w:top w:val="none" w:sz="0" w:space="0" w:color="auto"/>
        <w:left w:val="none" w:sz="0" w:space="0" w:color="auto"/>
        <w:bottom w:val="none" w:sz="0" w:space="0" w:color="auto"/>
        <w:right w:val="none" w:sz="0" w:space="0" w:color="auto"/>
      </w:divBdr>
    </w:div>
    <w:div w:id="398989269">
      <w:bodyDiv w:val="1"/>
      <w:marLeft w:val="0"/>
      <w:marRight w:val="0"/>
      <w:marTop w:val="0"/>
      <w:marBottom w:val="0"/>
      <w:divBdr>
        <w:top w:val="none" w:sz="0" w:space="0" w:color="auto"/>
        <w:left w:val="none" w:sz="0" w:space="0" w:color="auto"/>
        <w:bottom w:val="none" w:sz="0" w:space="0" w:color="auto"/>
        <w:right w:val="none" w:sz="0" w:space="0" w:color="auto"/>
      </w:divBdr>
    </w:div>
    <w:div w:id="400565013">
      <w:bodyDiv w:val="1"/>
      <w:marLeft w:val="0"/>
      <w:marRight w:val="0"/>
      <w:marTop w:val="0"/>
      <w:marBottom w:val="0"/>
      <w:divBdr>
        <w:top w:val="none" w:sz="0" w:space="0" w:color="auto"/>
        <w:left w:val="none" w:sz="0" w:space="0" w:color="auto"/>
        <w:bottom w:val="none" w:sz="0" w:space="0" w:color="auto"/>
        <w:right w:val="none" w:sz="0" w:space="0" w:color="auto"/>
      </w:divBdr>
    </w:div>
    <w:div w:id="410274865">
      <w:bodyDiv w:val="1"/>
      <w:marLeft w:val="0"/>
      <w:marRight w:val="0"/>
      <w:marTop w:val="0"/>
      <w:marBottom w:val="0"/>
      <w:divBdr>
        <w:top w:val="none" w:sz="0" w:space="0" w:color="auto"/>
        <w:left w:val="none" w:sz="0" w:space="0" w:color="auto"/>
        <w:bottom w:val="none" w:sz="0" w:space="0" w:color="auto"/>
        <w:right w:val="none" w:sz="0" w:space="0" w:color="auto"/>
      </w:divBdr>
    </w:div>
    <w:div w:id="413091437">
      <w:bodyDiv w:val="1"/>
      <w:marLeft w:val="0"/>
      <w:marRight w:val="0"/>
      <w:marTop w:val="0"/>
      <w:marBottom w:val="0"/>
      <w:divBdr>
        <w:top w:val="none" w:sz="0" w:space="0" w:color="auto"/>
        <w:left w:val="none" w:sz="0" w:space="0" w:color="auto"/>
        <w:bottom w:val="none" w:sz="0" w:space="0" w:color="auto"/>
        <w:right w:val="none" w:sz="0" w:space="0" w:color="auto"/>
      </w:divBdr>
    </w:div>
    <w:div w:id="413866094">
      <w:bodyDiv w:val="1"/>
      <w:marLeft w:val="0"/>
      <w:marRight w:val="0"/>
      <w:marTop w:val="0"/>
      <w:marBottom w:val="0"/>
      <w:divBdr>
        <w:top w:val="none" w:sz="0" w:space="0" w:color="auto"/>
        <w:left w:val="none" w:sz="0" w:space="0" w:color="auto"/>
        <w:bottom w:val="none" w:sz="0" w:space="0" w:color="auto"/>
        <w:right w:val="none" w:sz="0" w:space="0" w:color="auto"/>
      </w:divBdr>
    </w:div>
    <w:div w:id="428817865">
      <w:bodyDiv w:val="1"/>
      <w:marLeft w:val="0"/>
      <w:marRight w:val="0"/>
      <w:marTop w:val="0"/>
      <w:marBottom w:val="0"/>
      <w:divBdr>
        <w:top w:val="none" w:sz="0" w:space="0" w:color="auto"/>
        <w:left w:val="none" w:sz="0" w:space="0" w:color="auto"/>
        <w:bottom w:val="none" w:sz="0" w:space="0" w:color="auto"/>
        <w:right w:val="none" w:sz="0" w:space="0" w:color="auto"/>
      </w:divBdr>
    </w:div>
    <w:div w:id="447819224">
      <w:bodyDiv w:val="1"/>
      <w:marLeft w:val="0"/>
      <w:marRight w:val="0"/>
      <w:marTop w:val="0"/>
      <w:marBottom w:val="0"/>
      <w:divBdr>
        <w:top w:val="none" w:sz="0" w:space="0" w:color="auto"/>
        <w:left w:val="none" w:sz="0" w:space="0" w:color="auto"/>
        <w:bottom w:val="none" w:sz="0" w:space="0" w:color="auto"/>
        <w:right w:val="none" w:sz="0" w:space="0" w:color="auto"/>
      </w:divBdr>
    </w:div>
    <w:div w:id="464585634">
      <w:bodyDiv w:val="1"/>
      <w:marLeft w:val="0"/>
      <w:marRight w:val="0"/>
      <w:marTop w:val="0"/>
      <w:marBottom w:val="0"/>
      <w:divBdr>
        <w:top w:val="none" w:sz="0" w:space="0" w:color="auto"/>
        <w:left w:val="none" w:sz="0" w:space="0" w:color="auto"/>
        <w:bottom w:val="none" w:sz="0" w:space="0" w:color="auto"/>
        <w:right w:val="none" w:sz="0" w:space="0" w:color="auto"/>
      </w:divBdr>
    </w:div>
    <w:div w:id="466317029">
      <w:bodyDiv w:val="1"/>
      <w:marLeft w:val="0"/>
      <w:marRight w:val="0"/>
      <w:marTop w:val="0"/>
      <w:marBottom w:val="0"/>
      <w:divBdr>
        <w:top w:val="none" w:sz="0" w:space="0" w:color="auto"/>
        <w:left w:val="none" w:sz="0" w:space="0" w:color="auto"/>
        <w:bottom w:val="none" w:sz="0" w:space="0" w:color="auto"/>
        <w:right w:val="none" w:sz="0" w:space="0" w:color="auto"/>
      </w:divBdr>
    </w:div>
    <w:div w:id="473648190">
      <w:bodyDiv w:val="1"/>
      <w:marLeft w:val="0"/>
      <w:marRight w:val="0"/>
      <w:marTop w:val="0"/>
      <w:marBottom w:val="0"/>
      <w:divBdr>
        <w:top w:val="none" w:sz="0" w:space="0" w:color="auto"/>
        <w:left w:val="none" w:sz="0" w:space="0" w:color="auto"/>
        <w:bottom w:val="none" w:sz="0" w:space="0" w:color="auto"/>
        <w:right w:val="none" w:sz="0" w:space="0" w:color="auto"/>
      </w:divBdr>
    </w:div>
    <w:div w:id="480773063">
      <w:bodyDiv w:val="1"/>
      <w:marLeft w:val="0"/>
      <w:marRight w:val="0"/>
      <w:marTop w:val="0"/>
      <w:marBottom w:val="0"/>
      <w:divBdr>
        <w:top w:val="none" w:sz="0" w:space="0" w:color="auto"/>
        <w:left w:val="none" w:sz="0" w:space="0" w:color="auto"/>
        <w:bottom w:val="none" w:sz="0" w:space="0" w:color="auto"/>
        <w:right w:val="none" w:sz="0" w:space="0" w:color="auto"/>
      </w:divBdr>
    </w:div>
    <w:div w:id="486895472">
      <w:bodyDiv w:val="1"/>
      <w:marLeft w:val="0"/>
      <w:marRight w:val="0"/>
      <w:marTop w:val="0"/>
      <w:marBottom w:val="0"/>
      <w:divBdr>
        <w:top w:val="none" w:sz="0" w:space="0" w:color="auto"/>
        <w:left w:val="none" w:sz="0" w:space="0" w:color="auto"/>
        <w:bottom w:val="none" w:sz="0" w:space="0" w:color="auto"/>
        <w:right w:val="none" w:sz="0" w:space="0" w:color="auto"/>
      </w:divBdr>
    </w:div>
    <w:div w:id="504636114">
      <w:bodyDiv w:val="1"/>
      <w:marLeft w:val="0"/>
      <w:marRight w:val="0"/>
      <w:marTop w:val="0"/>
      <w:marBottom w:val="0"/>
      <w:divBdr>
        <w:top w:val="none" w:sz="0" w:space="0" w:color="auto"/>
        <w:left w:val="none" w:sz="0" w:space="0" w:color="auto"/>
        <w:bottom w:val="none" w:sz="0" w:space="0" w:color="auto"/>
        <w:right w:val="none" w:sz="0" w:space="0" w:color="auto"/>
      </w:divBdr>
    </w:div>
    <w:div w:id="507183984">
      <w:bodyDiv w:val="1"/>
      <w:marLeft w:val="0"/>
      <w:marRight w:val="0"/>
      <w:marTop w:val="0"/>
      <w:marBottom w:val="0"/>
      <w:divBdr>
        <w:top w:val="none" w:sz="0" w:space="0" w:color="auto"/>
        <w:left w:val="none" w:sz="0" w:space="0" w:color="auto"/>
        <w:bottom w:val="none" w:sz="0" w:space="0" w:color="auto"/>
        <w:right w:val="none" w:sz="0" w:space="0" w:color="auto"/>
      </w:divBdr>
    </w:div>
    <w:div w:id="532839782">
      <w:bodyDiv w:val="1"/>
      <w:marLeft w:val="0"/>
      <w:marRight w:val="0"/>
      <w:marTop w:val="0"/>
      <w:marBottom w:val="0"/>
      <w:divBdr>
        <w:top w:val="none" w:sz="0" w:space="0" w:color="auto"/>
        <w:left w:val="none" w:sz="0" w:space="0" w:color="auto"/>
        <w:bottom w:val="none" w:sz="0" w:space="0" w:color="auto"/>
        <w:right w:val="none" w:sz="0" w:space="0" w:color="auto"/>
      </w:divBdr>
    </w:div>
    <w:div w:id="558710212">
      <w:bodyDiv w:val="1"/>
      <w:marLeft w:val="0"/>
      <w:marRight w:val="0"/>
      <w:marTop w:val="0"/>
      <w:marBottom w:val="0"/>
      <w:divBdr>
        <w:top w:val="none" w:sz="0" w:space="0" w:color="auto"/>
        <w:left w:val="none" w:sz="0" w:space="0" w:color="auto"/>
        <w:bottom w:val="none" w:sz="0" w:space="0" w:color="auto"/>
        <w:right w:val="none" w:sz="0" w:space="0" w:color="auto"/>
      </w:divBdr>
    </w:div>
    <w:div w:id="579951722">
      <w:bodyDiv w:val="1"/>
      <w:marLeft w:val="0"/>
      <w:marRight w:val="0"/>
      <w:marTop w:val="0"/>
      <w:marBottom w:val="0"/>
      <w:divBdr>
        <w:top w:val="none" w:sz="0" w:space="0" w:color="auto"/>
        <w:left w:val="none" w:sz="0" w:space="0" w:color="auto"/>
        <w:bottom w:val="none" w:sz="0" w:space="0" w:color="auto"/>
        <w:right w:val="none" w:sz="0" w:space="0" w:color="auto"/>
      </w:divBdr>
    </w:div>
    <w:div w:id="584613407">
      <w:marLeft w:val="0"/>
      <w:marRight w:val="0"/>
      <w:marTop w:val="0"/>
      <w:marBottom w:val="0"/>
      <w:divBdr>
        <w:top w:val="none" w:sz="0" w:space="0" w:color="auto"/>
        <w:left w:val="none" w:sz="0" w:space="0" w:color="auto"/>
        <w:bottom w:val="none" w:sz="0" w:space="0" w:color="auto"/>
        <w:right w:val="none" w:sz="0" w:space="0" w:color="auto"/>
      </w:divBdr>
    </w:div>
    <w:div w:id="584613408">
      <w:marLeft w:val="0"/>
      <w:marRight w:val="0"/>
      <w:marTop w:val="0"/>
      <w:marBottom w:val="0"/>
      <w:divBdr>
        <w:top w:val="none" w:sz="0" w:space="0" w:color="auto"/>
        <w:left w:val="none" w:sz="0" w:space="0" w:color="auto"/>
        <w:bottom w:val="none" w:sz="0" w:space="0" w:color="auto"/>
        <w:right w:val="none" w:sz="0" w:space="0" w:color="auto"/>
      </w:divBdr>
    </w:div>
    <w:div w:id="584613409">
      <w:marLeft w:val="0"/>
      <w:marRight w:val="0"/>
      <w:marTop w:val="0"/>
      <w:marBottom w:val="0"/>
      <w:divBdr>
        <w:top w:val="none" w:sz="0" w:space="0" w:color="auto"/>
        <w:left w:val="none" w:sz="0" w:space="0" w:color="auto"/>
        <w:bottom w:val="none" w:sz="0" w:space="0" w:color="auto"/>
        <w:right w:val="none" w:sz="0" w:space="0" w:color="auto"/>
      </w:divBdr>
    </w:div>
    <w:div w:id="584613410">
      <w:marLeft w:val="0"/>
      <w:marRight w:val="0"/>
      <w:marTop w:val="0"/>
      <w:marBottom w:val="0"/>
      <w:divBdr>
        <w:top w:val="none" w:sz="0" w:space="0" w:color="auto"/>
        <w:left w:val="none" w:sz="0" w:space="0" w:color="auto"/>
        <w:bottom w:val="none" w:sz="0" w:space="0" w:color="auto"/>
        <w:right w:val="none" w:sz="0" w:space="0" w:color="auto"/>
      </w:divBdr>
    </w:div>
    <w:div w:id="584613411">
      <w:marLeft w:val="0"/>
      <w:marRight w:val="0"/>
      <w:marTop w:val="0"/>
      <w:marBottom w:val="0"/>
      <w:divBdr>
        <w:top w:val="none" w:sz="0" w:space="0" w:color="auto"/>
        <w:left w:val="none" w:sz="0" w:space="0" w:color="auto"/>
        <w:bottom w:val="none" w:sz="0" w:space="0" w:color="auto"/>
        <w:right w:val="none" w:sz="0" w:space="0" w:color="auto"/>
      </w:divBdr>
    </w:div>
    <w:div w:id="584613412">
      <w:marLeft w:val="0"/>
      <w:marRight w:val="0"/>
      <w:marTop w:val="0"/>
      <w:marBottom w:val="0"/>
      <w:divBdr>
        <w:top w:val="none" w:sz="0" w:space="0" w:color="auto"/>
        <w:left w:val="none" w:sz="0" w:space="0" w:color="auto"/>
        <w:bottom w:val="none" w:sz="0" w:space="0" w:color="auto"/>
        <w:right w:val="none" w:sz="0" w:space="0" w:color="auto"/>
      </w:divBdr>
    </w:div>
    <w:div w:id="584613413">
      <w:marLeft w:val="0"/>
      <w:marRight w:val="0"/>
      <w:marTop w:val="0"/>
      <w:marBottom w:val="0"/>
      <w:divBdr>
        <w:top w:val="none" w:sz="0" w:space="0" w:color="auto"/>
        <w:left w:val="none" w:sz="0" w:space="0" w:color="auto"/>
        <w:bottom w:val="none" w:sz="0" w:space="0" w:color="auto"/>
        <w:right w:val="none" w:sz="0" w:space="0" w:color="auto"/>
      </w:divBdr>
    </w:div>
    <w:div w:id="584613414">
      <w:marLeft w:val="0"/>
      <w:marRight w:val="0"/>
      <w:marTop w:val="0"/>
      <w:marBottom w:val="0"/>
      <w:divBdr>
        <w:top w:val="none" w:sz="0" w:space="0" w:color="auto"/>
        <w:left w:val="none" w:sz="0" w:space="0" w:color="auto"/>
        <w:bottom w:val="none" w:sz="0" w:space="0" w:color="auto"/>
        <w:right w:val="none" w:sz="0" w:space="0" w:color="auto"/>
      </w:divBdr>
    </w:div>
    <w:div w:id="584613415">
      <w:marLeft w:val="0"/>
      <w:marRight w:val="0"/>
      <w:marTop w:val="0"/>
      <w:marBottom w:val="0"/>
      <w:divBdr>
        <w:top w:val="none" w:sz="0" w:space="0" w:color="auto"/>
        <w:left w:val="none" w:sz="0" w:space="0" w:color="auto"/>
        <w:bottom w:val="none" w:sz="0" w:space="0" w:color="auto"/>
        <w:right w:val="none" w:sz="0" w:space="0" w:color="auto"/>
      </w:divBdr>
    </w:div>
    <w:div w:id="584613416">
      <w:marLeft w:val="0"/>
      <w:marRight w:val="0"/>
      <w:marTop w:val="0"/>
      <w:marBottom w:val="0"/>
      <w:divBdr>
        <w:top w:val="none" w:sz="0" w:space="0" w:color="auto"/>
        <w:left w:val="none" w:sz="0" w:space="0" w:color="auto"/>
        <w:bottom w:val="none" w:sz="0" w:space="0" w:color="auto"/>
        <w:right w:val="none" w:sz="0" w:space="0" w:color="auto"/>
      </w:divBdr>
    </w:div>
    <w:div w:id="584613417">
      <w:marLeft w:val="0"/>
      <w:marRight w:val="0"/>
      <w:marTop w:val="0"/>
      <w:marBottom w:val="0"/>
      <w:divBdr>
        <w:top w:val="none" w:sz="0" w:space="0" w:color="auto"/>
        <w:left w:val="none" w:sz="0" w:space="0" w:color="auto"/>
        <w:bottom w:val="none" w:sz="0" w:space="0" w:color="auto"/>
        <w:right w:val="none" w:sz="0" w:space="0" w:color="auto"/>
      </w:divBdr>
    </w:div>
    <w:div w:id="584613418">
      <w:marLeft w:val="0"/>
      <w:marRight w:val="0"/>
      <w:marTop w:val="0"/>
      <w:marBottom w:val="0"/>
      <w:divBdr>
        <w:top w:val="none" w:sz="0" w:space="0" w:color="auto"/>
        <w:left w:val="none" w:sz="0" w:space="0" w:color="auto"/>
        <w:bottom w:val="none" w:sz="0" w:space="0" w:color="auto"/>
        <w:right w:val="none" w:sz="0" w:space="0" w:color="auto"/>
      </w:divBdr>
    </w:div>
    <w:div w:id="584613419">
      <w:marLeft w:val="0"/>
      <w:marRight w:val="0"/>
      <w:marTop w:val="0"/>
      <w:marBottom w:val="0"/>
      <w:divBdr>
        <w:top w:val="none" w:sz="0" w:space="0" w:color="auto"/>
        <w:left w:val="none" w:sz="0" w:space="0" w:color="auto"/>
        <w:bottom w:val="none" w:sz="0" w:space="0" w:color="auto"/>
        <w:right w:val="none" w:sz="0" w:space="0" w:color="auto"/>
      </w:divBdr>
    </w:div>
    <w:div w:id="584613420">
      <w:marLeft w:val="0"/>
      <w:marRight w:val="0"/>
      <w:marTop w:val="0"/>
      <w:marBottom w:val="0"/>
      <w:divBdr>
        <w:top w:val="none" w:sz="0" w:space="0" w:color="auto"/>
        <w:left w:val="none" w:sz="0" w:space="0" w:color="auto"/>
        <w:bottom w:val="none" w:sz="0" w:space="0" w:color="auto"/>
        <w:right w:val="none" w:sz="0" w:space="0" w:color="auto"/>
      </w:divBdr>
    </w:div>
    <w:div w:id="584613421">
      <w:marLeft w:val="0"/>
      <w:marRight w:val="0"/>
      <w:marTop w:val="0"/>
      <w:marBottom w:val="0"/>
      <w:divBdr>
        <w:top w:val="none" w:sz="0" w:space="0" w:color="auto"/>
        <w:left w:val="none" w:sz="0" w:space="0" w:color="auto"/>
        <w:bottom w:val="none" w:sz="0" w:space="0" w:color="auto"/>
        <w:right w:val="none" w:sz="0" w:space="0" w:color="auto"/>
      </w:divBdr>
    </w:div>
    <w:div w:id="584613422">
      <w:marLeft w:val="0"/>
      <w:marRight w:val="0"/>
      <w:marTop w:val="0"/>
      <w:marBottom w:val="0"/>
      <w:divBdr>
        <w:top w:val="none" w:sz="0" w:space="0" w:color="auto"/>
        <w:left w:val="none" w:sz="0" w:space="0" w:color="auto"/>
        <w:bottom w:val="none" w:sz="0" w:space="0" w:color="auto"/>
        <w:right w:val="none" w:sz="0" w:space="0" w:color="auto"/>
      </w:divBdr>
    </w:div>
    <w:div w:id="584613423">
      <w:marLeft w:val="0"/>
      <w:marRight w:val="0"/>
      <w:marTop w:val="0"/>
      <w:marBottom w:val="0"/>
      <w:divBdr>
        <w:top w:val="none" w:sz="0" w:space="0" w:color="auto"/>
        <w:left w:val="none" w:sz="0" w:space="0" w:color="auto"/>
        <w:bottom w:val="none" w:sz="0" w:space="0" w:color="auto"/>
        <w:right w:val="none" w:sz="0" w:space="0" w:color="auto"/>
      </w:divBdr>
    </w:div>
    <w:div w:id="584613424">
      <w:marLeft w:val="0"/>
      <w:marRight w:val="0"/>
      <w:marTop w:val="0"/>
      <w:marBottom w:val="0"/>
      <w:divBdr>
        <w:top w:val="none" w:sz="0" w:space="0" w:color="auto"/>
        <w:left w:val="none" w:sz="0" w:space="0" w:color="auto"/>
        <w:bottom w:val="none" w:sz="0" w:space="0" w:color="auto"/>
        <w:right w:val="none" w:sz="0" w:space="0" w:color="auto"/>
      </w:divBdr>
    </w:div>
    <w:div w:id="584613425">
      <w:marLeft w:val="0"/>
      <w:marRight w:val="0"/>
      <w:marTop w:val="0"/>
      <w:marBottom w:val="0"/>
      <w:divBdr>
        <w:top w:val="none" w:sz="0" w:space="0" w:color="auto"/>
        <w:left w:val="none" w:sz="0" w:space="0" w:color="auto"/>
        <w:bottom w:val="none" w:sz="0" w:space="0" w:color="auto"/>
        <w:right w:val="none" w:sz="0" w:space="0" w:color="auto"/>
      </w:divBdr>
    </w:div>
    <w:div w:id="584613426">
      <w:marLeft w:val="0"/>
      <w:marRight w:val="0"/>
      <w:marTop w:val="0"/>
      <w:marBottom w:val="0"/>
      <w:divBdr>
        <w:top w:val="none" w:sz="0" w:space="0" w:color="auto"/>
        <w:left w:val="none" w:sz="0" w:space="0" w:color="auto"/>
        <w:bottom w:val="none" w:sz="0" w:space="0" w:color="auto"/>
        <w:right w:val="none" w:sz="0" w:space="0" w:color="auto"/>
      </w:divBdr>
    </w:div>
    <w:div w:id="584613427">
      <w:marLeft w:val="0"/>
      <w:marRight w:val="0"/>
      <w:marTop w:val="0"/>
      <w:marBottom w:val="0"/>
      <w:divBdr>
        <w:top w:val="none" w:sz="0" w:space="0" w:color="auto"/>
        <w:left w:val="none" w:sz="0" w:space="0" w:color="auto"/>
        <w:bottom w:val="none" w:sz="0" w:space="0" w:color="auto"/>
        <w:right w:val="none" w:sz="0" w:space="0" w:color="auto"/>
      </w:divBdr>
    </w:div>
    <w:div w:id="584613428">
      <w:marLeft w:val="0"/>
      <w:marRight w:val="0"/>
      <w:marTop w:val="0"/>
      <w:marBottom w:val="0"/>
      <w:divBdr>
        <w:top w:val="none" w:sz="0" w:space="0" w:color="auto"/>
        <w:left w:val="none" w:sz="0" w:space="0" w:color="auto"/>
        <w:bottom w:val="none" w:sz="0" w:space="0" w:color="auto"/>
        <w:right w:val="none" w:sz="0" w:space="0" w:color="auto"/>
      </w:divBdr>
    </w:div>
    <w:div w:id="584613429">
      <w:marLeft w:val="0"/>
      <w:marRight w:val="0"/>
      <w:marTop w:val="0"/>
      <w:marBottom w:val="0"/>
      <w:divBdr>
        <w:top w:val="none" w:sz="0" w:space="0" w:color="auto"/>
        <w:left w:val="none" w:sz="0" w:space="0" w:color="auto"/>
        <w:bottom w:val="none" w:sz="0" w:space="0" w:color="auto"/>
        <w:right w:val="none" w:sz="0" w:space="0" w:color="auto"/>
      </w:divBdr>
    </w:div>
    <w:div w:id="584613430">
      <w:marLeft w:val="0"/>
      <w:marRight w:val="0"/>
      <w:marTop w:val="0"/>
      <w:marBottom w:val="0"/>
      <w:divBdr>
        <w:top w:val="none" w:sz="0" w:space="0" w:color="auto"/>
        <w:left w:val="none" w:sz="0" w:space="0" w:color="auto"/>
        <w:bottom w:val="none" w:sz="0" w:space="0" w:color="auto"/>
        <w:right w:val="none" w:sz="0" w:space="0" w:color="auto"/>
      </w:divBdr>
    </w:div>
    <w:div w:id="584613431">
      <w:marLeft w:val="0"/>
      <w:marRight w:val="0"/>
      <w:marTop w:val="0"/>
      <w:marBottom w:val="0"/>
      <w:divBdr>
        <w:top w:val="none" w:sz="0" w:space="0" w:color="auto"/>
        <w:left w:val="none" w:sz="0" w:space="0" w:color="auto"/>
        <w:bottom w:val="none" w:sz="0" w:space="0" w:color="auto"/>
        <w:right w:val="none" w:sz="0" w:space="0" w:color="auto"/>
      </w:divBdr>
    </w:div>
    <w:div w:id="584613432">
      <w:marLeft w:val="0"/>
      <w:marRight w:val="0"/>
      <w:marTop w:val="0"/>
      <w:marBottom w:val="0"/>
      <w:divBdr>
        <w:top w:val="none" w:sz="0" w:space="0" w:color="auto"/>
        <w:left w:val="none" w:sz="0" w:space="0" w:color="auto"/>
        <w:bottom w:val="none" w:sz="0" w:space="0" w:color="auto"/>
        <w:right w:val="none" w:sz="0" w:space="0" w:color="auto"/>
      </w:divBdr>
    </w:div>
    <w:div w:id="584613433">
      <w:marLeft w:val="0"/>
      <w:marRight w:val="0"/>
      <w:marTop w:val="0"/>
      <w:marBottom w:val="0"/>
      <w:divBdr>
        <w:top w:val="none" w:sz="0" w:space="0" w:color="auto"/>
        <w:left w:val="none" w:sz="0" w:space="0" w:color="auto"/>
        <w:bottom w:val="none" w:sz="0" w:space="0" w:color="auto"/>
        <w:right w:val="none" w:sz="0" w:space="0" w:color="auto"/>
      </w:divBdr>
    </w:div>
    <w:div w:id="584613434">
      <w:marLeft w:val="0"/>
      <w:marRight w:val="0"/>
      <w:marTop w:val="0"/>
      <w:marBottom w:val="0"/>
      <w:divBdr>
        <w:top w:val="none" w:sz="0" w:space="0" w:color="auto"/>
        <w:left w:val="none" w:sz="0" w:space="0" w:color="auto"/>
        <w:bottom w:val="none" w:sz="0" w:space="0" w:color="auto"/>
        <w:right w:val="none" w:sz="0" w:space="0" w:color="auto"/>
      </w:divBdr>
    </w:div>
    <w:div w:id="584613435">
      <w:marLeft w:val="0"/>
      <w:marRight w:val="0"/>
      <w:marTop w:val="0"/>
      <w:marBottom w:val="0"/>
      <w:divBdr>
        <w:top w:val="none" w:sz="0" w:space="0" w:color="auto"/>
        <w:left w:val="none" w:sz="0" w:space="0" w:color="auto"/>
        <w:bottom w:val="none" w:sz="0" w:space="0" w:color="auto"/>
        <w:right w:val="none" w:sz="0" w:space="0" w:color="auto"/>
      </w:divBdr>
    </w:div>
    <w:div w:id="584613436">
      <w:marLeft w:val="0"/>
      <w:marRight w:val="0"/>
      <w:marTop w:val="0"/>
      <w:marBottom w:val="0"/>
      <w:divBdr>
        <w:top w:val="none" w:sz="0" w:space="0" w:color="auto"/>
        <w:left w:val="none" w:sz="0" w:space="0" w:color="auto"/>
        <w:bottom w:val="none" w:sz="0" w:space="0" w:color="auto"/>
        <w:right w:val="none" w:sz="0" w:space="0" w:color="auto"/>
      </w:divBdr>
    </w:div>
    <w:div w:id="584613437">
      <w:marLeft w:val="0"/>
      <w:marRight w:val="0"/>
      <w:marTop w:val="0"/>
      <w:marBottom w:val="0"/>
      <w:divBdr>
        <w:top w:val="none" w:sz="0" w:space="0" w:color="auto"/>
        <w:left w:val="none" w:sz="0" w:space="0" w:color="auto"/>
        <w:bottom w:val="none" w:sz="0" w:space="0" w:color="auto"/>
        <w:right w:val="none" w:sz="0" w:space="0" w:color="auto"/>
      </w:divBdr>
    </w:div>
    <w:div w:id="584613438">
      <w:marLeft w:val="0"/>
      <w:marRight w:val="0"/>
      <w:marTop w:val="0"/>
      <w:marBottom w:val="0"/>
      <w:divBdr>
        <w:top w:val="none" w:sz="0" w:space="0" w:color="auto"/>
        <w:left w:val="none" w:sz="0" w:space="0" w:color="auto"/>
        <w:bottom w:val="none" w:sz="0" w:space="0" w:color="auto"/>
        <w:right w:val="none" w:sz="0" w:space="0" w:color="auto"/>
      </w:divBdr>
    </w:div>
    <w:div w:id="584613439">
      <w:marLeft w:val="0"/>
      <w:marRight w:val="0"/>
      <w:marTop w:val="0"/>
      <w:marBottom w:val="0"/>
      <w:divBdr>
        <w:top w:val="none" w:sz="0" w:space="0" w:color="auto"/>
        <w:left w:val="none" w:sz="0" w:space="0" w:color="auto"/>
        <w:bottom w:val="none" w:sz="0" w:space="0" w:color="auto"/>
        <w:right w:val="none" w:sz="0" w:space="0" w:color="auto"/>
      </w:divBdr>
    </w:div>
    <w:div w:id="584613440">
      <w:marLeft w:val="0"/>
      <w:marRight w:val="0"/>
      <w:marTop w:val="0"/>
      <w:marBottom w:val="0"/>
      <w:divBdr>
        <w:top w:val="none" w:sz="0" w:space="0" w:color="auto"/>
        <w:left w:val="none" w:sz="0" w:space="0" w:color="auto"/>
        <w:bottom w:val="none" w:sz="0" w:space="0" w:color="auto"/>
        <w:right w:val="none" w:sz="0" w:space="0" w:color="auto"/>
      </w:divBdr>
    </w:div>
    <w:div w:id="584613441">
      <w:marLeft w:val="0"/>
      <w:marRight w:val="0"/>
      <w:marTop w:val="0"/>
      <w:marBottom w:val="0"/>
      <w:divBdr>
        <w:top w:val="none" w:sz="0" w:space="0" w:color="auto"/>
        <w:left w:val="none" w:sz="0" w:space="0" w:color="auto"/>
        <w:bottom w:val="none" w:sz="0" w:space="0" w:color="auto"/>
        <w:right w:val="none" w:sz="0" w:space="0" w:color="auto"/>
      </w:divBdr>
    </w:div>
    <w:div w:id="584613442">
      <w:marLeft w:val="0"/>
      <w:marRight w:val="0"/>
      <w:marTop w:val="0"/>
      <w:marBottom w:val="0"/>
      <w:divBdr>
        <w:top w:val="none" w:sz="0" w:space="0" w:color="auto"/>
        <w:left w:val="none" w:sz="0" w:space="0" w:color="auto"/>
        <w:bottom w:val="none" w:sz="0" w:space="0" w:color="auto"/>
        <w:right w:val="none" w:sz="0" w:space="0" w:color="auto"/>
      </w:divBdr>
    </w:div>
    <w:div w:id="584613443">
      <w:marLeft w:val="0"/>
      <w:marRight w:val="0"/>
      <w:marTop w:val="0"/>
      <w:marBottom w:val="0"/>
      <w:divBdr>
        <w:top w:val="none" w:sz="0" w:space="0" w:color="auto"/>
        <w:left w:val="none" w:sz="0" w:space="0" w:color="auto"/>
        <w:bottom w:val="none" w:sz="0" w:space="0" w:color="auto"/>
        <w:right w:val="none" w:sz="0" w:space="0" w:color="auto"/>
      </w:divBdr>
    </w:div>
    <w:div w:id="584613444">
      <w:marLeft w:val="0"/>
      <w:marRight w:val="0"/>
      <w:marTop w:val="0"/>
      <w:marBottom w:val="0"/>
      <w:divBdr>
        <w:top w:val="none" w:sz="0" w:space="0" w:color="auto"/>
        <w:left w:val="none" w:sz="0" w:space="0" w:color="auto"/>
        <w:bottom w:val="none" w:sz="0" w:space="0" w:color="auto"/>
        <w:right w:val="none" w:sz="0" w:space="0" w:color="auto"/>
      </w:divBdr>
    </w:div>
    <w:div w:id="584613445">
      <w:marLeft w:val="0"/>
      <w:marRight w:val="0"/>
      <w:marTop w:val="0"/>
      <w:marBottom w:val="0"/>
      <w:divBdr>
        <w:top w:val="none" w:sz="0" w:space="0" w:color="auto"/>
        <w:left w:val="none" w:sz="0" w:space="0" w:color="auto"/>
        <w:bottom w:val="none" w:sz="0" w:space="0" w:color="auto"/>
        <w:right w:val="none" w:sz="0" w:space="0" w:color="auto"/>
      </w:divBdr>
    </w:div>
    <w:div w:id="584613446">
      <w:marLeft w:val="0"/>
      <w:marRight w:val="0"/>
      <w:marTop w:val="0"/>
      <w:marBottom w:val="0"/>
      <w:divBdr>
        <w:top w:val="none" w:sz="0" w:space="0" w:color="auto"/>
        <w:left w:val="none" w:sz="0" w:space="0" w:color="auto"/>
        <w:bottom w:val="none" w:sz="0" w:space="0" w:color="auto"/>
        <w:right w:val="none" w:sz="0" w:space="0" w:color="auto"/>
      </w:divBdr>
    </w:div>
    <w:div w:id="584613447">
      <w:marLeft w:val="0"/>
      <w:marRight w:val="0"/>
      <w:marTop w:val="0"/>
      <w:marBottom w:val="0"/>
      <w:divBdr>
        <w:top w:val="none" w:sz="0" w:space="0" w:color="auto"/>
        <w:left w:val="none" w:sz="0" w:space="0" w:color="auto"/>
        <w:bottom w:val="none" w:sz="0" w:space="0" w:color="auto"/>
        <w:right w:val="none" w:sz="0" w:space="0" w:color="auto"/>
      </w:divBdr>
    </w:div>
    <w:div w:id="584613448">
      <w:marLeft w:val="0"/>
      <w:marRight w:val="0"/>
      <w:marTop w:val="0"/>
      <w:marBottom w:val="0"/>
      <w:divBdr>
        <w:top w:val="none" w:sz="0" w:space="0" w:color="auto"/>
        <w:left w:val="none" w:sz="0" w:space="0" w:color="auto"/>
        <w:bottom w:val="none" w:sz="0" w:space="0" w:color="auto"/>
        <w:right w:val="none" w:sz="0" w:space="0" w:color="auto"/>
      </w:divBdr>
    </w:div>
    <w:div w:id="584613449">
      <w:marLeft w:val="0"/>
      <w:marRight w:val="0"/>
      <w:marTop w:val="0"/>
      <w:marBottom w:val="0"/>
      <w:divBdr>
        <w:top w:val="none" w:sz="0" w:space="0" w:color="auto"/>
        <w:left w:val="none" w:sz="0" w:space="0" w:color="auto"/>
        <w:bottom w:val="none" w:sz="0" w:space="0" w:color="auto"/>
        <w:right w:val="none" w:sz="0" w:space="0" w:color="auto"/>
      </w:divBdr>
    </w:div>
    <w:div w:id="584613450">
      <w:marLeft w:val="0"/>
      <w:marRight w:val="0"/>
      <w:marTop w:val="0"/>
      <w:marBottom w:val="0"/>
      <w:divBdr>
        <w:top w:val="none" w:sz="0" w:space="0" w:color="auto"/>
        <w:left w:val="none" w:sz="0" w:space="0" w:color="auto"/>
        <w:bottom w:val="none" w:sz="0" w:space="0" w:color="auto"/>
        <w:right w:val="none" w:sz="0" w:space="0" w:color="auto"/>
      </w:divBdr>
    </w:div>
    <w:div w:id="584613451">
      <w:marLeft w:val="0"/>
      <w:marRight w:val="0"/>
      <w:marTop w:val="0"/>
      <w:marBottom w:val="0"/>
      <w:divBdr>
        <w:top w:val="none" w:sz="0" w:space="0" w:color="auto"/>
        <w:left w:val="none" w:sz="0" w:space="0" w:color="auto"/>
        <w:bottom w:val="none" w:sz="0" w:space="0" w:color="auto"/>
        <w:right w:val="none" w:sz="0" w:space="0" w:color="auto"/>
      </w:divBdr>
    </w:div>
    <w:div w:id="584613452">
      <w:marLeft w:val="0"/>
      <w:marRight w:val="0"/>
      <w:marTop w:val="0"/>
      <w:marBottom w:val="0"/>
      <w:divBdr>
        <w:top w:val="none" w:sz="0" w:space="0" w:color="auto"/>
        <w:left w:val="none" w:sz="0" w:space="0" w:color="auto"/>
        <w:bottom w:val="none" w:sz="0" w:space="0" w:color="auto"/>
        <w:right w:val="none" w:sz="0" w:space="0" w:color="auto"/>
      </w:divBdr>
    </w:div>
    <w:div w:id="584613453">
      <w:marLeft w:val="0"/>
      <w:marRight w:val="0"/>
      <w:marTop w:val="0"/>
      <w:marBottom w:val="0"/>
      <w:divBdr>
        <w:top w:val="none" w:sz="0" w:space="0" w:color="auto"/>
        <w:left w:val="none" w:sz="0" w:space="0" w:color="auto"/>
        <w:bottom w:val="none" w:sz="0" w:space="0" w:color="auto"/>
        <w:right w:val="none" w:sz="0" w:space="0" w:color="auto"/>
      </w:divBdr>
    </w:div>
    <w:div w:id="584613454">
      <w:marLeft w:val="0"/>
      <w:marRight w:val="0"/>
      <w:marTop w:val="0"/>
      <w:marBottom w:val="0"/>
      <w:divBdr>
        <w:top w:val="none" w:sz="0" w:space="0" w:color="auto"/>
        <w:left w:val="none" w:sz="0" w:space="0" w:color="auto"/>
        <w:bottom w:val="none" w:sz="0" w:space="0" w:color="auto"/>
        <w:right w:val="none" w:sz="0" w:space="0" w:color="auto"/>
      </w:divBdr>
    </w:div>
    <w:div w:id="584613455">
      <w:marLeft w:val="0"/>
      <w:marRight w:val="0"/>
      <w:marTop w:val="0"/>
      <w:marBottom w:val="0"/>
      <w:divBdr>
        <w:top w:val="none" w:sz="0" w:space="0" w:color="auto"/>
        <w:left w:val="none" w:sz="0" w:space="0" w:color="auto"/>
        <w:bottom w:val="none" w:sz="0" w:space="0" w:color="auto"/>
        <w:right w:val="none" w:sz="0" w:space="0" w:color="auto"/>
      </w:divBdr>
    </w:div>
    <w:div w:id="584613456">
      <w:marLeft w:val="0"/>
      <w:marRight w:val="0"/>
      <w:marTop w:val="0"/>
      <w:marBottom w:val="0"/>
      <w:divBdr>
        <w:top w:val="none" w:sz="0" w:space="0" w:color="auto"/>
        <w:left w:val="none" w:sz="0" w:space="0" w:color="auto"/>
        <w:bottom w:val="none" w:sz="0" w:space="0" w:color="auto"/>
        <w:right w:val="none" w:sz="0" w:space="0" w:color="auto"/>
      </w:divBdr>
    </w:div>
    <w:div w:id="584613457">
      <w:marLeft w:val="0"/>
      <w:marRight w:val="0"/>
      <w:marTop w:val="0"/>
      <w:marBottom w:val="0"/>
      <w:divBdr>
        <w:top w:val="none" w:sz="0" w:space="0" w:color="auto"/>
        <w:left w:val="none" w:sz="0" w:space="0" w:color="auto"/>
        <w:bottom w:val="none" w:sz="0" w:space="0" w:color="auto"/>
        <w:right w:val="none" w:sz="0" w:space="0" w:color="auto"/>
      </w:divBdr>
    </w:div>
    <w:div w:id="584613458">
      <w:marLeft w:val="0"/>
      <w:marRight w:val="0"/>
      <w:marTop w:val="0"/>
      <w:marBottom w:val="0"/>
      <w:divBdr>
        <w:top w:val="none" w:sz="0" w:space="0" w:color="auto"/>
        <w:left w:val="none" w:sz="0" w:space="0" w:color="auto"/>
        <w:bottom w:val="none" w:sz="0" w:space="0" w:color="auto"/>
        <w:right w:val="none" w:sz="0" w:space="0" w:color="auto"/>
      </w:divBdr>
    </w:div>
    <w:div w:id="584613459">
      <w:marLeft w:val="0"/>
      <w:marRight w:val="0"/>
      <w:marTop w:val="0"/>
      <w:marBottom w:val="0"/>
      <w:divBdr>
        <w:top w:val="none" w:sz="0" w:space="0" w:color="auto"/>
        <w:left w:val="none" w:sz="0" w:space="0" w:color="auto"/>
        <w:bottom w:val="none" w:sz="0" w:space="0" w:color="auto"/>
        <w:right w:val="none" w:sz="0" w:space="0" w:color="auto"/>
      </w:divBdr>
    </w:div>
    <w:div w:id="584613460">
      <w:marLeft w:val="0"/>
      <w:marRight w:val="0"/>
      <w:marTop w:val="0"/>
      <w:marBottom w:val="0"/>
      <w:divBdr>
        <w:top w:val="none" w:sz="0" w:space="0" w:color="auto"/>
        <w:left w:val="none" w:sz="0" w:space="0" w:color="auto"/>
        <w:bottom w:val="none" w:sz="0" w:space="0" w:color="auto"/>
        <w:right w:val="none" w:sz="0" w:space="0" w:color="auto"/>
      </w:divBdr>
    </w:div>
    <w:div w:id="584613461">
      <w:marLeft w:val="0"/>
      <w:marRight w:val="0"/>
      <w:marTop w:val="0"/>
      <w:marBottom w:val="0"/>
      <w:divBdr>
        <w:top w:val="none" w:sz="0" w:space="0" w:color="auto"/>
        <w:left w:val="none" w:sz="0" w:space="0" w:color="auto"/>
        <w:bottom w:val="none" w:sz="0" w:space="0" w:color="auto"/>
        <w:right w:val="none" w:sz="0" w:space="0" w:color="auto"/>
      </w:divBdr>
    </w:div>
    <w:div w:id="584613462">
      <w:marLeft w:val="0"/>
      <w:marRight w:val="0"/>
      <w:marTop w:val="0"/>
      <w:marBottom w:val="0"/>
      <w:divBdr>
        <w:top w:val="none" w:sz="0" w:space="0" w:color="auto"/>
        <w:left w:val="none" w:sz="0" w:space="0" w:color="auto"/>
        <w:bottom w:val="none" w:sz="0" w:space="0" w:color="auto"/>
        <w:right w:val="none" w:sz="0" w:space="0" w:color="auto"/>
      </w:divBdr>
    </w:div>
    <w:div w:id="584613463">
      <w:marLeft w:val="0"/>
      <w:marRight w:val="0"/>
      <w:marTop w:val="0"/>
      <w:marBottom w:val="0"/>
      <w:divBdr>
        <w:top w:val="none" w:sz="0" w:space="0" w:color="auto"/>
        <w:left w:val="none" w:sz="0" w:space="0" w:color="auto"/>
        <w:bottom w:val="none" w:sz="0" w:space="0" w:color="auto"/>
        <w:right w:val="none" w:sz="0" w:space="0" w:color="auto"/>
      </w:divBdr>
    </w:div>
    <w:div w:id="584613464">
      <w:marLeft w:val="0"/>
      <w:marRight w:val="0"/>
      <w:marTop w:val="0"/>
      <w:marBottom w:val="0"/>
      <w:divBdr>
        <w:top w:val="none" w:sz="0" w:space="0" w:color="auto"/>
        <w:left w:val="none" w:sz="0" w:space="0" w:color="auto"/>
        <w:bottom w:val="none" w:sz="0" w:space="0" w:color="auto"/>
        <w:right w:val="none" w:sz="0" w:space="0" w:color="auto"/>
      </w:divBdr>
    </w:div>
    <w:div w:id="584613465">
      <w:marLeft w:val="0"/>
      <w:marRight w:val="0"/>
      <w:marTop w:val="0"/>
      <w:marBottom w:val="0"/>
      <w:divBdr>
        <w:top w:val="none" w:sz="0" w:space="0" w:color="auto"/>
        <w:left w:val="none" w:sz="0" w:space="0" w:color="auto"/>
        <w:bottom w:val="none" w:sz="0" w:space="0" w:color="auto"/>
        <w:right w:val="none" w:sz="0" w:space="0" w:color="auto"/>
      </w:divBdr>
    </w:div>
    <w:div w:id="584613466">
      <w:marLeft w:val="0"/>
      <w:marRight w:val="0"/>
      <w:marTop w:val="0"/>
      <w:marBottom w:val="0"/>
      <w:divBdr>
        <w:top w:val="none" w:sz="0" w:space="0" w:color="auto"/>
        <w:left w:val="none" w:sz="0" w:space="0" w:color="auto"/>
        <w:bottom w:val="none" w:sz="0" w:space="0" w:color="auto"/>
        <w:right w:val="none" w:sz="0" w:space="0" w:color="auto"/>
      </w:divBdr>
    </w:div>
    <w:div w:id="584613467">
      <w:marLeft w:val="0"/>
      <w:marRight w:val="0"/>
      <w:marTop w:val="0"/>
      <w:marBottom w:val="0"/>
      <w:divBdr>
        <w:top w:val="none" w:sz="0" w:space="0" w:color="auto"/>
        <w:left w:val="none" w:sz="0" w:space="0" w:color="auto"/>
        <w:bottom w:val="none" w:sz="0" w:space="0" w:color="auto"/>
        <w:right w:val="none" w:sz="0" w:space="0" w:color="auto"/>
      </w:divBdr>
    </w:div>
    <w:div w:id="584613468">
      <w:marLeft w:val="0"/>
      <w:marRight w:val="0"/>
      <w:marTop w:val="0"/>
      <w:marBottom w:val="0"/>
      <w:divBdr>
        <w:top w:val="none" w:sz="0" w:space="0" w:color="auto"/>
        <w:left w:val="none" w:sz="0" w:space="0" w:color="auto"/>
        <w:bottom w:val="none" w:sz="0" w:space="0" w:color="auto"/>
        <w:right w:val="none" w:sz="0" w:space="0" w:color="auto"/>
      </w:divBdr>
    </w:div>
    <w:div w:id="584613469">
      <w:marLeft w:val="0"/>
      <w:marRight w:val="0"/>
      <w:marTop w:val="0"/>
      <w:marBottom w:val="0"/>
      <w:divBdr>
        <w:top w:val="none" w:sz="0" w:space="0" w:color="auto"/>
        <w:left w:val="none" w:sz="0" w:space="0" w:color="auto"/>
        <w:bottom w:val="none" w:sz="0" w:space="0" w:color="auto"/>
        <w:right w:val="none" w:sz="0" w:space="0" w:color="auto"/>
      </w:divBdr>
    </w:div>
    <w:div w:id="584613470">
      <w:marLeft w:val="0"/>
      <w:marRight w:val="0"/>
      <w:marTop w:val="0"/>
      <w:marBottom w:val="0"/>
      <w:divBdr>
        <w:top w:val="none" w:sz="0" w:space="0" w:color="auto"/>
        <w:left w:val="none" w:sz="0" w:space="0" w:color="auto"/>
        <w:bottom w:val="none" w:sz="0" w:space="0" w:color="auto"/>
        <w:right w:val="none" w:sz="0" w:space="0" w:color="auto"/>
      </w:divBdr>
    </w:div>
    <w:div w:id="584613471">
      <w:marLeft w:val="0"/>
      <w:marRight w:val="0"/>
      <w:marTop w:val="0"/>
      <w:marBottom w:val="0"/>
      <w:divBdr>
        <w:top w:val="none" w:sz="0" w:space="0" w:color="auto"/>
        <w:left w:val="none" w:sz="0" w:space="0" w:color="auto"/>
        <w:bottom w:val="none" w:sz="0" w:space="0" w:color="auto"/>
        <w:right w:val="none" w:sz="0" w:space="0" w:color="auto"/>
      </w:divBdr>
    </w:div>
    <w:div w:id="584613472">
      <w:marLeft w:val="0"/>
      <w:marRight w:val="0"/>
      <w:marTop w:val="0"/>
      <w:marBottom w:val="0"/>
      <w:divBdr>
        <w:top w:val="none" w:sz="0" w:space="0" w:color="auto"/>
        <w:left w:val="none" w:sz="0" w:space="0" w:color="auto"/>
        <w:bottom w:val="none" w:sz="0" w:space="0" w:color="auto"/>
        <w:right w:val="none" w:sz="0" w:space="0" w:color="auto"/>
      </w:divBdr>
    </w:div>
    <w:div w:id="584613473">
      <w:marLeft w:val="0"/>
      <w:marRight w:val="0"/>
      <w:marTop w:val="0"/>
      <w:marBottom w:val="0"/>
      <w:divBdr>
        <w:top w:val="none" w:sz="0" w:space="0" w:color="auto"/>
        <w:left w:val="none" w:sz="0" w:space="0" w:color="auto"/>
        <w:bottom w:val="none" w:sz="0" w:space="0" w:color="auto"/>
        <w:right w:val="none" w:sz="0" w:space="0" w:color="auto"/>
      </w:divBdr>
    </w:div>
    <w:div w:id="584613474">
      <w:marLeft w:val="0"/>
      <w:marRight w:val="0"/>
      <w:marTop w:val="0"/>
      <w:marBottom w:val="0"/>
      <w:divBdr>
        <w:top w:val="none" w:sz="0" w:space="0" w:color="auto"/>
        <w:left w:val="none" w:sz="0" w:space="0" w:color="auto"/>
        <w:bottom w:val="none" w:sz="0" w:space="0" w:color="auto"/>
        <w:right w:val="none" w:sz="0" w:space="0" w:color="auto"/>
      </w:divBdr>
    </w:div>
    <w:div w:id="584613475">
      <w:marLeft w:val="0"/>
      <w:marRight w:val="0"/>
      <w:marTop w:val="0"/>
      <w:marBottom w:val="0"/>
      <w:divBdr>
        <w:top w:val="none" w:sz="0" w:space="0" w:color="auto"/>
        <w:left w:val="none" w:sz="0" w:space="0" w:color="auto"/>
        <w:bottom w:val="none" w:sz="0" w:space="0" w:color="auto"/>
        <w:right w:val="none" w:sz="0" w:space="0" w:color="auto"/>
      </w:divBdr>
    </w:div>
    <w:div w:id="584613476">
      <w:marLeft w:val="0"/>
      <w:marRight w:val="0"/>
      <w:marTop w:val="0"/>
      <w:marBottom w:val="0"/>
      <w:divBdr>
        <w:top w:val="none" w:sz="0" w:space="0" w:color="auto"/>
        <w:left w:val="none" w:sz="0" w:space="0" w:color="auto"/>
        <w:bottom w:val="none" w:sz="0" w:space="0" w:color="auto"/>
        <w:right w:val="none" w:sz="0" w:space="0" w:color="auto"/>
      </w:divBdr>
    </w:div>
    <w:div w:id="584613477">
      <w:marLeft w:val="0"/>
      <w:marRight w:val="0"/>
      <w:marTop w:val="0"/>
      <w:marBottom w:val="0"/>
      <w:divBdr>
        <w:top w:val="none" w:sz="0" w:space="0" w:color="auto"/>
        <w:left w:val="none" w:sz="0" w:space="0" w:color="auto"/>
        <w:bottom w:val="none" w:sz="0" w:space="0" w:color="auto"/>
        <w:right w:val="none" w:sz="0" w:space="0" w:color="auto"/>
      </w:divBdr>
    </w:div>
    <w:div w:id="600185152">
      <w:bodyDiv w:val="1"/>
      <w:marLeft w:val="0"/>
      <w:marRight w:val="0"/>
      <w:marTop w:val="0"/>
      <w:marBottom w:val="0"/>
      <w:divBdr>
        <w:top w:val="none" w:sz="0" w:space="0" w:color="auto"/>
        <w:left w:val="none" w:sz="0" w:space="0" w:color="auto"/>
        <w:bottom w:val="none" w:sz="0" w:space="0" w:color="auto"/>
        <w:right w:val="none" w:sz="0" w:space="0" w:color="auto"/>
      </w:divBdr>
    </w:div>
    <w:div w:id="603077763">
      <w:bodyDiv w:val="1"/>
      <w:marLeft w:val="0"/>
      <w:marRight w:val="0"/>
      <w:marTop w:val="0"/>
      <w:marBottom w:val="0"/>
      <w:divBdr>
        <w:top w:val="none" w:sz="0" w:space="0" w:color="auto"/>
        <w:left w:val="none" w:sz="0" w:space="0" w:color="auto"/>
        <w:bottom w:val="none" w:sz="0" w:space="0" w:color="auto"/>
        <w:right w:val="none" w:sz="0" w:space="0" w:color="auto"/>
      </w:divBdr>
    </w:div>
    <w:div w:id="605507668">
      <w:bodyDiv w:val="1"/>
      <w:marLeft w:val="0"/>
      <w:marRight w:val="0"/>
      <w:marTop w:val="0"/>
      <w:marBottom w:val="0"/>
      <w:divBdr>
        <w:top w:val="none" w:sz="0" w:space="0" w:color="auto"/>
        <w:left w:val="none" w:sz="0" w:space="0" w:color="auto"/>
        <w:bottom w:val="none" w:sz="0" w:space="0" w:color="auto"/>
        <w:right w:val="none" w:sz="0" w:space="0" w:color="auto"/>
      </w:divBdr>
    </w:div>
    <w:div w:id="613096198">
      <w:bodyDiv w:val="1"/>
      <w:marLeft w:val="0"/>
      <w:marRight w:val="0"/>
      <w:marTop w:val="0"/>
      <w:marBottom w:val="0"/>
      <w:divBdr>
        <w:top w:val="none" w:sz="0" w:space="0" w:color="auto"/>
        <w:left w:val="none" w:sz="0" w:space="0" w:color="auto"/>
        <w:bottom w:val="none" w:sz="0" w:space="0" w:color="auto"/>
        <w:right w:val="none" w:sz="0" w:space="0" w:color="auto"/>
      </w:divBdr>
    </w:div>
    <w:div w:id="631136951">
      <w:bodyDiv w:val="1"/>
      <w:marLeft w:val="0"/>
      <w:marRight w:val="0"/>
      <w:marTop w:val="0"/>
      <w:marBottom w:val="0"/>
      <w:divBdr>
        <w:top w:val="none" w:sz="0" w:space="0" w:color="auto"/>
        <w:left w:val="none" w:sz="0" w:space="0" w:color="auto"/>
        <w:bottom w:val="none" w:sz="0" w:space="0" w:color="auto"/>
        <w:right w:val="none" w:sz="0" w:space="0" w:color="auto"/>
      </w:divBdr>
    </w:div>
    <w:div w:id="645822113">
      <w:bodyDiv w:val="1"/>
      <w:marLeft w:val="0"/>
      <w:marRight w:val="0"/>
      <w:marTop w:val="0"/>
      <w:marBottom w:val="0"/>
      <w:divBdr>
        <w:top w:val="none" w:sz="0" w:space="0" w:color="auto"/>
        <w:left w:val="none" w:sz="0" w:space="0" w:color="auto"/>
        <w:bottom w:val="none" w:sz="0" w:space="0" w:color="auto"/>
        <w:right w:val="none" w:sz="0" w:space="0" w:color="auto"/>
      </w:divBdr>
    </w:div>
    <w:div w:id="657155394">
      <w:bodyDiv w:val="1"/>
      <w:marLeft w:val="0"/>
      <w:marRight w:val="0"/>
      <w:marTop w:val="0"/>
      <w:marBottom w:val="0"/>
      <w:divBdr>
        <w:top w:val="none" w:sz="0" w:space="0" w:color="auto"/>
        <w:left w:val="none" w:sz="0" w:space="0" w:color="auto"/>
        <w:bottom w:val="none" w:sz="0" w:space="0" w:color="auto"/>
        <w:right w:val="none" w:sz="0" w:space="0" w:color="auto"/>
      </w:divBdr>
    </w:div>
    <w:div w:id="696009304">
      <w:bodyDiv w:val="1"/>
      <w:marLeft w:val="0"/>
      <w:marRight w:val="0"/>
      <w:marTop w:val="0"/>
      <w:marBottom w:val="0"/>
      <w:divBdr>
        <w:top w:val="none" w:sz="0" w:space="0" w:color="auto"/>
        <w:left w:val="none" w:sz="0" w:space="0" w:color="auto"/>
        <w:bottom w:val="none" w:sz="0" w:space="0" w:color="auto"/>
        <w:right w:val="none" w:sz="0" w:space="0" w:color="auto"/>
      </w:divBdr>
    </w:div>
    <w:div w:id="700132797">
      <w:bodyDiv w:val="1"/>
      <w:marLeft w:val="0"/>
      <w:marRight w:val="0"/>
      <w:marTop w:val="0"/>
      <w:marBottom w:val="0"/>
      <w:divBdr>
        <w:top w:val="none" w:sz="0" w:space="0" w:color="auto"/>
        <w:left w:val="none" w:sz="0" w:space="0" w:color="auto"/>
        <w:bottom w:val="none" w:sz="0" w:space="0" w:color="auto"/>
        <w:right w:val="none" w:sz="0" w:space="0" w:color="auto"/>
      </w:divBdr>
    </w:div>
    <w:div w:id="705643569">
      <w:bodyDiv w:val="1"/>
      <w:marLeft w:val="0"/>
      <w:marRight w:val="0"/>
      <w:marTop w:val="0"/>
      <w:marBottom w:val="0"/>
      <w:divBdr>
        <w:top w:val="none" w:sz="0" w:space="0" w:color="auto"/>
        <w:left w:val="none" w:sz="0" w:space="0" w:color="auto"/>
        <w:bottom w:val="none" w:sz="0" w:space="0" w:color="auto"/>
        <w:right w:val="none" w:sz="0" w:space="0" w:color="auto"/>
      </w:divBdr>
    </w:div>
    <w:div w:id="713384438">
      <w:bodyDiv w:val="1"/>
      <w:marLeft w:val="0"/>
      <w:marRight w:val="0"/>
      <w:marTop w:val="0"/>
      <w:marBottom w:val="0"/>
      <w:divBdr>
        <w:top w:val="none" w:sz="0" w:space="0" w:color="auto"/>
        <w:left w:val="none" w:sz="0" w:space="0" w:color="auto"/>
        <w:bottom w:val="none" w:sz="0" w:space="0" w:color="auto"/>
        <w:right w:val="none" w:sz="0" w:space="0" w:color="auto"/>
      </w:divBdr>
    </w:div>
    <w:div w:id="726877583">
      <w:bodyDiv w:val="1"/>
      <w:marLeft w:val="0"/>
      <w:marRight w:val="0"/>
      <w:marTop w:val="0"/>
      <w:marBottom w:val="0"/>
      <w:divBdr>
        <w:top w:val="none" w:sz="0" w:space="0" w:color="auto"/>
        <w:left w:val="none" w:sz="0" w:space="0" w:color="auto"/>
        <w:bottom w:val="none" w:sz="0" w:space="0" w:color="auto"/>
        <w:right w:val="none" w:sz="0" w:space="0" w:color="auto"/>
      </w:divBdr>
    </w:div>
    <w:div w:id="750732825">
      <w:bodyDiv w:val="1"/>
      <w:marLeft w:val="0"/>
      <w:marRight w:val="0"/>
      <w:marTop w:val="0"/>
      <w:marBottom w:val="0"/>
      <w:divBdr>
        <w:top w:val="none" w:sz="0" w:space="0" w:color="auto"/>
        <w:left w:val="none" w:sz="0" w:space="0" w:color="auto"/>
        <w:bottom w:val="none" w:sz="0" w:space="0" w:color="auto"/>
        <w:right w:val="none" w:sz="0" w:space="0" w:color="auto"/>
      </w:divBdr>
    </w:div>
    <w:div w:id="754403017">
      <w:bodyDiv w:val="1"/>
      <w:marLeft w:val="0"/>
      <w:marRight w:val="0"/>
      <w:marTop w:val="0"/>
      <w:marBottom w:val="0"/>
      <w:divBdr>
        <w:top w:val="none" w:sz="0" w:space="0" w:color="auto"/>
        <w:left w:val="none" w:sz="0" w:space="0" w:color="auto"/>
        <w:bottom w:val="none" w:sz="0" w:space="0" w:color="auto"/>
        <w:right w:val="none" w:sz="0" w:space="0" w:color="auto"/>
      </w:divBdr>
    </w:div>
    <w:div w:id="765657633">
      <w:bodyDiv w:val="1"/>
      <w:marLeft w:val="0"/>
      <w:marRight w:val="0"/>
      <w:marTop w:val="0"/>
      <w:marBottom w:val="0"/>
      <w:divBdr>
        <w:top w:val="none" w:sz="0" w:space="0" w:color="auto"/>
        <w:left w:val="none" w:sz="0" w:space="0" w:color="auto"/>
        <w:bottom w:val="none" w:sz="0" w:space="0" w:color="auto"/>
        <w:right w:val="none" w:sz="0" w:space="0" w:color="auto"/>
      </w:divBdr>
    </w:div>
    <w:div w:id="780224905">
      <w:bodyDiv w:val="1"/>
      <w:marLeft w:val="0"/>
      <w:marRight w:val="0"/>
      <w:marTop w:val="0"/>
      <w:marBottom w:val="0"/>
      <w:divBdr>
        <w:top w:val="none" w:sz="0" w:space="0" w:color="auto"/>
        <w:left w:val="none" w:sz="0" w:space="0" w:color="auto"/>
        <w:bottom w:val="none" w:sz="0" w:space="0" w:color="auto"/>
        <w:right w:val="none" w:sz="0" w:space="0" w:color="auto"/>
      </w:divBdr>
    </w:div>
    <w:div w:id="784083574">
      <w:bodyDiv w:val="1"/>
      <w:marLeft w:val="0"/>
      <w:marRight w:val="0"/>
      <w:marTop w:val="0"/>
      <w:marBottom w:val="0"/>
      <w:divBdr>
        <w:top w:val="none" w:sz="0" w:space="0" w:color="auto"/>
        <w:left w:val="none" w:sz="0" w:space="0" w:color="auto"/>
        <w:bottom w:val="none" w:sz="0" w:space="0" w:color="auto"/>
        <w:right w:val="none" w:sz="0" w:space="0" w:color="auto"/>
      </w:divBdr>
    </w:div>
    <w:div w:id="803549838">
      <w:bodyDiv w:val="1"/>
      <w:marLeft w:val="0"/>
      <w:marRight w:val="0"/>
      <w:marTop w:val="0"/>
      <w:marBottom w:val="0"/>
      <w:divBdr>
        <w:top w:val="none" w:sz="0" w:space="0" w:color="auto"/>
        <w:left w:val="none" w:sz="0" w:space="0" w:color="auto"/>
        <w:bottom w:val="none" w:sz="0" w:space="0" w:color="auto"/>
        <w:right w:val="none" w:sz="0" w:space="0" w:color="auto"/>
      </w:divBdr>
    </w:div>
    <w:div w:id="805195702">
      <w:bodyDiv w:val="1"/>
      <w:marLeft w:val="0"/>
      <w:marRight w:val="0"/>
      <w:marTop w:val="0"/>
      <w:marBottom w:val="0"/>
      <w:divBdr>
        <w:top w:val="none" w:sz="0" w:space="0" w:color="auto"/>
        <w:left w:val="none" w:sz="0" w:space="0" w:color="auto"/>
        <w:bottom w:val="none" w:sz="0" w:space="0" w:color="auto"/>
        <w:right w:val="none" w:sz="0" w:space="0" w:color="auto"/>
      </w:divBdr>
    </w:div>
    <w:div w:id="843665747">
      <w:bodyDiv w:val="1"/>
      <w:marLeft w:val="0"/>
      <w:marRight w:val="0"/>
      <w:marTop w:val="0"/>
      <w:marBottom w:val="0"/>
      <w:divBdr>
        <w:top w:val="none" w:sz="0" w:space="0" w:color="auto"/>
        <w:left w:val="none" w:sz="0" w:space="0" w:color="auto"/>
        <w:bottom w:val="none" w:sz="0" w:space="0" w:color="auto"/>
        <w:right w:val="none" w:sz="0" w:space="0" w:color="auto"/>
      </w:divBdr>
    </w:div>
    <w:div w:id="844711858">
      <w:bodyDiv w:val="1"/>
      <w:marLeft w:val="0"/>
      <w:marRight w:val="0"/>
      <w:marTop w:val="0"/>
      <w:marBottom w:val="0"/>
      <w:divBdr>
        <w:top w:val="none" w:sz="0" w:space="0" w:color="auto"/>
        <w:left w:val="none" w:sz="0" w:space="0" w:color="auto"/>
        <w:bottom w:val="none" w:sz="0" w:space="0" w:color="auto"/>
        <w:right w:val="none" w:sz="0" w:space="0" w:color="auto"/>
      </w:divBdr>
    </w:div>
    <w:div w:id="872308816">
      <w:bodyDiv w:val="1"/>
      <w:marLeft w:val="0"/>
      <w:marRight w:val="0"/>
      <w:marTop w:val="0"/>
      <w:marBottom w:val="0"/>
      <w:divBdr>
        <w:top w:val="none" w:sz="0" w:space="0" w:color="auto"/>
        <w:left w:val="none" w:sz="0" w:space="0" w:color="auto"/>
        <w:bottom w:val="none" w:sz="0" w:space="0" w:color="auto"/>
        <w:right w:val="none" w:sz="0" w:space="0" w:color="auto"/>
      </w:divBdr>
    </w:div>
    <w:div w:id="877856515">
      <w:bodyDiv w:val="1"/>
      <w:marLeft w:val="0"/>
      <w:marRight w:val="0"/>
      <w:marTop w:val="0"/>
      <w:marBottom w:val="0"/>
      <w:divBdr>
        <w:top w:val="none" w:sz="0" w:space="0" w:color="auto"/>
        <w:left w:val="none" w:sz="0" w:space="0" w:color="auto"/>
        <w:bottom w:val="none" w:sz="0" w:space="0" w:color="auto"/>
        <w:right w:val="none" w:sz="0" w:space="0" w:color="auto"/>
      </w:divBdr>
    </w:div>
    <w:div w:id="895160413">
      <w:bodyDiv w:val="1"/>
      <w:marLeft w:val="0"/>
      <w:marRight w:val="0"/>
      <w:marTop w:val="0"/>
      <w:marBottom w:val="0"/>
      <w:divBdr>
        <w:top w:val="none" w:sz="0" w:space="0" w:color="auto"/>
        <w:left w:val="none" w:sz="0" w:space="0" w:color="auto"/>
        <w:bottom w:val="none" w:sz="0" w:space="0" w:color="auto"/>
        <w:right w:val="none" w:sz="0" w:space="0" w:color="auto"/>
      </w:divBdr>
    </w:div>
    <w:div w:id="898399452">
      <w:bodyDiv w:val="1"/>
      <w:marLeft w:val="0"/>
      <w:marRight w:val="0"/>
      <w:marTop w:val="0"/>
      <w:marBottom w:val="0"/>
      <w:divBdr>
        <w:top w:val="none" w:sz="0" w:space="0" w:color="auto"/>
        <w:left w:val="none" w:sz="0" w:space="0" w:color="auto"/>
        <w:bottom w:val="none" w:sz="0" w:space="0" w:color="auto"/>
        <w:right w:val="none" w:sz="0" w:space="0" w:color="auto"/>
      </w:divBdr>
    </w:div>
    <w:div w:id="899293442">
      <w:bodyDiv w:val="1"/>
      <w:marLeft w:val="0"/>
      <w:marRight w:val="0"/>
      <w:marTop w:val="0"/>
      <w:marBottom w:val="0"/>
      <w:divBdr>
        <w:top w:val="none" w:sz="0" w:space="0" w:color="auto"/>
        <w:left w:val="none" w:sz="0" w:space="0" w:color="auto"/>
        <w:bottom w:val="none" w:sz="0" w:space="0" w:color="auto"/>
        <w:right w:val="none" w:sz="0" w:space="0" w:color="auto"/>
      </w:divBdr>
    </w:div>
    <w:div w:id="904797371">
      <w:bodyDiv w:val="1"/>
      <w:marLeft w:val="0"/>
      <w:marRight w:val="0"/>
      <w:marTop w:val="0"/>
      <w:marBottom w:val="0"/>
      <w:divBdr>
        <w:top w:val="none" w:sz="0" w:space="0" w:color="auto"/>
        <w:left w:val="none" w:sz="0" w:space="0" w:color="auto"/>
        <w:bottom w:val="none" w:sz="0" w:space="0" w:color="auto"/>
        <w:right w:val="none" w:sz="0" w:space="0" w:color="auto"/>
      </w:divBdr>
    </w:div>
    <w:div w:id="921834516">
      <w:bodyDiv w:val="1"/>
      <w:marLeft w:val="0"/>
      <w:marRight w:val="0"/>
      <w:marTop w:val="0"/>
      <w:marBottom w:val="0"/>
      <w:divBdr>
        <w:top w:val="none" w:sz="0" w:space="0" w:color="auto"/>
        <w:left w:val="none" w:sz="0" w:space="0" w:color="auto"/>
        <w:bottom w:val="none" w:sz="0" w:space="0" w:color="auto"/>
        <w:right w:val="none" w:sz="0" w:space="0" w:color="auto"/>
      </w:divBdr>
    </w:div>
    <w:div w:id="924919251">
      <w:bodyDiv w:val="1"/>
      <w:marLeft w:val="0"/>
      <w:marRight w:val="0"/>
      <w:marTop w:val="0"/>
      <w:marBottom w:val="0"/>
      <w:divBdr>
        <w:top w:val="none" w:sz="0" w:space="0" w:color="auto"/>
        <w:left w:val="none" w:sz="0" w:space="0" w:color="auto"/>
        <w:bottom w:val="none" w:sz="0" w:space="0" w:color="auto"/>
        <w:right w:val="none" w:sz="0" w:space="0" w:color="auto"/>
      </w:divBdr>
    </w:div>
    <w:div w:id="942493600">
      <w:bodyDiv w:val="1"/>
      <w:marLeft w:val="0"/>
      <w:marRight w:val="0"/>
      <w:marTop w:val="0"/>
      <w:marBottom w:val="0"/>
      <w:divBdr>
        <w:top w:val="none" w:sz="0" w:space="0" w:color="auto"/>
        <w:left w:val="none" w:sz="0" w:space="0" w:color="auto"/>
        <w:bottom w:val="none" w:sz="0" w:space="0" w:color="auto"/>
        <w:right w:val="none" w:sz="0" w:space="0" w:color="auto"/>
      </w:divBdr>
    </w:div>
    <w:div w:id="985279234">
      <w:bodyDiv w:val="1"/>
      <w:marLeft w:val="0"/>
      <w:marRight w:val="0"/>
      <w:marTop w:val="0"/>
      <w:marBottom w:val="0"/>
      <w:divBdr>
        <w:top w:val="none" w:sz="0" w:space="0" w:color="auto"/>
        <w:left w:val="none" w:sz="0" w:space="0" w:color="auto"/>
        <w:bottom w:val="none" w:sz="0" w:space="0" w:color="auto"/>
        <w:right w:val="none" w:sz="0" w:space="0" w:color="auto"/>
      </w:divBdr>
    </w:div>
    <w:div w:id="989139520">
      <w:bodyDiv w:val="1"/>
      <w:marLeft w:val="0"/>
      <w:marRight w:val="0"/>
      <w:marTop w:val="0"/>
      <w:marBottom w:val="0"/>
      <w:divBdr>
        <w:top w:val="none" w:sz="0" w:space="0" w:color="auto"/>
        <w:left w:val="none" w:sz="0" w:space="0" w:color="auto"/>
        <w:bottom w:val="none" w:sz="0" w:space="0" w:color="auto"/>
        <w:right w:val="none" w:sz="0" w:space="0" w:color="auto"/>
      </w:divBdr>
    </w:div>
    <w:div w:id="1025406386">
      <w:bodyDiv w:val="1"/>
      <w:marLeft w:val="0"/>
      <w:marRight w:val="0"/>
      <w:marTop w:val="0"/>
      <w:marBottom w:val="0"/>
      <w:divBdr>
        <w:top w:val="none" w:sz="0" w:space="0" w:color="auto"/>
        <w:left w:val="none" w:sz="0" w:space="0" w:color="auto"/>
        <w:bottom w:val="none" w:sz="0" w:space="0" w:color="auto"/>
        <w:right w:val="none" w:sz="0" w:space="0" w:color="auto"/>
      </w:divBdr>
    </w:div>
    <w:div w:id="1064718139">
      <w:bodyDiv w:val="1"/>
      <w:marLeft w:val="0"/>
      <w:marRight w:val="0"/>
      <w:marTop w:val="0"/>
      <w:marBottom w:val="0"/>
      <w:divBdr>
        <w:top w:val="none" w:sz="0" w:space="0" w:color="auto"/>
        <w:left w:val="none" w:sz="0" w:space="0" w:color="auto"/>
        <w:bottom w:val="none" w:sz="0" w:space="0" w:color="auto"/>
        <w:right w:val="none" w:sz="0" w:space="0" w:color="auto"/>
      </w:divBdr>
    </w:div>
    <w:div w:id="1086730471">
      <w:bodyDiv w:val="1"/>
      <w:marLeft w:val="0"/>
      <w:marRight w:val="0"/>
      <w:marTop w:val="0"/>
      <w:marBottom w:val="0"/>
      <w:divBdr>
        <w:top w:val="none" w:sz="0" w:space="0" w:color="auto"/>
        <w:left w:val="none" w:sz="0" w:space="0" w:color="auto"/>
        <w:bottom w:val="none" w:sz="0" w:space="0" w:color="auto"/>
        <w:right w:val="none" w:sz="0" w:space="0" w:color="auto"/>
      </w:divBdr>
    </w:div>
    <w:div w:id="1094280779">
      <w:bodyDiv w:val="1"/>
      <w:marLeft w:val="0"/>
      <w:marRight w:val="0"/>
      <w:marTop w:val="0"/>
      <w:marBottom w:val="0"/>
      <w:divBdr>
        <w:top w:val="none" w:sz="0" w:space="0" w:color="auto"/>
        <w:left w:val="none" w:sz="0" w:space="0" w:color="auto"/>
        <w:bottom w:val="none" w:sz="0" w:space="0" w:color="auto"/>
        <w:right w:val="none" w:sz="0" w:space="0" w:color="auto"/>
      </w:divBdr>
    </w:div>
    <w:div w:id="1107501554">
      <w:bodyDiv w:val="1"/>
      <w:marLeft w:val="0"/>
      <w:marRight w:val="0"/>
      <w:marTop w:val="0"/>
      <w:marBottom w:val="0"/>
      <w:divBdr>
        <w:top w:val="none" w:sz="0" w:space="0" w:color="auto"/>
        <w:left w:val="none" w:sz="0" w:space="0" w:color="auto"/>
        <w:bottom w:val="none" w:sz="0" w:space="0" w:color="auto"/>
        <w:right w:val="none" w:sz="0" w:space="0" w:color="auto"/>
      </w:divBdr>
    </w:div>
    <w:div w:id="1120682866">
      <w:bodyDiv w:val="1"/>
      <w:marLeft w:val="0"/>
      <w:marRight w:val="0"/>
      <w:marTop w:val="0"/>
      <w:marBottom w:val="0"/>
      <w:divBdr>
        <w:top w:val="none" w:sz="0" w:space="0" w:color="auto"/>
        <w:left w:val="none" w:sz="0" w:space="0" w:color="auto"/>
        <w:bottom w:val="none" w:sz="0" w:space="0" w:color="auto"/>
        <w:right w:val="none" w:sz="0" w:space="0" w:color="auto"/>
      </w:divBdr>
    </w:div>
    <w:div w:id="1136871828">
      <w:bodyDiv w:val="1"/>
      <w:marLeft w:val="0"/>
      <w:marRight w:val="0"/>
      <w:marTop w:val="0"/>
      <w:marBottom w:val="0"/>
      <w:divBdr>
        <w:top w:val="none" w:sz="0" w:space="0" w:color="auto"/>
        <w:left w:val="none" w:sz="0" w:space="0" w:color="auto"/>
        <w:bottom w:val="none" w:sz="0" w:space="0" w:color="auto"/>
        <w:right w:val="none" w:sz="0" w:space="0" w:color="auto"/>
      </w:divBdr>
    </w:div>
    <w:div w:id="1144273882">
      <w:bodyDiv w:val="1"/>
      <w:marLeft w:val="0"/>
      <w:marRight w:val="0"/>
      <w:marTop w:val="0"/>
      <w:marBottom w:val="0"/>
      <w:divBdr>
        <w:top w:val="none" w:sz="0" w:space="0" w:color="auto"/>
        <w:left w:val="none" w:sz="0" w:space="0" w:color="auto"/>
        <w:bottom w:val="none" w:sz="0" w:space="0" w:color="auto"/>
        <w:right w:val="none" w:sz="0" w:space="0" w:color="auto"/>
      </w:divBdr>
    </w:div>
    <w:div w:id="1149785378">
      <w:bodyDiv w:val="1"/>
      <w:marLeft w:val="0"/>
      <w:marRight w:val="0"/>
      <w:marTop w:val="0"/>
      <w:marBottom w:val="0"/>
      <w:divBdr>
        <w:top w:val="none" w:sz="0" w:space="0" w:color="auto"/>
        <w:left w:val="none" w:sz="0" w:space="0" w:color="auto"/>
        <w:bottom w:val="none" w:sz="0" w:space="0" w:color="auto"/>
        <w:right w:val="none" w:sz="0" w:space="0" w:color="auto"/>
      </w:divBdr>
    </w:div>
    <w:div w:id="1174954260">
      <w:bodyDiv w:val="1"/>
      <w:marLeft w:val="0"/>
      <w:marRight w:val="0"/>
      <w:marTop w:val="0"/>
      <w:marBottom w:val="0"/>
      <w:divBdr>
        <w:top w:val="none" w:sz="0" w:space="0" w:color="auto"/>
        <w:left w:val="none" w:sz="0" w:space="0" w:color="auto"/>
        <w:bottom w:val="none" w:sz="0" w:space="0" w:color="auto"/>
        <w:right w:val="none" w:sz="0" w:space="0" w:color="auto"/>
      </w:divBdr>
    </w:div>
    <w:div w:id="1175998529">
      <w:bodyDiv w:val="1"/>
      <w:marLeft w:val="0"/>
      <w:marRight w:val="0"/>
      <w:marTop w:val="0"/>
      <w:marBottom w:val="0"/>
      <w:divBdr>
        <w:top w:val="none" w:sz="0" w:space="0" w:color="auto"/>
        <w:left w:val="none" w:sz="0" w:space="0" w:color="auto"/>
        <w:bottom w:val="none" w:sz="0" w:space="0" w:color="auto"/>
        <w:right w:val="none" w:sz="0" w:space="0" w:color="auto"/>
      </w:divBdr>
    </w:div>
    <w:div w:id="1176920051">
      <w:bodyDiv w:val="1"/>
      <w:marLeft w:val="0"/>
      <w:marRight w:val="0"/>
      <w:marTop w:val="0"/>
      <w:marBottom w:val="0"/>
      <w:divBdr>
        <w:top w:val="none" w:sz="0" w:space="0" w:color="auto"/>
        <w:left w:val="none" w:sz="0" w:space="0" w:color="auto"/>
        <w:bottom w:val="none" w:sz="0" w:space="0" w:color="auto"/>
        <w:right w:val="none" w:sz="0" w:space="0" w:color="auto"/>
      </w:divBdr>
    </w:div>
    <w:div w:id="1181818497">
      <w:bodyDiv w:val="1"/>
      <w:marLeft w:val="0"/>
      <w:marRight w:val="0"/>
      <w:marTop w:val="0"/>
      <w:marBottom w:val="0"/>
      <w:divBdr>
        <w:top w:val="none" w:sz="0" w:space="0" w:color="auto"/>
        <w:left w:val="none" w:sz="0" w:space="0" w:color="auto"/>
        <w:bottom w:val="none" w:sz="0" w:space="0" w:color="auto"/>
        <w:right w:val="none" w:sz="0" w:space="0" w:color="auto"/>
      </w:divBdr>
    </w:div>
    <w:div w:id="1206332324">
      <w:bodyDiv w:val="1"/>
      <w:marLeft w:val="0"/>
      <w:marRight w:val="0"/>
      <w:marTop w:val="0"/>
      <w:marBottom w:val="0"/>
      <w:divBdr>
        <w:top w:val="none" w:sz="0" w:space="0" w:color="auto"/>
        <w:left w:val="none" w:sz="0" w:space="0" w:color="auto"/>
        <w:bottom w:val="none" w:sz="0" w:space="0" w:color="auto"/>
        <w:right w:val="none" w:sz="0" w:space="0" w:color="auto"/>
      </w:divBdr>
    </w:div>
    <w:div w:id="1225290049">
      <w:bodyDiv w:val="1"/>
      <w:marLeft w:val="0"/>
      <w:marRight w:val="0"/>
      <w:marTop w:val="0"/>
      <w:marBottom w:val="0"/>
      <w:divBdr>
        <w:top w:val="none" w:sz="0" w:space="0" w:color="auto"/>
        <w:left w:val="none" w:sz="0" w:space="0" w:color="auto"/>
        <w:bottom w:val="none" w:sz="0" w:space="0" w:color="auto"/>
        <w:right w:val="none" w:sz="0" w:space="0" w:color="auto"/>
      </w:divBdr>
    </w:div>
    <w:div w:id="1228539593">
      <w:bodyDiv w:val="1"/>
      <w:marLeft w:val="0"/>
      <w:marRight w:val="0"/>
      <w:marTop w:val="0"/>
      <w:marBottom w:val="0"/>
      <w:divBdr>
        <w:top w:val="none" w:sz="0" w:space="0" w:color="auto"/>
        <w:left w:val="none" w:sz="0" w:space="0" w:color="auto"/>
        <w:bottom w:val="none" w:sz="0" w:space="0" w:color="auto"/>
        <w:right w:val="none" w:sz="0" w:space="0" w:color="auto"/>
      </w:divBdr>
    </w:div>
    <w:div w:id="1249001968">
      <w:bodyDiv w:val="1"/>
      <w:marLeft w:val="0"/>
      <w:marRight w:val="0"/>
      <w:marTop w:val="0"/>
      <w:marBottom w:val="0"/>
      <w:divBdr>
        <w:top w:val="none" w:sz="0" w:space="0" w:color="auto"/>
        <w:left w:val="none" w:sz="0" w:space="0" w:color="auto"/>
        <w:bottom w:val="none" w:sz="0" w:space="0" w:color="auto"/>
        <w:right w:val="none" w:sz="0" w:space="0" w:color="auto"/>
      </w:divBdr>
    </w:div>
    <w:div w:id="1269237725">
      <w:bodyDiv w:val="1"/>
      <w:marLeft w:val="0"/>
      <w:marRight w:val="0"/>
      <w:marTop w:val="0"/>
      <w:marBottom w:val="0"/>
      <w:divBdr>
        <w:top w:val="none" w:sz="0" w:space="0" w:color="auto"/>
        <w:left w:val="none" w:sz="0" w:space="0" w:color="auto"/>
        <w:bottom w:val="none" w:sz="0" w:space="0" w:color="auto"/>
        <w:right w:val="none" w:sz="0" w:space="0" w:color="auto"/>
      </w:divBdr>
    </w:div>
    <w:div w:id="1295912301">
      <w:bodyDiv w:val="1"/>
      <w:marLeft w:val="0"/>
      <w:marRight w:val="0"/>
      <w:marTop w:val="0"/>
      <w:marBottom w:val="0"/>
      <w:divBdr>
        <w:top w:val="none" w:sz="0" w:space="0" w:color="auto"/>
        <w:left w:val="none" w:sz="0" w:space="0" w:color="auto"/>
        <w:bottom w:val="none" w:sz="0" w:space="0" w:color="auto"/>
        <w:right w:val="none" w:sz="0" w:space="0" w:color="auto"/>
      </w:divBdr>
    </w:div>
    <w:div w:id="1309090634">
      <w:bodyDiv w:val="1"/>
      <w:marLeft w:val="0"/>
      <w:marRight w:val="0"/>
      <w:marTop w:val="0"/>
      <w:marBottom w:val="0"/>
      <w:divBdr>
        <w:top w:val="none" w:sz="0" w:space="0" w:color="auto"/>
        <w:left w:val="none" w:sz="0" w:space="0" w:color="auto"/>
        <w:bottom w:val="none" w:sz="0" w:space="0" w:color="auto"/>
        <w:right w:val="none" w:sz="0" w:space="0" w:color="auto"/>
      </w:divBdr>
    </w:div>
    <w:div w:id="1313292362">
      <w:bodyDiv w:val="1"/>
      <w:marLeft w:val="0"/>
      <w:marRight w:val="0"/>
      <w:marTop w:val="0"/>
      <w:marBottom w:val="0"/>
      <w:divBdr>
        <w:top w:val="none" w:sz="0" w:space="0" w:color="auto"/>
        <w:left w:val="none" w:sz="0" w:space="0" w:color="auto"/>
        <w:bottom w:val="none" w:sz="0" w:space="0" w:color="auto"/>
        <w:right w:val="none" w:sz="0" w:space="0" w:color="auto"/>
      </w:divBdr>
    </w:div>
    <w:div w:id="1318730719">
      <w:bodyDiv w:val="1"/>
      <w:marLeft w:val="0"/>
      <w:marRight w:val="0"/>
      <w:marTop w:val="0"/>
      <w:marBottom w:val="0"/>
      <w:divBdr>
        <w:top w:val="none" w:sz="0" w:space="0" w:color="auto"/>
        <w:left w:val="none" w:sz="0" w:space="0" w:color="auto"/>
        <w:bottom w:val="none" w:sz="0" w:space="0" w:color="auto"/>
        <w:right w:val="none" w:sz="0" w:space="0" w:color="auto"/>
      </w:divBdr>
    </w:div>
    <w:div w:id="1323698359">
      <w:bodyDiv w:val="1"/>
      <w:marLeft w:val="0"/>
      <w:marRight w:val="0"/>
      <w:marTop w:val="0"/>
      <w:marBottom w:val="0"/>
      <w:divBdr>
        <w:top w:val="none" w:sz="0" w:space="0" w:color="auto"/>
        <w:left w:val="none" w:sz="0" w:space="0" w:color="auto"/>
        <w:bottom w:val="none" w:sz="0" w:space="0" w:color="auto"/>
        <w:right w:val="none" w:sz="0" w:space="0" w:color="auto"/>
      </w:divBdr>
    </w:div>
    <w:div w:id="1362977381">
      <w:bodyDiv w:val="1"/>
      <w:marLeft w:val="0"/>
      <w:marRight w:val="0"/>
      <w:marTop w:val="0"/>
      <w:marBottom w:val="0"/>
      <w:divBdr>
        <w:top w:val="none" w:sz="0" w:space="0" w:color="auto"/>
        <w:left w:val="none" w:sz="0" w:space="0" w:color="auto"/>
        <w:bottom w:val="none" w:sz="0" w:space="0" w:color="auto"/>
        <w:right w:val="none" w:sz="0" w:space="0" w:color="auto"/>
      </w:divBdr>
    </w:div>
    <w:div w:id="1368414315">
      <w:bodyDiv w:val="1"/>
      <w:marLeft w:val="0"/>
      <w:marRight w:val="0"/>
      <w:marTop w:val="0"/>
      <w:marBottom w:val="0"/>
      <w:divBdr>
        <w:top w:val="none" w:sz="0" w:space="0" w:color="auto"/>
        <w:left w:val="none" w:sz="0" w:space="0" w:color="auto"/>
        <w:bottom w:val="none" w:sz="0" w:space="0" w:color="auto"/>
        <w:right w:val="none" w:sz="0" w:space="0" w:color="auto"/>
      </w:divBdr>
    </w:div>
    <w:div w:id="1381780697">
      <w:bodyDiv w:val="1"/>
      <w:marLeft w:val="0"/>
      <w:marRight w:val="0"/>
      <w:marTop w:val="0"/>
      <w:marBottom w:val="0"/>
      <w:divBdr>
        <w:top w:val="none" w:sz="0" w:space="0" w:color="auto"/>
        <w:left w:val="none" w:sz="0" w:space="0" w:color="auto"/>
        <w:bottom w:val="none" w:sz="0" w:space="0" w:color="auto"/>
        <w:right w:val="none" w:sz="0" w:space="0" w:color="auto"/>
      </w:divBdr>
    </w:div>
    <w:div w:id="1383938964">
      <w:bodyDiv w:val="1"/>
      <w:marLeft w:val="0"/>
      <w:marRight w:val="0"/>
      <w:marTop w:val="0"/>
      <w:marBottom w:val="0"/>
      <w:divBdr>
        <w:top w:val="none" w:sz="0" w:space="0" w:color="auto"/>
        <w:left w:val="none" w:sz="0" w:space="0" w:color="auto"/>
        <w:bottom w:val="none" w:sz="0" w:space="0" w:color="auto"/>
        <w:right w:val="none" w:sz="0" w:space="0" w:color="auto"/>
      </w:divBdr>
    </w:div>
    <w:div w:id="1386176599">
      <w:bodyDiv w:val="1"/>
      <w:marLeft w:val="0"/>
      <w:marRight w:val="0"/>
      <w:marTop w:val="0"/>
      <w:marBottom w:val="0"/>
      <w:divBdr>
        <w:top w:val="none" w:sz="0" w:space="0" w:color="auto"/>
        <w:left w:val="none" w:sz="0" w:space="0" w:color="auto"/>
        <w:bottom w:val="none" w:sz="0" w:space="0" w:color="auto"/>
        <w:right w:val="none" w:sz="0" w:space="0" w:color="auto"/>
      </w:divBdr>
    </w:div>
    <w:div w:id="1387332812">
      <w:bodyDiv w:val="1"/>
      <w:marLeft w:val="0"/>
      <w:marRight w:val="0"/>
      <w:marTop w:val="0"/>
      <w:marBottom w:val="0"/>
      <w:divBdr>
        <w:top w:val="none" w:sz="0" w:space="0" w:color="auto"/>
        <w:left w:val="none" w:sz="0" w:space="0" w:color="auto"/>
        <w:bottom w:val="none" w:sz="0" w:space="0" w:color="auto"/>
        <w:right w:val="none" w:sz="0" w:space="0" w:color="auto"/>
      </w:divBdr>
    </w:div>
    <w:div w:id="1410153645">
      <w:bodyDiv w:val="1"/>
      <w:marLeft w:val="0"/>
      <w:marRight w:val="0"/>
      <w:marTop w:val="0"/>
      <w:marBottom w:val="0"/>
      <w:divBdr>
        <w:top w:val="none" w:sz="0" w:space="0" w:color="auto"/>
        <w:left w:val="none" w:sz="0" w:space="0" w:color="auto"/>
        <w:bottom w:val="none" w:sz="0" w:space="0" w:color="auto"/>
        <w:right w:val="none" w:sz="0" w:space="0" w:color="auto"/>
      </w:divBdr>
    </w:div>
    <w:div w:id="1421835805">
      <w:bodyDiv w:val="1"/>
      <w:marLeft w:val="0"/>
      <w:marRight w:val="0"/>
      <w:marTop w:val="0"/>
      <w:marBottom w:val="0"/>
      <w:divBdr>
        <w:top w:val="none" w:sz="0" w:space="0" w:color="auto"/>
        <w:left w:val="none" w:sz="0" w:space="0" w:color="auto"/>
        <w:bottom w:val="none" w:sz="0" w:space="0" w:color="auto"/>
        <w:right w:val="none" w:sz="0" w:space="0" w:color="auto"/>
      </w:divBdr>
    </w:div>
    <w:div w:id="1423070286">
      <w:bodyDiv w:val="1"/>
      <w:marLeft w:val="0"/>
      <w:marRight w:val="0"/>
      <w:marTop w:val="0"/>
      <w:marBottom w:val="0"/>
      <w:divBdr>
        <w:top w:val="none" w:sz="0" w:space="0" w:color="auto"/>
        <w:left w:val="none" w:sz="0" w:space="0" w:color="auto"/>
        <w:bottom w:val="none" w:sz="0" w:space="0" w:color="auto"/>
        <w:right w:val="none" w:sz="0" w:space="0" w:color="auto"/>
      </w:divBdr>
    </w:div>
    <w:div w:id="1425421950">
      <w:bodyDiv w:val="1"/>
      <w:marLeft w:val="0"/>
      <w:marRight w:val="0"/>
      <w:marTop w:val="0"/>
      <w:marBottom w:val="0"/>
      <w:divBdr>
        <w:top w:val="none" w:sz="0" w:space="0" w:color="auto"/>
        <w:left w:val="none" w:sz="0" w:space="0" w:color="auto"/>
        <w:bottom w:val="none" w:sz="0" w:space="0" w:color="auto"/>
        <w:right w:val="none" w:sz="0" w:space="0" w:color="auto"/>
      </w:divBdr>
    </w:div>
    <w:div w:id="1426998805">
      <w:bodyDiv w:val="1"/>
      <w:marLeft w:val="0"/>
      <w:marRight w:val="0"/>
      <w:marTop w:val="0"/>
      <w:marBottom w:val="0"/>
      <w:divBdr>
        <w:top w:val="none" w:sz="0" w:space="0" w:color="auto"/>
        <w:left w:val="none" w:sz="0" w:space="0" w:color="auto"/>
        <w:bottom w:val="none" w:sz="0" w:space="0" w:color="auto"/>
        <w:right w:val="none" w:sz="0" w:space="0" w:color="auto"/>
      </w:divBdr>
    </w:div>
    <w:div w:id="1431970382">
      <w:bodyDiv w:val="1"/>
      <w:marLeft w:val="0"/>
      <w:marRight w:val="0"/>
      <w:marTop w:val="0"/>
      <w:marBottom w:val="0"/>
      <w:divBdr>
        <w:top w:val="none" w:sz="0" w:space="0" w:color="auto"/>
        <w:left w:val="none" w:sz="0" w:space="0" w:color="auto"/>
        <w:bottom w:val="none" w:sz="0" w:space="0" w:color="auto"/>
        <w:right w:val="none" w:sz="0" w:space="0" w:color="auto"/>
      </w:divBdr>
    </w:div>
    <w:div w:id="1470634755">
      <w:bodyDiv w:val="1"/>
      <w:marLeft w:val="0"/>
      <w:marRight w:val="0"/>
      <w:marTop w:val="0"/>
      <w:marBottom w:val="0"/>
      <w:divBdr>
        <w:top w:val="none" w:sz="0" w:space="0" w:color="auto"/>
        <w:left w:val="none" w:sz="0" w:space="0" w:color="auto"/>
        <w:bottom w:val="none" w:sz="0" w:space="0" w:color="auto"/>
        <w:right w:val="none" w:sz="0" w:space="0" w:color="auto"/>
      </w:divBdr>
    </w:div>
    <w:div w:id="1472097723">
      <w:bodyDiv w:val="1"/>
      <w:marLeft w:val="0"/>
      <w:marRight w:val="0"/>
      <w:marTop w:val="0"/>
      <w:marBottom w:val="0"/>
      <w:divBdr>
        <w:top w:val="none" w:sz="0" w:space="0" w:color="auto"/>
        <w:left w:val="none" w:sz="0" w:space="0" w:color="auto"/>
        <w:bottom w:val="none" w:sz="0" w:space="0" w:color="auto"/>
        <w:right w:val="none" w:sz="0" w:space="0" w:color="auto"/>
      </w:divBdr>
    </w:div>
    <w:div w:id="1523930048">
      <w:bodyDiv w:val="1"/>
      <w:marLeft w:val="0"/>
      <w:marRight w:val="0"/>
      <w:marTop w:val="0"/>
      <w:marBottom w:val="0"/>
      <w:divBdr>
        <w:top w:val="none" w:sz="0" w:space="0" w:color="auto"/>
        <w:left w:val="none" w:sz="0" w:space="0" w:color="auto"/>
        <w:bottom w:val="none" w:sz="0" w:space="0" w:color="auto"/>
        <w:right w:val="none" w:sz="0" w:space="0" w:color="auto"/>
      </w:divBdr>
    </w:div>
    <w:div w:id="1556429590">
      <w:bodyDiv w:val="1"/>
      <w:marLeft w:val="0"/>
      <w:marRight w:val="0"/>
      <w:marTop w:val="0"/>
      <w:marBottom w:val="0"/>
      <w:divBdr>
        <w:top w:val="none" w:sz="0" w:space="0" w:color="auto"/>
        <w:left w:val="none" w:sz="0" w:space="0" w:color="auto"/>
        <w:bottom w:val="none" w:sz="0" w:space="0" w:color="auto"/>
        <w:right w:val="none" w:sz="0" w:space="0" w:color="auto"/>
      </w:divBdr>
    </w:div>
    <w:div w:id="1575892149">
      <w:bodyDiv w:val="1"/>
      <w:marLeft w:val="0"/>
      <w:marRight w:val="0"/>
      <w:marTop w:val="0"/>
      <w:marBottom w:val="0"/>
      <w:divBdr>
        <w:top w:val="none" w:sz="0" w:space="0" w:color="auto"/>
        <w:left w:val="none" w:sz="0" w:space="0" w:color="auto"/>
        <w:bottom w:val="none" w:sz="0" w:space="0" w:color="auto"/>
        <w:right w:val="none" w:sz="0" w:space="0" w:color="auto"/>
      </w:divBdr>
    </w:div>
    <w:div w:id="1610970406">
      <w:bodyDiv w:val="1"/>
      <w:marLeft w:val="0"/>
      <w:marRight w:val="0"/>
      <w:marTop w:val="0"/>
      <w:marBottom w:val="0"/>
      <w:divBdr>
        <w:top w:val="none" w:sz="0" w:space="0" w:color="auto"/>
        <w:left w:val="none" w:sz="0" w:space="0" w:color="auto"/>
        <w:bottom w:val="none" w:sz="0" w:space="0" w:color="auto"/>
        <w:right w:val="none" w:sz="0" w:space="0" w:color="auto"/>
      </w:divBdr>
    </w:div>
    <w:div w:id="1611283398">
      <w:bodyDiv w:val="1"/>
      <w:marLeft w:val="0"/>
      <w:marRight w:val="0"/>
      <w:marTop w:val="0"/>
      <w:marBottom w:val="0"/>
      <w:divBdr>
        <w:top w:val="none" w:sz="0" w:space="0" w:color="auto"/>
        <w:left w:val="none" w:sz="0" w:space="0" w:color="auto"/>
        <w:bottom w:val="none" w:sz="0" w:space="0" w:color="auto"/>
        <w:right w:val="none" w:sz="0" w:space="0" w:color="auto"/>
      </w:divBdr>
    </w:div>
    <w:div w:id="1615359203">
      <w:bodyDiv w:val="1"/>
      <w:marLeft w:val="0"/>
      <w:marRight w:val="0"/>
      <w:marTop w:val="0"/>
      <w:marBottom w:val="0"/>
      <w:divBdr>
        <w:top w:val="none" w:sz="0" w:space="0" w:color="auto"/>
        <w:left w:val="none" w:sz="0" w:space="0" w:color="auto"/>
        <w:bottom w:val="none" w:sz="0" w:space="0" w:color="auto"/>
        <w:right w:val="none" w:sz="0" w:space="0" w:color="auto"/>
      </w:divBdr>
    </w:div>
    <w:div w:id="1625698303">
      <w:bodyDiv w:val="1"/>
      <w:marLeft w:val="0"/>
      <w:marRight w:val="0"/>
      <w:marTop w:val="0"/>
      <w:marBottom w:val="0"/>
      <w:divBdr>
        <w:top w:val="none" w:sz="0" w:space="0" w:color="auto"/>
        <w:left w:val="none" w:sz="0" w:space="0" w:color="auto"/>
        <w:bottom w:val="none" w:sz="0" w:space="0" w:color="auto"/>
        <w:right w:val="none" w:sz="0" w:space="0" w:color="auto"/>
      </w:divBdr>
    </w:div>
    <w:div w:id="1661232771">
      <w:bodyDiv w:val="1"/>
      <w:marLeft w:val="0"/>
      <w:marRight w:val="0"/>
      <w:marTop w:val="0"/>
      <w:marBottom w:val="0"/>
      <w:divBdr>
        <w:top w:val="none" w:sz="0" w:space="0" w:color="auto"/>
        <w:left w:val="none" w:sz="0" w:space="0" w:color="auto"/>
        <w:bottom w:val="none" w:sz="0" w:space="0" w:color="auto"/>
        <w:right w:val="none" w:sz="0" w:space="0" w:color="auto"/>
      </w:divBdr>
    </w:div>
    <w:div w:id="1678187223">
      <w:bodyDiv w:val="1"/>
      <w:marLeft w:val="0"/>
      <w:marRight w:val="0"/>
      <w:marTop w:val="0"/>
      <w:marBottom w:val="0"/>
      <w:divBdr>
        <w:top w:val="none" w:sz="0" w:space="0" w:color="auto"/>
        <w:left w:val="none" w:sz="0" w:space="0" w:color="auto"/>
        <w:bottom w:val="none" w:sz="0" w:space="0" w:color="auto"/>
        <w:right w:val="none" w:sz="0" w:space="0" w:color="auto"/>
      </w:divBdr>
    </w:div>
    <w:div w:id="1683583950">
      <w:bodyDiv w:val="1"/>
      <w:marLeft w:val="0"/>
      <w:marRight w:val="0"/>
      <w:marTop w:val="0"/>
      <w:marBottom w:val="0"/>
      <w:divBdr>
        <w:top w:val="none" w:sz="0" w:space="0" w:color="auto"/>
        <w:left w:val="none" w:sz="0" w:space="0" w:color="auto"/>
        <w:bottom w:val="none" w:sz="0" w:space="0" w:color="auto"/>
        <w:right w:val="none" w:sz="0" w:space="0" w:color="auto"/>
      </w:divBdr>
    </w:div>
    <w:div w:id="1694309402">
      <w:bodyDiv w:val="1"/>
      <w:marLeft w:val="0"/>
      <w:marRight w:val="0"/>
      <w:marTop w:val="0"/>
      <w:marBottom w:val="0"/>
      <w:divBdr>
        <w:top w:val="none" w:sz="0" w:space="0" w:color="auto"/>
        <w:left w:val="none" w:sz="0" w:space="0" w:color="auto"/>
        <w:bottom w:val="none" w:sz="0" w:space="0" w:color="auto"/>
        <w:right w:val="none" w:sz="0" w:space="0" w:color="auto"/>
      </w:divBdr>
    </w:div>
    <w:div w:id="1722249637">
      <w:bodyDiv w:val="1"/>
      <w:marLeft w:val="0"/>
      <w:marRight w:val="0"/>
      <w:marTop w:val="0"/>
      <w:marBottom w:val="0"/>
      <w:divBdr>
        <w:top w:val="none" w:sz="0" w:space="0" w:color="auto"/>
        <w:left w:val="none" w:sz="0" w:space="0" w:color="auto"/>
        <w:bottom w:val="none" w:sz="0" w:space="0" w:color="auto"/>
        <w:right w:val="none" w:sz="0" w:space="0" w:color="auto"/>
      </w:divBdr>
    </w:div>
    <w:div w:id="1727757201">
      <w:bodyDiv w:val="1"/>
      <w:marLeft w:val="0"/>
      <w:marRight w:val="0"/>
      <w:marTop w:val="0"/>
      <w:marBottom w:val="0"/>
      <w:divBdr>
        <w:top w:val="none" w:sz="0" w:space="0" w:color="auto"/>
        <w:left w:val="none" w:sz="0" w:space="0" w:color="auto"/>
        <w:bottom w:val="none" w:sz="0" w:space="0" w:color="auto"/>
        <w:right w:val="none" w:sz="0" w:space="0" w:color="auto"/>
      </w:divBdr>
    </w:div>
    <w:div w:id="1823307216">
      <w:bodyDiv w:val="1"/>
      <w:marLeft w:val="0"/>
      <w:marRight w:val="0"/>
      <w:marTop w:val="0"/>
      <w:marBottom w:val="0"/>
      <w:divBdr>
        <w:top w:val="none" w:sz="0" w:space="0" w:color="auto"/>
        <w:left w:val="none" w:sz="0" w:space="0" w:color="auto"/>
        <w:bottom w:val="none" w:sz="0" w:space="0" w:color="auto"/>
        <w:right w:val="none" w:sz="0" w:space="0" w:color="auto"/>
      </w:divBdr>
    </w:div>
    <w:div w:id="1825706567">
      <w:bodyDiv w:val="1"/>
      <w:marLeft w:val="0"/>
      <w:marRight w:val="0"/>
      <w:marTop w:val="0"/>
      <w:marBottom w:val="0"/>
      <w:divBdr>
        <w:top w:val="none" w:sz="0" w:space="0" w:color="auto"/>
        <w:left w:val="none" w:sz="0" w:space="0" w:color="auto"/>
        <w:bottom w:val="none" w:sz="0" w:space="0" w:color="auto"/>
        <w:right w:val="none" w:sz="0" w:space="0" w:color="auto"/>
      </w:divBdr>
    </w:div>
    <w:div w:id="1825966470">
      <w:bodyDiv w:val="1"/>
      <w:marLeft w:val="0"/>
      <w:marRight w:val="0"/>
      <w:marTop w:val="0"/>
      <w:marBottom w:val="0"/>
      <w:divBdr>
        <w:top w:val="none" w:sz="0" w:space="0" w:color="auto"/>
        <w:left w:val="none" w:sz="0" w:space="0" w:color="auto"/>
        <w:bottom w:val="none" w:sz="0" w:space="0" w:color="auto"/>
        <w:right w:val="none" w:sz="0" w:space="0" w:color="auto"/>
      </w:divBdr>
    </w:div>
    <w:div w:id="1841852626">
      <w:bodyDiv w:val="1"/>
      <w:marLeft w:val="0"/>
      <w:marRight w:val="0"/>
      <w:marTop w:val="0"/>
      <w:marBottom w:val="0"/>
      <w:divBdr>
        <w:top w:val="none" w:sz="0" w:space="0" w:color="auto"/>
        <w:left w:val="none" w:sz="0" w:space="0" w:color="auto"/>
        <w:bottom w:val="none" w:sz="0" w:space="0" w:color="auto"/>
        <w:right w:val="none" w:sz="0" w:space="0" w:color="auto"/>
      </w:divBdr>
    </w:div>
    <w:div w:id="1874151599">
      <w:bodyDiv w:val="1"/>
      <w:marLeft w:val="0"/>
      <w:marRight w:val="0"/>
      <w:marTop w:val="0"/>
      <w:marBottom w:val="0"/>
      <w:divBdr>
        <w:top w:val="none" w:sz="0" w:space="0" w:color="auto"/>
        <w:left w:val="none" w:sz="0" w:space="0" w:color="auto"/>
        <w:bottom w:val="none" w:sz="0" w:space="0" w:color="auto"/>
        <w:right w:val="none" w:sz="0" w:space="0" w:color="auto"/>
      </w:divBdr>
    </w:div>
    <w:div w:id="1877810650">
      <w:bodyDiv w:val="1"/>
      <w:marLeft w:val="0"/>
      <w:marRight w:val="0"/>
      <w:marTop w:val="0"/>
      <w:marBottom w:val="0"/>
      <w:divBdr>
        <w:top w:val="none" w:sz="0" w:space="0" w:color="auto"/>
        <w:left w:val="none" w:sz="0" w:space="0" w:color="auto"/>
        <w:bottom w:val="none" w:sz="0" w:space="0" w:color="auto"/>
        <w:right w:val="none" w:sz="0" w:space="0" w:color="auto"/>
      </w:divBdr>
    </w:div>
    <w:div w:id="1879050526">
      <w:bodyDiv w:val="1"/>
      <w:marLeft w:val="0"/>
      <w:marRight w:val="0"/>
      <w:marTop w:val="0"/>
      <w:marBottom w:val="0"/>
      <w:divBdr>
        <w:top w:val="none" w:sz="0" w:space="0" w:color="auto"/>
        <w:left w:val="none" w:sz="0" w:space="0" w:color="auto"/>
        <w:bottom w:val="none" w:sz="0" w:space="0" w:color="auto"/>
        <w:right w:val="none" w:sz="0" w:space="0" w:color="auto"/>
      </w:divBdr>
    </w:div>
    <w:div w:id="1886866723">
      <w:bodyDiv w:val="1"/>
      <w:marLeft w:val="0"/>
      <w:marRight w:val="0"/>
      <w:marTop w:val="0"/>
      <w:marBottom w:val="0"/>
      <w:divBdr>
        <w:top w:val="none" w:sz="0" w:space="0" w:color="auto"/>
        <w:left w:val="none" w:sz="0" w:space="0" w:color="auto"/>
        <w:bottom w:val="none" w:sz="0" w:space="0" w:color="auto"/>
        <w:right w:val="none" w:sz="0" w:space="0" w:color="auto"/>
      </w:divBdr>
    </w:div>
    <w:div w:id="1890844872">
      <w:bodyDiv w:val="1"/>
      <w:marLeft w:val="0"/>
      <w:marRight w:val="0"/>
      <w:marTop w:val="0"/>
      <w:marBottom w:val="0"/>
      <w:divBdr>
        <w:top w:val="none" w:sz="0" w:space="0" w:color="auto"/>
        <w:left w:val="none" w:sz="0" w:space="0" w:color="auto"/>
        <w:bottom w:val="none" w:sz="0" w:space="0" w:color="auto"/>
        <w:right w:val="none" w:sz="0" w:space="0" w:color="auto"/>
      </w:divBdr>
    </w:div>
    <w:div w:id="1892111139">
      <w:bodyDiv w:val="1"/>
      <w:marLeft w:val="0"/>
      <w:marRight w:val="0"/>
      <w:marTop w:val="0"/>
      <w:marBottom w:val="0"/>
      <w:divBdr>
        <w:top w:val="none" w:sz="0" w:space="0" w:color="auto"/>
        <w:left w:val="none" w:sz="0" w:space="0" w:color="auto"/>
        <w:bottom w:val="none" w:sz="0" w:space="0" w:color="auto"/>
        <w:right w:val="none" w:sz="0" w:space="0" w:color="auto"/>
      </w:divBdr>
    </w:div>
    <w:div w:id="1923221389">
      <w:bodyDiv w:val="1"/>
      <w:marLeft w:val="0"/>
      <w:marRight w:val="0"/>
      <w:marTop w:val="0"/>
      <w:marBottom w:val="0"/>
      <w:divBdr>
        <w:top w:val="none" w:sz="0" w:space="0" w:color="auto"/>
        <w:left w:val="none" w:sz="0" w:space="0" w:color="auto"/>
        <w:bottom w:val="none" w:sz="0" w:space="0" w:color="auto"/>
        <w:right w:val="none" w:sz="0" w:space="0" w:color="auto"/>
      </w:divBdr>
    </w:div>
    <w:div w:id="1927884947">
      <w:bodyDiv w:val="1"/>
      <w:marLeft w:val="0"/>
      <w:marRight w:val="0"/>
      <w:marTop w:val="0"/>
      <w:marBottom w:val="0"/>
      <w:divBdr>
        <w:top w:val="none" w:sz="0" w:space="0" w:color="auto"/>
        <w:left w:val="none" w:sz="0" w:space="0" w:color="auto"/>
        <w:bottom w:val="none" w:sz="0" w:space="0" w:color="auto"/>
        <w:right w:val="none" w:sz="0" w:space="0" w:color="auto"/>
      </w:divBdr>
    </w:div>
    <w:div w:id="1928688680">
      <w:bodyDiv w:val="1"/>
      <w:marLeft w:val="0"/>
      <w:marRight w:val="0"/>
      <w:marTop w:val="0"/>
      <w:marBottom w:val="0"/>
      <w:divBdr>
        <w:top w:val="none" w:sz="0" w:space="0" w:color="auto"/>
        <w:left w:val="none" w:sz="0" w:space="0" w:color="auto"/>
        <w:bottom w:val="none" w:sz="0" w:space="0" w:color="auto"/>
        <w:right w:val="none" w:sz="0" w:space="0" w:color="auto"/>
      </w:divBdr>
    </w:div>
    <w:div w:id="1944149279">
      <w:bodyDiv w:val="1"/>
      <w:marLeft w:val="0"/>
      <w:marRight w:val="0"/>
      <w:marTop w:val="0"/>
      <w:marBottom w:val="0"/>
      <w:divBdr>
        <w:top w:val="none" w:sz="0" w:space="0" w:color="auto"/>
        <w:left w:val="none" w:sz="0" w:space="0" w:color="auto"/>
        <w:bottom w:val="none" w:sz="0" w:space="0" w:color="auto"/>
        <w:right w:val="none" w:sz="0" w:space="0" w:color="auto"/>
      </w:divBdr>
    </w:div>
    <w:div w:id="1947233071">
      <w:bodyDiv w:val="1"/>
      <w:marLeft w:val="0"/>
      <w:marRight w:val="0"/>
      <w:marTop w:val="0"/>
      <w:marBottom w:val="0"/>
      <w:divBdr>
        <w:top w:val="none" w:sz="0" w:space="0" w:color="auto"/>
        <w:left w:val="none" w:sz="0" w:space="0" w:color="auto"/>
        <w:bottom w:val="none" w:sz="0" w:space="0" w:color="auto"/>
        <w:right w:val="none" w:sz="0" w:space="0" w:color="auto"/>
      </w:divBdr>
    </w:div>
    <w:div w:id="1953899687">
      <w:bodyDiv w:val="1"/>
      <w:marLeft w:val="0"/>
      <w:marRight w:val="0"/>
      <w:marTop w:val="0"/>
      <w:marBottom w:val="0"/>
      <w:divBdr>
        <w:top w:val="none" w:sz="0" w:space="0" w:color="auto"/>
        <w:left w:val="none" w:sz="0" w:space="0" w:color="auto"/>
        <w:bottom w:val="none" w:sz="0" w:space="0" w:color="auto"/>
        <w:right w:val="none" w:sz="0" w:space="0" w:color="auto"/>
      </w:divBdr>
    </w:div>
    <w:div w:id="1957783716">
      <w:bodyDiv w:val="1"/>
      <w:marLeft w:val="0"/>
      <w:marRight w:val="0"/>
      <w:marTop w:val="0"/>
      <w:marBottom w:val="0"/>
      <w:divBdr>
        <w:top w:val="none" w:sz="0" w:space="0" w:color="auto"/>
        <w:left w:val="none" w:sz="0" w:space="0" w:color="auto"/>
        <w:bottom w:val="none" w:sz="0" w:space="0" w:color="auto"/>
        <w:right w:val="none" w:sz="0" w:space="0" w:color="auto"/>
      </w:divBdr>
    </w:div>
    <w:div w:id="1999378333">
      <w:bodyDiv w:val="1"/>
      <w:marLeft w:val="0"/>
      <w:marRight w:val="0"/>
      <w:marTop w:val="0"/>
      <w:marBottom w:val="0"/>
      <w:divBdr>
        <w:top w:val="none" w:sz="0" w:space="0" w:color="auto"/>
        <w:left w:val="none" w:sz="0" w:space="0" w:color="auto"/>
        <w:bottom w:val="none" w:sz="0" w:space="0" w:color="auto"/>
        <w:right w:val="none" w:sz="0" w:space="0" w:color="auto"/>
      </w:divBdr>
    </w:div>
    <w:div w:id="2005818918">
      <w:bodyDiv w:val="1"/>
      <w:marLeft w:val="0"/>
      <w:marRight w:val="0"/>
      <w:marTop w:val="0"/>
      <w:marBottom w:val="0"/>
      <w:divBdr>
        <w:top w:val="none" w:sz="0" w:space="0" w:color="auto"/>
        <w:left w:val="none" w:sz="0" w:space="0" w:color="auto"/>
        <w:bottom w:val="none" w:sz="0" w:space="0" w:color="auto"/>
        <w:right w:val="none" w:sz="0" w:space="0" w:color="auto"/>
      </w:divBdr>
    </w:div>
    <w:div w:id="2006474614">
      <w:bodyDiv w:val="1"/>
      <w:marLeft w:val="0"/>
      <w:marRight w:val="0"/>
      <w:marTop w:val="0"/>
      <w:marBottom w:val="0"/>
      <w:divBdr>
        <w:top w:val="none" w:sz="0" w:space="0" w:color="auto"/>
        <w:left w:val="none" w:sz="0" w:space="0" w:color="auto"/>
        <w:bottom w:val="none" w:sz="0" w:space="0" w:color="auto"/>
        <w:right w:val="none" w:sz="0" w:space="0" w:color="auto"/>
      </w:divBdr>
    </w:div>
    <w:div w:id="2028170158">
      <w:bodyDiv w:val="1"/>
      <w:marLeft w:val="0"/>
      <w:marRight w:val="0"/>
      <w:marTop w:val="0"/>
      <w:marBottom w:val="0"/>
      <w:divBdr>
        <w:top w:val="none" w:sz="0" w:space="0" w:color="auto"/>
        <w:left w:val="none" w:sz="0" w:space="0" w:color="auto"/>
        <w:bottom w:val="none" w:sz="0" w:space="0" w:color="auto"/>
        <w:right w:val="none" w:sz="0" w:space="0" w:color="auto"/>
      </w:divBdr>
    </w:div>
    <w:div w:id="2029021248">
      <w:bodyDiv w:val="1"/>
      <w:marLeft w:val="0"/>
      <w:marRight w:val="0"/>
      <w:marTop w:val="0"/>
      <w:marBottom w:val="0"/>
      <w:divBdr>
        <w:top w:val="none" w:sz="0" w:space="0" w:color="auto"/>
        <w:left w:val="none" w:sz="0" w:space="0" w:color="auto"/>
        <w:bottom w:val="none" w:sz="0" w:space="0" w:color="auto"/>
        <w:right w:val="none" w:sz="0" w:space="0" w:color="auto"/>
      </w:divBdr>
    </w:div>
    <w:div w:id="2031688037">
      <w:bodyDiv w:val="1"/>
      <w:marLeft w:val="0"/>
      <w:marRight w:val="0"/>
      <w:marTop w:val="0"/>
      <w:marBottom w:val="0"/>
      <w:divBdr>
        <w:top w:val="none" w:sz="0" w:space="0" w:color="auto"/>
        <w:left w:val="none" w:sz="0" w:space="0" w:color="auto"/>
        <w:bottom w:val="none" w:sz="0" w:space="0" w:color="auto"/>
        <w:right w:val="none" w:sz="0" w:space="0" w:color="auto"/>
      </w:divBdr>
    </w:div>
    <w:div w:id="2040664909">
      <w:bodyDiv w:val="1"/>
      <w:marLeft w:val="0"/>
      <w:marRight w:val="0"/>
      <w:marTop w:val="0"/>
      <w:marBottom w:val="0"/>
      <w:divBdr>
        <w:top w:val="none" w:sz="0" w:space="0" w:color="auto"/>
        <w:left w:val="none" w:sz="0" w:space="0" w:color="auto"/>
        <w:bottom w:val="none" w:sz="0" w:space="0" w:color="auto"/>
        <w:right w:val="none" w:sz="0" w:space="0" w:color="auto"/>
      </w:divBdr>
    </w:div>
    <w:div w:id="2047413234">
      <w:bodyDiv w:val="1"/>
      <w:marLeft w:val="0"/>
      <w:marRight w:val="0"/>
      <w:marTop w:val="0"/>
      <w:marBottom w:val="0"/>
      <w:divBdr>
        <w:top w:val="none" w:sz="0" w:space="0" w:color="auto"/>
        <w:left w:val="none" w:sz="0" w:space="0" w:color="auto"/>
        <w:bottom w:val="none" w:sz="0" w:space="0" w:color="auto"/>
        <w:right w:val="none" w:sz="0" w:space="0" w:color="auto"/>
      </w:divBdr>
    </w:div>
    <w:div w:id="2074429232">
      <w:bodyDiv w:val="1"/>
      <w:marLeft w:val="0"/>
      <w:marRight w:val="0"/>
      <w:marTop w:val="0"/>
      <w:marBottom w:val="0"/>
      <w:divBdr>
        <w:top w:val="none" w:sz="0" w:space="0" w:color="auto"/>
        <w:left w:val="none" w:sz="0" w:space="0" w:color="auto"/>
        <w:bottom w:val="none" w:sz="0" w:space="0" w:color="auto"/>
        <w:right w:val="none" w:sz="0" w:space="0" w:color="auto"/>
      </w:divBdr>
    </w:div>
    <w:div w:id="2078015627">
      <w:bodyDiv w:val="1"/>
      <w:marLeft w:val="0"/>
      <w:marRight w:val="0"/>
      <w:marTop w:val="0"/>
      <w:marBottom w:val="0"/>
      <w:divBdr>
        <w:top w:val="none" w:sz="0" w:space="0" w:color="auto"/>
        <w:left w:val="none" w:sz="0" w:space="0" w:color="auto"/>
        <w:bottom w:val="none" w:sz="0" w:space="0" w:color="auto"/>
        <w:right w:val="none" w:sz="0" w:space="0" w:color="auto"/>
      </w:divBdr>
    </w:div>
    <w:div w:id="2079671105">
      <w:bodyDiv w:val="1"/>
      <w:marLeft w:val="0"/>
      <w:marRight w:val="0"/>
      <w:marTop w:val="0"/>
      <w:marBottom w:val="0"/>
      <w:divBdr>
        <w:top w:val="none" w:sz="0" w:space="0" w:color="auto"/>
        <w:left w:val="none" w:sz="0" w:space="0" w:color="auto"/>
        <w:bottom w:val="none" w:sz="0" w:space="0" w:color="auto"/>
        <w:right w:val="none" w:sz="0" w:space="0" w:color="auto"/>
      </w:divBdr>
    </w:div>
    <w:div w:id="2100519948">
      <w:bodyDiv w:val="1"/>
      <w:marLeft w:val="0"/>
      <w:marRight w:val="0"/>
      <w:marTop w:val="0"/>
      <w:marBottom w:val="0"/>
      <w:divBdr>
        <w:top w:val="none" w:sz="0" w:space="0" w:color="auto"/>
        <w:left w:val="none" w:sz="0" w:space="0" w:color="auto"/>
        <w:bottom w:val="none" w:sz="0" w:space="0" w:color="auto"/>
        <w:right w:val="none" w:sz="0" w:space="0" w:color="auto"/>
      </w:divBdr>
    </w:div>
    <w:div w:id="21283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2.emf"/><Relationship Id="rId42" Type="http://schemas.openxmlformats.org/officeDocument/2006/relationships/image" Target="media/image33.emf"/><Relationship Id="rId47" Type="http://schemas.openxmlformats.org/officeDocument/2006/relationships/image" Target="media/image38.emf"/><Relationship Id="rId63" Type="http://schemas.openxmlformats.org/officeDocument/2006/relationships/image" Target="media/image53.emf"/><Relationship Id="rId68" Type="http://schemas.openxmlformats.org/officeDocument/2006/relationships/image" Target="media/image58.emf"/><Relationship Id="rId84" Type="http://schemas.openxmlformats.org/officeDocument/2006/relationships/customXml" Target="../customXml/item2.xml"/><Relationship Id="rId16" Type="http://schemas.openxmlformats.org/officeDocument/2006/relationships/image" Target="media/image7.emf"/><Relationship Id="rId11" Type="http://schemas.openxmlformats.org/officeDocument/2006/relationships/image" Target="media/image2.emf"/><Relationship Id="rId32" Type="http://schemas.openxmlformats.org/officeDocument/2006/relationships/image" Target="media/image23.emf"/><Relationship Id="rId37" Type="http://schemas.openxmlformats.org/officeDocument/2006/relationships/image" Target="media/image28.emf"/><Relationship Id="rId53" Type="http://schemas.openxmlformats.org/officeDocument/2006/relationships/image" Target="media/image44.emf"/><Relationship Id="rId58" Type="http://schemas.openxmlformats.org/officeDocument/2006/relationships/image" Target="media/image49.emf"/><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10.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7.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42.emf"/><Relationship Id="rId72" Type="http://schemas.openxmlformats.org/officeDocument/2006/relationships/image" Target="media/image62.emf"/><Relationship Id="rId85"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oleObject" Target="embeddings/Microsoft_Excel_97-2003_Worksheet2.xls"/><Relationship Id="rId67" Type="http://schemas.openxmlformats.org/officeDocument/2006/relationships/image" Target="media/image57.emf"/><Relationship Id="rId20" Type="http://schemas.openxmlformats.org/officeDocument/2006/relationships/image" Target="media/image11.png"/><Relationship Id="rId41" Type="http://schemas.openxmlformats.org/officeDocument/2006/relationships/image" Target="media/image32.emf"/><Relationship Id="rId54" Type="http://schemas.openxmlformats.org/officeDocument/2006/relationships/image" Target="media/image45.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footer" Target="footer1.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image" Target="media/image48.emf"/><Relationship Id="rId10" Type="http://schemas.openxmlformats.org/officeDocument/2006/relationships/oleObject" Target="embeddings/Microsoft_Excel_97-2003_Worksheet1.xls"/><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fontTable" Target="fontTable.xml"/><Relationship Id="rId81" Type="http://schemas.microsoft.com/office/2011/relationships/commentsExtended" Target="commentsExtended.xml"/><Relationship Id="rId86"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34" Type="http://schemas.openxmlformats.org/officeDocument/2006/relationships/image" Target="media/image25.emf"/><Relationship Id="rId50" Type="http://schemas.openxmlformats.org/officeDocument/2006/relationships/image" Target="media/image41.emf"/><Relationship Id="rId55" Type="http://schemas.openxmlformats.org/officeDocument/2006/relationships/image" Target="media/image46.emf"/><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image" Target="media/image61.emf"/><Relationship Id="rId2" Type="http://schemas.openxmlformats.org/officeDocument/2006/relationships/numbering" Target="numbering.xml"/><Relationship Id="rId29" Type="http://schemas.openxmlformats.org/officeDocument/2006/relationships/image" Target="media/image20.emf"/><Relationship Id="rId24" Type="http://schemas.openxmlformats.org/officeDocument/2006/relationships/image" Target="media/image15.emf"/><Relationship Id="rId40" Type="http://schemas.openxmlformats.org/officeDocument/2006/relationships/image" Target="media/image31.emf"/><Relationship Id="rId45" Type="http://schemas.openxmlformats.org/officeDocument/2006/relationships/image" Target="media/image36.emf"/><Relationship Id="rId66" Type="http://schemas.openxmlformats.org/officeDocument/2006/relationships/image" Target="media/image56.emf"/><Relationship Id="rId61" Type="http://schemas.openxmlformats.org/officeDocument/2006/relationships/image" Target="media/image51.emf"/><Relationship Id="rId8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F54FDC-5B9B-4752-9FE2-A1FD7467E1C8}">
  <ds:schemaRefs>
    <ds:schemaRef ds:uri="http://schemas.openxmlformats.org/officeDocument/2006/bibliography"/>
  </ds:schemaRefs>
</ds:datastoreItem>
</file>

<file path=customXml/itemProps2.xml><?xml version="1.0" encoding="utf-8"?>
<ds:datastoreItem xmlns:ds="http://schemas.openxmlformats.org/officeDocument/2006/customXml" ds:itemID="{FF98F01A-0F13-427D-8CEA-1F4817D4F77B}"/>
</file>

<file path=customXml/itemProps3.xml><?xml version="1.0" encoding="utf-8"?>
<ds:datastoreItem xmlns:ds="http://schemas.openxmlformats.org/officeDocument/2006/customXml" ds:itemID="{18C9D9E2-1A81-440F-B046-0AB773CE02B1}"/>
</file>

<file path=customXml/itemProps4.xml><?xml version="1.0" encoding="utf-8"?>
<ds:datastoreItem xmlns:ds="http://schemas.openxmlformats.org/officeDocument/2006/customXml" ds:itemID="{220AB54E-72B5-4B45-B95B-6CA827D3BA83}"/>
</file>

<file path=docProps/app.xml><?xml version="1.0" encoding="utf-8"?>
<Properties xmlns="http://schemas.openxmlformats.org/officeDocument/2006/extended-properties" xmlns:vt="http://schemas.openxmlformats.org/officeDocument/2006/docPropsVTypes">
  <Template>Normal</Template>
  <TotalTime>8</TotalTime>
  <Pages>74</Pages>
  <Words>16838</Words>
  <Characters>93599</Characters>
  <Application>Microsoft Office Word</Application>
  <DocSecurity>0</DocSecurity>
  <Lines>779</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 DA ADMINISTRAÇÃO ÀS DEMONSTRAÇÕES CONTÁBEIS EM 31 DE DEZEMBRO DE 2010 E 2009</vt:lpstr>
      <vt:lpstr>NOTAS EXPLICATIVAS DA ADMINISTRAÇÃO ÀS DEMONSTRAÇÕES CONTÁBEIS EM 31 DE DEZEMBRO DE 2010 E 2009</vt:lpstr>
    </vt:vector>
  </TitlesOfParts>
  <Company>ETN</Company>
  <LinksUpToDate>false</LinksUpToDate>
  <CharactersWithSpaces>110217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DA ADMINISTRAÇÃO ÀS DEMONSTRAÇÕES CONTÁBEIS EM 31 DE DEZEMBRO DE 2010 E 2009</dc:title>
  <dc:creator>PricewaterhouseCoopers</dc:creator>
  <cp:lastModifiedBy>Beatriz Albino da Silva</cp:lastModifiedBy>
  <cp:revision>7</cp:revision>
  <cp:lastPrinted>2020-02-21T14:16:00Z</cp:lastPrinted>
  <dcterms:created xsi:type="dcterms:W3CDTF">2020-05-27T20:30:00Z</dcterms:created>
  <dcterms:modified xsi:type="dcterms:W3CDTF">2020-05-27T21:55:00Z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SOACAT\304907</vt:lpwstr>
  </property>
  <property fmtid="{D5CDD505-2E9C-101B-9397-08002B2CF9AE}" pid="4" name="SSDCxCLASSFICATION_DATE">
    <vt:lpwstr>08/05/2019 17:11:00</vt:lpwstr>
  </property>
  <property fmtid="{D5CDD505-2E9C-101B-9397-08002B2CF9AE}" pid="5" name="SSDCxCLASSFICATION_GUID">
    <vt:lpwstr>37A714C701CC10A768BFA9F1419D06EA</vt:lpwstr>
  </property>
  <property fmtid="{D5CDD505-2E9C-101B-9397-08002B2CF9AE}" pid="6" name="SSDCxCLASSFICATION_LANG">
    <vt:lpwstr>pt</vt:lpwstr>
  </property>
  <property fmtid="{D5CDD505-2E9C-101B-9397-08002B2CF9AE}" pid="7" name="ContentTypeId">
    <vt:lpwstr>0x010100C8F11BDC41DB7D4F9F945297A936FBF3</vt:lpwstr>
  </property>
</Properties>
</file>